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864"/>
          <w:sz w:val="44"/>
        </w:rPr>
        <w:t>EVIDENCE</w:t>
      </w:r>
    </w:p>
    <w:p>
      <w:r>
        <w:rPr>
          <w:b w:val="0"/>
          <w:i w:val="0"/>
          <w:color w:val="2E75B6"/>
          <w:sz w:val="26"/>
        </w:rPr>
        <w:t>Condensed Exam Outline  ·  Classes 1–19</w:t>
      </w:r>
    </w:p>
    <w:p>
      <w:r>
        <w:rPr>
          <w:b w:val="0"/>
          <w:i w:val="0"/>
          <w:color w:val="595959"/>
        </w:rPr>
        <w:t>Evidence (LAW 7050) · Prof. Michael E. Hornzell · Wilmington University · Fall 2026</w:t>
      </w:r>
    </w:p>
    <w:p>
      <w:r>
        <w:rPr>
          <w:b w:val="0"/>
          <w:i w:val="0"/>
          <w:color w:val="595959"/>
        </w:rPr>
        <w:t>Fisher, Evidence (4th ed. 2022), pp. 1–783, and the Federal Rules of Evidence as amended through Dec. 1, 2024</w:t>
      </w:r>
    </w:p>
    <w:p>
      <w:r>
        <w:rPr>
          <w:b w:val="0"/>
          <w:i/>
          <w:color w:val="64748B"/>
        </w:rPr>
        <w:t>◆ Gray italic text</w:t>
      </w:r>
      <w:r>
        <w:rPr>
          <w:b w:val="0"/>
          <w:i w:val="0"/>
        </w:rPr>
        <w:t xml:space="preserve"> = general legal knowledge from outside the class materials (not in the Fisher readings, the Federal Rules or their Advisory Committee Notes, or the class slides). Verify before relying on it.</w:t>
      </w:r>
    </w:p>
    <w:p>
      <w:r>
        <w:rPr>
          <w:color w:val="334155"/>
        </w:rPr>
        <w:t xml:space="preserve">Case tags:   </w:t>
      </w:r>
      <w:r>
        <w:rPr>
          <w:b/>
          <w:color w:val="FFFFFF"/>
          <w:shd w:val="clear" w:color="auto" w:fill="B91C1C"/>
        </w:rPr>
        <w:t xml:space="preserve"> MAIN CASE </w:t>
      </w:r>
      <w:r>
        <w:rPr>
          <w:color w:val="334155"/>
        </w:rPr>
        <w:t xml:space="preserve">  principal case in the Fisher reading     </w:t>
      </w:r>
      <w:r>
        <w:rPr>
          <w:b/>
          <w:color w:val="FFFFFF"/>
          <w:shd w:val="clear" w:color="auto" w:fill="1D4ED8"/>
        </w:rPr>
        <w:t xml:space="preserve"> NOTE CASE </w:t>
      </w:r>
      <w:r>
        <w:rPr>
          <w:color w:val="334155"/>
        </w:rPr>
        <w:t xml:space="preserve">  discussed in a note, problem, or case note     </w:t>
      </w:r>
      <w:r>
        <w:rPr>
          <w:b/>
          <w:color w:val="FFFFFF"/>
          <w:shd w:val="clear" w:color="auto" w:fill="7E22CE"/>
        </w:rPr>
        <w:t xml:space="preserve"> SLIDE REFERENCE </w:t>
      </w:r>
      <w:r>
        <w:rPr>
          <w:color w:val="334155"/>
        </w:rPr>
        <w:t xml:space="preserve">  appears only in the class slides     </w:t>
      </w:r>
      <w:r>
        <w:rPr>
          <w:b/>
          <w:color w:val="FFFFFF"/>
          <w:shd w:val="clear" w:color="auto" w:fill="0F766E"/>
        </w:rPr>
        <w:t xml:space="preserve"> SUPPLEMENTAL READING </w:t>
      </w:r>
      <w:r>
        <w:rPr>
          <w:color w:val="334155"/>
        </w:rPr>
        <w:t xml:space="preserve">  beyond the assignment     </w:t>
      </w:r>
    </w:p>
    <w:p>
      <w:pPr>
        <w:pStyle w:val="Heading1"/>
      </w:pPr>
      <w:r>
        <w:rPr>
          <w:b w:val="0"/>
          <w:i w:val="0"/>
        </w:rPr>
        <w:t>PART I — INTRODUCTION AND GENERAL RELEVANCE</w:t>
      </w:r>
    </w:p>
    <w:p>
      <w:pPr>
        <w:pStyle w:val="Heading2"/>
      </w:pPr>
      <w:r>
        <w:rPr>
          <w:b w:val="0"/>
          <w:i w:val="0"/>
        </w:rPr>
        <w:t>1. The Federal Rules and Jury Secrecy</w:t>
      </w:r>
    </w:p>
    <w:p>
      <w:pPr>
        <w:pStyle w:val="ListBullet"/>
      </w:pPr>
      <w:r>
        <w:rPr>
          <w:b/>
          <w:i w:val="0"/>
        </w:rPr>
        <w:t>What evidence law does (slides):</w:t>
      </w:r>
      <w:r>
        <w:rPr>
          <w:b w:val="0"/>
          <w:i w:val="0"/>
        </w:rPr>
        <w:t xml:space="preserve"> it limits what information juries hear and how they may use it, for reasons of time, constitutional protection, truthful outcomes, public policy (privileges), and relevance and reliability.</w:t>
      </w:r>
    </w:p>
    <w:p>
      <w:pPr>
        <w:pStyle w:val="ListBullet"/>
      </w:pPr>
      <w:r>
        <w:rPr>
          <w:b/>
          <w:i w:val="0"/>
        </w:rPr>
        <w:t>The FRE are a statute,</w:t>
      </w:r>
      <w:r>
        <w:rPr>
          <w:b w:val="0"/>
          <w:i w:val="0"/>
        </w:rPr>
        <w:t xml:space="preserve"> effective July 1, 1975, restyled in 2011 with no change in meaning. Read the text first, in light of legislative history, which "on occasion may even override an apparently plain and unmistakable meaning." Most courts give the Advisory Committee Notes weight (Cleary); Justice Scalia said they "bear no special authoritativeness" (</w:t>
      </w:r>
      <w:r>
        <w:rPr>
          <w:b w:val="0"/>
          <w:i/>
        </w:rPr>
        <w:t>Tome</w:t>
      </w:r>
      <w:r>
        <w:rPr>
          <w:b w:val="0"/>
          <w:i w:val="0"/>
        </w:rPr>
        <w:t>, concurring).</w:t>
      </w:r>
    </w:p>
    <w:p>
      <w:pPr>
        <w:pStyle w:val="ListBullet"/>
      </w:pPr>
      <w:r>
        <w:rPr>
          <w:b/>
          <w:i w:val="0"/>
        </w:rPr>
        <w:t>Rule 105:</w:t>
      </w:r>
      <w:r>
        <w:rPr>
          <w:b w:val="0"/>
          <w:i w:val="0"/>
        </w:rPr>
        <w:t xml:space="preserve"> when evidence is admissible for one purpose or party but not another, the court, on timely request, must restrict it and instruct the jury.</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606(b)(1):</w:t>
            </w:r>
            <w:r>
              <w:rPr>
                <w:b w:val="0"/>
                <w:i w:val="0"/>
              </w:rPr>
              <w:t xml:space="preserve"> in an inquiry into the validity of a verdict, a juror may not testify about </w:t>
            </w:r>
            <w:r>
              <w:rPr>
                <w:b w:val="0"/>
                <w:i w:val="0"/>
                <w:color w:val="B91C1C"/>
              </w:rPr>
              <w:t xml:space="preserve">(1) any statement made or incident that occurred during deliberations; </w:t>
            </w:r>
            <w:r>
              <w:rPr>
                <w:b w:val="0"/>
                <w:i w:val="0"/>
                <w:color w:val="C2410C"/>
              </w:rPr>
              <w:t xml:space="preserve">(2) the effect of anything on any juror's vote; or </w:t>
            </w:r>
            <w:r>
              <w:rPr>
                <w:b w:val="0"/>
                <w:i w:val="0"/>
                <w:color w:val="854D0E"/>
              </w:rPr>
              <w:t>(3) any juror's mental processes concerning the verdict.</w:t>
            </w:r>
            <w:r>
              <w:rPr>
                <w:b w:val="0"/>
                <w:i w:val="0"/>
              </w:rPr>
              <w:t xml:space="preserve"> No affidavit or evidence of a juror's statement on these matters may be received. </w:t>
            </w:r>
            <w:r>
              <w:rPr>
                <w:b/>
                <w:i w:val="0"/>
              </w:rPr>
              <w:t>606(b)(2):</w:t>
            </w:r>
            <w:r>
              <w:rPr>
                <w:b w:val="0"/>
                <w:i w:val="0"/>
              </w:rPr>
              <w:t xml:space="preserve"> a juror may testify about whether (A) extraneous prejudicial information was improperly brought to the jury's attention; (B) an outside influence was improperly brought to bear on any juror; or (C) a mistake was made in entering the verdict on the form.</w:t>
            </w:r>
          </w:p>
        </w:tc>
      </w:tr>
    </w:tbl>
    <w:p/>
    <w:p>
      <w:pPr>
        <w:pStyle w:val="ListBullet"/>
      </w:pPr>
      <w:r>
        <w:rPr>
          <w:b/>
          <w:i w:val="0"/>
        </w:rPr>
        <w:t>Internal vs. external</w:t>
      </w:r>
      <w:r>
        <w:rPr>
          <w:b w:val="0"/>
          <w:i w:val="0"/>
        </w:rPr>
        <w:t xml:space="preserve"> turns on the nature of the matter, not where it happened. Juror incompetence, intoxication, and bias are internal.</w:t>
      </w:r>
    </w:p>
    <w:p>
      <w:pPr>
        <w:pStyle w:val="ListBullet"/>
      </w:pPr>
      <w:r>
        <w:rPr>
          <w:b w:val="0"/>
          <w:i w:val="0"/>
        </w:rPr>
        <w:t xml:space="preserve">Recording or observing federal jury deliberations is a crime under </w:t>
      </w:r>
      <w:r>
        <w:rPr>
          <w:b/>
          <w:i w:val="0"/>
        </w:rPr>
        <w:t>18 U.S.C. § 1508</w:t>
      </w:r>
      <w:r>
        <w:rPr>
          <w:b w:val="0"/>
          <w:i w:val="0"/>
        </w:rPr>
        <w:t xml:space="preserve"> (the Class 1 slide's "§ 1580" is a typo).</w:t>
      </w:r>
    </w:p>
    <w:p>
      <w:pPr>
        <w:pStyle w:val="ListBullet"/>
      </w:pPr>
      <w:r>
        <w:rPr>
          <w:b/>
          <w:i w:val="0"/>
        </w:rPr>
        <w:t>New trial for voir dire dishonesty</w:t>
      </w:r>
      <w:r>
        <w:rPr>
          <w:b w:val="0"/>
          <w:i w:val="0"/>
        </w:rPr>
        <w:t xml:space="preserve"> (Warger, 574 U.S. 40 (2014)): show (1) the juror failed to answer honestly a material voir dire question and (2) a correct answer would have supported a challenge for cause. 606(b) still bars juror testimony about deliberations to prove it.</w:t>
      </w:r>
    </w:p>
    <w:p>
      <w:pPr>
        <w:pStyle w:val="Heading3"/>
      </w:pPr>
      <w:r>
        <w:rPr>
          <w:b w:val="0"/>
          <w:i w:val="0"/>
        </w:rPr>
        <w:t>Cases</w:t>
      </w:r>
    </w:p>
    <w:p>
      <w:pPr>
        <w:spacing w:before="160"/>
      </w:pPr>
      <w:r>
        <w:rPr>
          <w:b/>
          <w:i w:val="0"/>
          <w:color w:val="B91C1C"/>
        </w:rPr>
        <w:t>Tanner v. United States, 483 U.S. 107 (1987)</w:t>
      </w:r>
      <w:r>
        <w:rPr>
          <w:color w:val="B91C1C"/>
        </w:rPr>
        <w:t xml:space="preserve">   </w:t>
      </w:r>
      <w:r>
        <w:rPr>
          <w:b/>
          <w:color w:val="FFFFFF"/>
          <w:shd w:val="clear" w:color="auto" w:fill="B91C1C"/>
        </w:rPr>
        <w:t xml:space="preserve"> MAIN CASE · CLASS 1 </w:t>
      </w:r>
    </w:p>
    <w:p>
      <w:r>
        <w:rPr>
          <w:b/>
          <w:i w:val="0"/>
          <w:color w:val="1D4ED8"/>
        </w:rPr>
        <w:t xml:space="preserve">Facts:   </w:t>
      </w:r>
      <w:r>
        <w:rPr>
          <w:b w:val="0"/>
          <w:i w:val="0"/>
        </w:rPr>
        <w:t>Jurors drank at lunch, smoked marijuana, used cocaine, and slept through afternoon sessions during a mail-fraud trial. Two jurors came forward after the verdict, one by sworn statement.</w:t>
      </w:r>
    </w:p>
    <w:p>
      <w:r>
        <w:rPr>
          <w:b/>
          <w:i w:val="0"/>
          <w:color w:val="15803D"/>
        </w:rPr>
        <w:t xml:space="preserve">Held:   </w:t>
      </w:r>
      <w:r>
        <w:rPr>
          <w:b w:val="0"/>
          <w:i w:val="0"/>
        </w:rPr>
        <w:t>606(b) bars the juror testimony, and that does not violate the Sixth Amendment right to a competent jury (O'Connor, J., 5–4). Drugs and alcohol are "no more an 'outside influence' than a virus, poorly prepared food, or a lack of sleep." Congress rejected a House version that would have allowed testimony about a juror's drunkenness. Voir dire, observation during trial, juror reports before the verdict, and non-juror evidence protect the right.</w:t>
      </w:r>
    </w:p>
    <w:p>
      <w:r>
        <w:rPr>
          <w:b/>
          <w:i w:val="0"/>
          <w:color w:val="8A6100"/>
        </w:rPr>
        <w:t xml:space="preserve">Why it matters:   </w:t>
      </w:r>
      <w:r>
        <w:rPr>
          <w:b w:val="0"/>
          <w:i w:val="0"/>
        </w:rPr>
        <w:t>The baseline for 606(b), and the four rationales: protecting jurors from harassment, frank deliberation, finality, and public trust. The dissent (Marshall, J.) read the three barred categories as not reaching intoxication during trial.</w:t>
      </w:r>
    </w:p>
    <w:p>
      <w:pPr>
        <w:spacing w:before="160"/>
      </w:pPr>
      <w:r>
        <w:rPr>
          <w:b/>
          <w:i w:val="0"/>
          <w:color w:val="B91C1C"/>
        </w:rPr>
        <w:t>Peña-Rodriguez v. Colorado, 580 U.S. 206 (2017)</w:t>
      </w:r>
      <w:r>
        <w:rPr>
          <w:color w:val="B91C1C"/>
        </w:rPr>
        <w:t xml:space="preserve">   </w:t>
      </w:r>
      <w:r>
        <w:rPr>
          <w:b/>
          <w:color w:val="FFFFFF"/>
          <w:shd w:val="clear" w:color="auto" w:fill="B91C1C"/>
        </w:rPr>
        <w:t xml:space="preserve"> MAIN CASE · CLASS 1 </w:t>
      </w:r>
    </w:p>
    <w:p>
      <w:r>
        <w:rPr>
          <w:b/>
          <w:i w:val="0"/>
          <w:color w:val="1D4ED8"/>
        </w:rPr>
        <w:t xml:space="preserve">Facts:   </w:t>
      </w:r>
      <w:r>
        <w:rPr>
          <w:b w:val="0"/>
          <w:i w:val="0"/>
        </w:rPr>
        <w:t>A juror, a former officer, said in deliberations that the defendant "did it because he's Mexican and Mexican men take whatever they want" and that an alibi witness was "an illegal."</w:t>
      </w:r>
    </w:p>
    <w:p>
      <w:r>
        <w:rPr>
          <w:b/>
          <w:i w:val="0"/>
          <w:color w:val="15803D"/>
        </w:rPr>
        <w:t xml:space="preserve">Held:   </w:t>
      </w:r>
      <w:r>
        <w:rPr>
          <w:b w:val="0"/>
          <w:i w:val="0"/>
        </w:rPr>
        <w:t>"[W]here a juror makes a clear statement that indicates he or she relied on racial stereotypes or animus to convict a criminal defendant, the Sixth Amendment requires that the no-impeachment rule give way." Racial animus must have been a significant motivating factor in the vote (Kennedy, J., 5–3). Dissents: Thomas, J. (the common-law rule was settled in 1868); Alito, J. (the Sixth Amendment does not rank biases; no stopping point).</w:t>
      </w:r>
    </w:p>
    <w:p>
      <w:r>
        <w:rPr>
          <w:b/>
          <w:i w:val="0"/>
          <w:color w:val="8A6100"/>
        </w:rPr>
        <w:t xml:space="preserve">Why it matters:   </w:t>
      </w:r>
      <w:r>
        <w:rPr>
          <w:b w:val="0"/>
          <w:i w:val="0"/>
        </w:rPr>
        <w:t>The only constitutional exception to 606(b): clear racial bias, in a criminal case, relied on to convict. Coded remarks in a civil case (Problem I.1, the "Cosby Show") are a hard fit.</w:t>
      </w:r>
    </w:p>
    <w:p>
      <w:pPr>
        <w:pStyle w:val="Heading2"/>
      </w:pPr>
      <w:r>
        <w:rPr>
          <w:b w:val="0"/>
          <w:i w:val="0"/>
        </w:rPr>
        <w:t>2. Relevance (FRE 401, 402, 104(b))</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401:</w:t>
            </w:r>
            <w:r>
              <w:rPr>
                <w:b w:val="0"/>
                <w:i w:val="0"/>
              </w:rPr>
              <w:t xml:space="preserve"> evidence is relevant if </w:t>
            </w:r>
            <w:r>
              <w:rPr>
                <w:b w:val="0"/>
                <w:i w:val="0"/>
                <w:color w:val="B91C1C"/>
              </w:rPr>
              <w:t xml:space="preserve">(a) it has </w:t>
            </w:r>
            <w:r>
              <w:rPr>
                <w:b/>
                <w:i w:val="0"/>
                <w:color w:val="B91C1C"/>
              </w:rPr>
              <w:t>any tendency</w:t>
            </w:r>
            <w:r>
              <w:rPr>
                <w:b w:val="0"/>
                <w:i w:val="0"/>
                <w:color w:val="B91C1C"/>
              </w:rPr>
              <w:t xml:space="preserve"> to make a fact more or less probable than it would be without the evidence (probativeness) and </w:t>
            </w:r>
            <w:r>
              <w:rPr>
                <w:b w:val="0"/>
                <w:i w:val="0"/>
                <w:color w:val="C2410C"/>
              </w:rPr>
              <w:t xml:space="preserve">(b) the fact is </w:t>
            </w:r>
            <w:r>
              <w:rPr>
                <w:b/>
                <w:i w:val="0"/>
                <w:color w:val="C2410C"/>
              </w:rPr>
              <w:t>of consequence</w:t>
            </w:r>
            <w:r>
              <w:rPr>
                <w:b w:val="0"/>
                <w:i w:val="0"/>
                <w:color w:val="C2410C"/>
              </w:rPr>
              <w:t xml:space="preserve"> in determining the action (materiality).</w:t>
            </w:r>
            <w:r>
              <w:rPr>
                <w:b w:val="0"/>
                <w:i w:val="0"/>
              </w:rPr>
              <w:t xml:space="preserve"> </w:t>
            </w:r>
            <w:r>
              <w:rPr>
                <w:b/>
                <w:i w:val="0"/>
              </w:rPr>
              <w:t>FRE 402:</w:t>
            </w:r>
            <w:r>
              <w:rPr>
                <w:b w:val="0"/>
                <w:i w:val="0"/>
              </w:rPr>
              <w:t xml:space="preserve"> relevant evidence is admissible unless the Constitution, a federal statute, the FRE, or other Supreme Court rules provide otherwise; irrelevant evidence is not admissible.</w:t>
            </w:r>
          </w:p>
        </w:tc>
      </w:tr>
    </w:tbl>
    <w:p/>
    <w:p>
      <w:pPr>
        <w:pStyle w:val="ListBullet"/>
      </w:pPr>
      <w:r>
        <w:rPr>
          <w:b/>
          <w:i w:val="0"/>
        </w:rPr>
        <w:t>"A brick is not a wall"</w:t>
      </w:r>
      <w:r>
        <w:rPr>
          <w:b w:val="0"/>
          <w:i w:val="0"/>
        </w:rPr>
        <w:t xml:space="preserve"> (ACN to 401). The fact need not be disputed (ACN to 401; relied on in Old Chief).</w:t>
      </w:r>
    </w:p>
    <w:p>
      <w:pPr>
        <w:pStyle w:val="ListBullet"/>
      </w:pPr>
      <w:r>
        <w:rPr>
          <w:b/>
          <w:i w:val="0"/>
        </w:rPr>
        <w:t>Materiality comes from the substantive law.</w:t>
      </w:r>
      <w:r>
        <w:rPr>
          <w:b w:val="0"/>
          <w:i w:val="0"/>
        </w:rPr>
        <w:t xml:space="preserve"> A statute can make a probative fact immaterial (</w:t>
      </w:r>
      <w:r>
        <w:rPr>
          <w:b w:val="0"/>
          <w:i/>
        </w:rPr>
        <w:t>Montana v. Egelhoff</w:t>
      </w:r>
      <w:r>
        <w:rPr>
          <w:b w:val="0"/>
          <w:i w:val="0"/>
        </w:rPr>
        <w:t>: voluntary intoxication on mens rea). Ignorance is immaterial to a strict-liability offense (</w:t>
      </w:r>
      <w:r>
        <w:rPr>
          <w:b w:val="0"/>
          <w:i/>
        </w:rPr>
        <w:t>Wingate</w:t>
      </w:r>
      <w:r>
        <w:rPr>
          <w:b w:val="0"/>
          <w:i w:val="0"/>
        </w:rPr>
        <w:t>).</w:t>
      </w:r>
    </w:p>
    <w:p>
      <w:pPr>
        <w:pStyle w:val="ListBullet"/>
      </w:pPr>
      <w:r>
        <w:rPr>
          <w:b/>
          <w:i w:val="0"/>
        </w:rPr>
        <w:t>State the chain of inferences</w:t>
      </w:r>
      <w:r>
        <w:rPr>
          <w:b w:val="0"/>
          <w:i w:val="0"/>
        </w:rPr>
        <w:t xml:space="preserve"> and test each link ("Show me the body"; the passports drawer; consenting to a polygraph). At trial, "irrelevant" covers both probativeness and materiality.</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104(b):</w:t>
            </w:r>
            <w:r>
              <w:rPr>
                <w:b w:val="0"/>
                <w:i w:val="0"/>
              </w:rPr>
              <w:t xml:space="preserve"> when the relevance of evidence depends on whether a fact exists, proof must be introduced sufficient to support a finding that the fact exists. The court may admit the evidence on the condition that the proof be introduced later. </w:t>
            </w:r>
            <w:r>
              <w:rPr>
                <w:b/>
                <w:i w:val="0"/>
              </w:rPr>
              <w:t>Standard (Huddleston):</w:t>
            </w:r>
            <w:r>
              <w:rPr>
                <w:b w:val="0"/>
                <w:i w:val="0"/>
              </w:rPr>
              <w:t xml:space="preserve"> whether a jury could reasonably find the conditional fact by a preponderance; the judge does not weigh credibility. </w:t>
            </w:r>
            <w:r>
              <w:rPr>
                <w:b/>
                <w:i w:val="0"/>
              </w:rPr>
              <w:t>Contrast 104(a):</w:t>
            </w:r>
            <w:r>
              <w:rPr>
                <w:b w:val="0"/>
                <w:i w:val="0"/>
              </w:rPr>
              <w:t xml:space="preserve"> the judge herself decides admissibility questions (hearsay foundations, privilege, qualification) by a preponderance and is not bound by the evidence rules except privilege.</w:t>
            </w:r>
          </w:p>
        </w:tc>
      </w:tr>
    </w:tbl>
    <w:p/>
    <w:p>
      <w:pPr>
        <w:pStyle w:val="ListBullet"/>
      </w:pPr>
      <w:r>
        <w:rPr>
          <w:b w:val="0"/>
          <w:i w:val="0"/>
        </w:rPr>
        <w:t>Nearly all relevance is conditional on something (slides: the weapon bought the day before is relevant unless it was a candlestick during a citywide blackout, or one of hundreds of hunting rifles sold in hunting season). "Sharp lawyers will identify the missing links."</w:t>
      </w:r>
    </w:p>
    <w:p>
      <w:pPr>
        <w:pStyle w:val="Heading3"/>
      </w:pPr>
      <w:r>
        <w:rPr>
          <w:b w:val="0"/>
          <w:i w:val="0"/>
        </w:rPr>
        <w:t>Cases</w:t>
      </w:r>
    </w:p>
    <w:p>
      <w:pPr>
        <w:spacing w:before="160"/>
      </w:pPr>
      <w:r>
        <w:rPr>
          <w:b/>
          <w:i w:val="0"/>
          <w:color w:val="B91C1C"/>
        </w:rPr>
        <w:t>United States v. James, 169 F.3d 1210 (9th Cir. 1999) (en banc)</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James handed her daughter a gun, and the daughter killed James's violent boyfriend, Ogden, who had bragged to James about past stabbings and a knife robbery. James, charged with aiding and abetting manslaughter, claimed self-defense. The trial court excluded court records proving Ogden really committed the robbery because James never saw them; the jury asked whether the stories were "fact" or "brag."</w:t>
      </w:r>
    </w:p>
    <w:p>
      <w:r>
        <w:rPr>
          <w:b/>
          <w:i w:val="0"/>
          <w:color w:val="15803D"/>
        </w:rPr>
        <w:t xml:space="preserve">Held:   </w:t>
      </w:r>
      <w:r>
        <w:rPr>
          <w:b w:val="0"/>
          <w:i w:val="0"/>
        </w:rPr>
        <w:t xml:space="preserve">Reversed. The records were relevant to James's </w:t>
      </w:r>
      <w:r>
        <w:rPr>
          <w:b/>
          <w:i w:val="0"/>
        </w:rPr>
        <w:t>credibility</w:t>
      </w:r>
      <w:r>
        <w:rPr>
          <w:b w:val="0"/>
          <w:i w:val="0"/>
        </w:rPr>
        <w:t xml:space="preserve"> about what Ogden told her, even though she never saw them. Kleinfeld, J., dissenting: the records invited the jury to decide whether the victim deserved to die (403).</w:t>
      </w:r>
    </w:p>
    <w:p>
      <w:r>
        <w:rPr>
          <w:b/>
          <w:i w:val="0"/>
          <w:color w:val="8A6100"/>
        </w:rPr>
        <w:t xml:space="preserve">Why it matters:   </w:t>
      </w:r>
      <w:r>
        <w:rPr>
          <w:b w:val="0"/>
          <w:i w:val="0"/>
        </w:rPr>
        <w:t xml:space="preserve">Materiality turns on the elements (her reasonable belief), and probativeness can run through credibility. Slides: the trial court asked whether the records were relevant to her </w:t>
      </w:r>
      <w:r>
        <w:rPr>
          <w:b/>
          <w:i w:val="0"/>
        </w:rPr>
        <w:t>state of mind</w:t>
      </w:r>
      <w:r>
        <w:rPr>
          <w:b w:val="0"/>
          <w:i w:val="0"/>
        </w:rPr>
        <w:t xml:space="preserve">; the en banc court asked whether they were relevant to her </w:t>
      </w:r>
      <w:r>
        <w:rPr>
          <w:b/>
          <w:i w:val="0"/>
        </w:rPr>
        <w:t>testimony about</w:t>
      </w:r>
      <w:r>
        <w:rPr>
          <w:b w:val="0"/>
          <w:i w:val="0"/>
        </w:rPr>
        <w:t xml:space="preserve"> her state of mind. (The casebook caption misprints "F.2d.")</w:t>
      </w:r>
    </w:p>
    <w:p>
      <w:pPr>
        <w:spacing w:before="160"/>
      </w:pPr>
      <w:r>
        <w:rPr>
          <w:b/>
          <w:i w:val="0"/>
          <w:color w:val="B91C1C"/>
        </w:rPr>
        <w:t>Cox v. State, 696 N.E.2d 853 (Ind. 1998)</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To show Cox's motive to kill Leonard, the State proved that at Cox's friend's bond hearing new molestation charges were announced and bond was not reduced. Cox objected that he did not know what happened at the hearing.</w:t>
      </w:r>
    </w:p>
    <w:p>
      <w:r>
        <w:rPr>
          <w:b/>
          <w:i w:val="0"/>
          <w:color w:val="15803D"/>
        </w:rPr>
        <w:t xml:space="preserve">Held:   </w:t>
      </w:r>
      <w:r>
        <w:rPr>
          <w:b w:val="0"/>
          <w:i w:val="0"/>
        </w:rPr>
        <w:t>Admissible under 104(b). Cox was at the house of the friend's mother (who attended the hearing) almost every day before and after it, so a jury could reasonably find he knew. (The casebook caption misprints the citation as 606 N.E.2d 855 (1995).)</w:t>
      </w:r>
    </w:p>
    <w:p>
      <w:r>
        <w:rPr>
          <w:b/>
          <w:i w:val="0"/>
          <w:color w:val="8A6100"/>
        </w:rPr>
        <w:t xml:space="preserve">Why it matters:   </w:t>
      </w:r>
      <w:r>
        <w:rPr>
          <w:b w:val="0"/>
          <w:i w:val="0"/>
        </w:rPr>
        <w:t>The template for "relevant only if the defendant knew."</w:t>
      </w:r>
    </w:p>
    <w:p>
      <w:pPr>
        <w:pStyle w:val="Heading2"/>
      </w:pPr>
      <w:r>
        <w:rPr>
          <w:b w:val="0"/>
          <w:i w:val="0"/>
        </w:rPr>
        <w:t>3. Unfair Prejudice (FRE 403)</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403:</w:t>
            </w:r>
            <w:r>
              <w:rPr>
                <w:b w:val="0"/>
                <w:i w:val="0"/>
              </w:rPr>
              <w:t xml:space="preserve"> the court </w:t>
            </w:r>
            <w:r>
              <w:rPr>
                <w:b/>
                <w:i w:val="0"/>
              </w:rPr>
              <w:t>may exclude</w:t>
            </w:r>
            <w:r>
              <w:rPr>
                <w:b w:val="0"/>
                <w:i w:val="0"/>
              </w:rPr>
              <w:t xml:space="preserve"> relevant evidence if its probative value is </w:t>
            </w:r>
            <w:r>
              <w:rPr>
                <w:b/>
                <w:i w:val="0"/>
              </w:rPr>
              <w:t>substantially outweighed</w:t>
            </w:r>
            <w:r>
              <w:rPr>
                <w:b w:val="0"/>
                <w:i w:val="0"/>
              </w:rPr>
              <w:t xml:space="preserve"> by a danger of unfair prejudice, confusing the issues, misleading the jury, undue delay, wasting time, or needlessly presenting cumulative evidence.</w:t>
            </w:r>
          </w:p>
        </w:tc>
      </w:tr>
    </w:tbl>
    <w:p/>
    <w:p>
      <w:pPr>
        <w:pStyle w:val="ListBullet"/>
      </w:pPr>
      <w:r>
        <w:rPr>
          <w:b/>
          <w:i w:val="0"/>
        </w:rPr>
        <w:t>Pro-admission:</w:t>
      </w:r>
      <w:r>
        <w:rPr>
          <w:b w:val="0"/>
          <w:i w:val="0"/>
        </w:rPr>
        <w:t xml:space="preserve"> exclusion only when the imbalance is substantial. Reviewed for abuse of discretion, then harmlessness.</w:t>
      </w:r>
    </w:p>
    <w:p>
      <w:pPr>
        <w:pStyle w:val="ListBullet"/>
      </w:pPr>
      <w:r>
        <w:rPr>
          <w:b/>
          <w:i w:val="0"/>
        </w:rPr>
        <w:t>Unfair prejudice</w:t>
      </w:r>
      <w:r>
        <w:rPr>
          <w:b w:val="0"/>
          <w:i w:val="0"/>
        </w:rPr>
        <w:t xml:space="preserve"> is "an undue tendency to suggest decision on an improper basis, commonly, though not necessarily, an emotional one" (ACN), including the propensity inference (Old Chief) and overvaluation (Collins).</w:t>
      </w:r>
    </w:p>
    <w:p>
      <w:pPr>
        <w:pStyle w:val="ListBullet"/>
      </w:pPr>
      <w:r>
        <w:rPr>
          <w:b/>
          <w:i w:val="0"/>
        </w:rPr>
        <w:t>Factors:</w:t>
      </w:r>
      <w:r>
        <w:rPr>
          <w:b w:val="0"/>
          <w:i w:val="0"/>
        </w:rPr>
        <w:t xml:space="preserve"> whether the fact is actually disputed; the availability of other means of proof (ACN); the likely effectiveness of a limiting instruction.</w:t>
      </w:r>
    </w:p>
    <w:p>
      <w:pPr>
        <w:pStyle w:val="ListBullet"/>
      </w:pPr>
      <w:r>
        <w:rPr>
          <w:b/>
          <w:i w:val="0"/>
        </w:rPr>
        <w:t>Only exemption:</w:t>
      </w:r>
      <w:r>
        <w:rPr>
          <w:b w:val="0"/>
          <w:i w:val="0"/>
        </w:rPr>
        <w:t xml:space="preserve"> crimen falsi convictions under 609(a)(2) must be admitted with no balancing.</w:t>
      </w:r>
    </w:p>
    <w:p>
      <w:pPr>
        <w:pStyle w:val="ListBullet"/>
      </w:pPr>
      <w:r>
        <w:rPr>
          <w:b/>
          <w:i w:val="0"/>
        </w:rPr>
        <w:t xml:space="preserve">Flight (slides; the </w:t>
      </w:r>
      <w:r>
        <w:rPr>
          <w:b/>
          <w:i/>
        </w:rPr>
        <w:t>Myers</w:t>
      </w:r>
      <w:r>
        <w:rPr>
          <w:b/>
          <w:i w:val="0"/>
        </w:rPr>
        <w:t xml:space="preserve"> four-link chain):</w:t>
      </w:r>
      <w:r>
        <w:rPr>
          <w:b w:val="0"/>
          <w:i w:val="0"/>
        </w:rPr>
        <w:t xml:space="preserve"> (1) behavior → flight; (2) flight → consciousness of guilt; (3) → consciousness of guilt of </w:t>
      </w:r>
      <w:r>
        <w:rPr>
          <w:b/>
          <w:i w:val="0"/>
        </w:rPr>
        <w:t>the crime charged</w:t>
      </w:r>
      <w:r>
        <w:rPr>
          <w:b w:val="0"/>
          <w:i w:val="0"/>
        </w:rPr>
        <w:t xml:space="preserve">; (4) → actual guilt. Each link can fail. Race may weaken link 2 (Gonzales Rose; </w:t>
      </w:r>
      <w:r>
        <w:rPr>
          <w:b w:val="0"/>
          <w:i/>
        </w:rPr>
        <w:t>Commonwealth v. Warren</w:t>
      </w:r>
      <w:r>
        <w:rPr>
          <w:b w:val="0"/>
          <w:i w:val="0"/>
        </w:rPr>
        <w:t>, Mass. 2016: flight by Black men in Boston "is not necessarily probative" of guilt). Explaining flight may force a defendant to reveal a prior record (</w:t>
      </w:r>
      <w:r>
        <w:rPr>
          <w:b w:val="0"/>
          <w:i/>
        </w:rPr>
        <w:t>Cutchall</w:t>
      </w:r>
      <w:r>
        <w:rPr>
          <w:b w:val="0"/>
          <w:i w:val="0"/>
        </w:rPr>
        <w:t>) or an uncharged crime (</w:t>
      </w:r>
      <w:r>
        <w:rPr>
          <w:b w:val="0"/>
          <w:i/>
        </w:rPr>
        <w:t>Johnson</w:t>
      </w:r>
      <w:r>
        <w:rPr>
          <w:b w:val="0"/>
          <w:i w:val="0"/>
        </w:rPr>
        <w:t>'s marijuana).</w:t>
      </w:r>
    </w:p>
    <w:p>
      <w:pPr>
        <w:pStyle w:val="ListBullet"/>
      </w:pPr>
      <w:r>
        <w:rPr>
          <w:b/>
          <w:i w:val="0"/>
        </w:rPr>
        <w:t>Slides' 403 exercises:</w:t>
      </w:r>
      <w:r>
        <w:rPr>
          <w:b w:val="0"/>
          <w:i w:val="0"/>
        </w:rPr>
        <w:t xml:space="preserve"> the </w:t>
      </w:r>
      <w:r>
        <w:rPr>
          <w:b w:val="0"/>
          <w:i/>
        </w:rPr>
        <w:t>Godfather Part II</w:t>
      </w:r>
      <w:r>
        <w:rPr>
          <w:b w:val="0"/>
          <w:i w:val="0"/>
        </w:rPr>
        <w:t xml:space="preserve"> "Pentangeli" clip (mob associations versus Stone's deliberate allusion); Chauvin's computer animation (lifelike persuasion versus less dramatic than the real video; authentication may be the better objection); "spark-of-life" photos of a homicide victim (Minnesota allows them to humanize victims).</w:t>
      </w:r>
    </w:p>
    <w:p>
      <w:pPr>
        <w:pStyle w:val="Heading3"/>
      </w:pPr>
      <w:r>
        <w:rPr>
          <w:b w:val="0"/>
          <w:i w:val="0"/>
        </w:rPr>
        <w:t>Cases</w:t>
      </w:r>
    </w:p>
    <w:p>
      <w:pPr>
        <w:spacing w:before="160"/>
      </w:pPr>
      <w:r>
        <w:rPr>
          <w:b/>
          <w:i w:val="0"/>
          <w:color w:val="B91C1C"/>
        </w:rPr>
        <w:t>State v. Bocharski, 200 Ariz. 50 (2001)</w:t>
      </w:r>
      <w:r>
        <w:rPr>
          <w:color w:val="B91C1C"/>
        </w:rPr>
        <w:t xml:space="preserve">   </w:t>
      </w:r>
      <w:r>
        <w:rPr>
          <w:b/>
          <w:color w:val="FFFFFF"/>
          <w:shd w:val="clear" w:color="auto" w:fill="B91C1C"/>
        </w:rPr>
        <w:t xml:space="preserve"> MAIN CASE · CLASSES 2–3 </w:t>
      </w:r>
    </w:p>
    <w:p>
      <w:r>
        <w:rPr>
          <w:b/>
          <w:i w:val="0"/>
          <w:color w:val="1D4ED8"/>
        </w:rPr>
        <w:t xml:space="preserve">Facts:   </w:t>
      </w:r>
      <w:r>
        <w:rPr>
          <w:b w:val="0"/>
          <w:i w:val="0"/>
        </w:rPr>
        <w:t>Six gruesome photographs in a stabbing murder, including autopsy photos of the opened skull with a rod through a wound. The defendant did not contest the fact, cause, or extent of the injuries.</w:t>
      </w:r>
    </w:p>
    <w:p>
      <w:r>
        <w:rPr>
          <w:b/>
          <w:i w:val="0"/>
          <w:color w:val="15803D"/>
        </w:rPr>
        <w:t xml:space="preserve">Held:   </w:t>
      </w:r>
      <w:r>
        <w:rPr>
          <w:b w:val="0"/>
          <w:i w:val="0"/>
        </w:rPr>
        <w:t>Four photos were properly admitted (they bore on the disputed time of death and the wounds a juror asked about). The two autopsy photos had little tendency to prove any disputed issue and were "introduced primarily to inflame the jury," but the error was harmless.</w:t>
      </w:r>
    </w:p>
    <w:p>
      <w:r>
        <w:rPr>
          <w:b/>
          <w:i w:val="0"/>
          <w:color w:val="8A6100"/>
        </w:rPr>
        <w:t xml:space="preserve">Why it matters:   </w:t>
      </w:r>
      <w:r>
        <w:rPr>
          <w:b w:val="0"/>
          <w:i w:val="0"/>
        </w:rPr>
        <w:t>An undisputed fact shrinks probative value on the 403 scale without making the evidence irrelevant.</w:t>
      </w:r>
    </w:p>
    <w:p>
      <w:pPr>
        <w:spacing w:before="160"/>
      </w:pPr>
      <w:r>
        <w:rPr>
          <w:b/>
          <w:i w:val="0"/>
          <w:color w:val="B91C1C"/>
        </w:rPr>
        <w:t>People v. Collins, 68 Cal. 2d 319 (1968)</w:t>
      </w:r>
      <w:r>
        <w:rPr>
          <w:color w:val="B91C1C"/>
        </w:rPr>
        <w:t xml:space="preserve">   </w:t>
      </w:r>
      <w:r>
        <w:rPr>
          <w:b/>
          <w:color w:val="FFFFFF"/>
          <w:shd w:val="clear" w:color="auto" w:fill="B91C1C"/>
        </w:rPr>
        <w:t xml:space="preserve"> MAIN CASE · CLASS 4 </w:t>
      </w:r>
    </w:p>
    <w:p>
      <w:r>
        <w:rPr>
          <w:b/>
          <w:i w:val="0"/>
          <w:color w:val="1D4ED8"/>
        </w:rPr>
        <w:t xml:space="preserve">Facts:   </w:t>
      </w:r>
      <w:r>
        <w:rPr>
          <w:b w:val="0"/>
          <w:i w:val="0"/>
        </w:rPr>
        <w:t>No one could identify the robbers. A math instructor multiplied probabilities the prosecutor simply assumed (a partly yellow car 1/10, a mustache 1/4, an interracial couple 1/1000, and so on) to get 1 in 12 million.</w:t>
      </w:r>
    </w:p>
    <w:p>
      <w:r>
        <w:rPr>
          <w:b/>
          <w:i w:val="0"/>
          <w:color w:val="15803D"/>
        </w:rPr>
        <w:t xml:space="preserve">Held:   </w:t>
      </w:r>
      <w:r>
        <w:rPr>
          <w:b w:val="0"/>
          <w:i w:val="0"/>
        </w:rPr>
        <w:t xml:space="preserve">Reversed. The testimony (1) lacked a foundation: no evidence supported the numbers, and the factors were not independent; and (2) distracted the jury with an impressive expert the defense could not refute. Even accepted, the figure did not show </w:t>
      </w:r>
      <w:r>
        <w:rPr>
          <w:b/>
          <w:i w:val="0"/>
        </w:rPr>
        <w:t>this</w:t>
      </w:r>
      <w:r>
        <w:rPr>
          <w:b w:val="0"/>
          <w:i w:val="0"/>
        </w:rPr>
        <w:t xml:space="preserve"> couple was guilty.</w:t>
      </w:r>
    </w:p>
    <w:p>
      <w:r>
        <w:rPr>
          <w:b/>
          <w:i w:val="0"/>
          <w:color w:val="8A6100"/>
        </w:rPr>
        <w:t xml:space="preserve">Why it matters:   </w:t>
      </w:r>
      <w:r>
        <w:rPr>
          <w:b w:val="0"/>
          <w:i w:val="0"/>
        </w:rPr>
        <w:t>Probability evidence is admissible when built on real data (DNA). The problem was "made up numbers and interrelated variables" (slides).</w:t>
      </w:r>
    </w:p>
    <w:p>
      <w:pPr>
        <w:spacing w:before="160"/>
      </w:pPr>
      <w:r>
        <w:rPr>
          <w:b/>
          <w:i w:val="0"/>
          <w:color w:val="B91C1C"/>
        </w:rPr>
        <w:t>Old Chief v. United States, 519 U.S. 172 (1997)</w:t>
      </w:r>
      <w:r>
        <w:rPr>
          <w:color w:val="B91C1C"/>
        </w:rPr>
        <w:t xml:space="preserve">   </w:t>
      </w:r>
      <w:r>
        <w:rPr>
          <w:b/>
          <w:color w:val="FFFFFF"/>
          <w:shd w:val="clear" w:color="auto" w:fill="B91C1C"/>
        </w:rPr>
        <w:t xml:space="preserve"> MAIN CASE · CLASS 4 </w:t>
      </w:r>
    </w:p>
    <w:p>
      <w:r>
        <w:rPr>
          <w:b/>
          <w:i w:val="0"/>
          <w:color w:val="1D4ED8"/>
        </w:rPr>
        <w:t xml:space="preserve">Facts:   </w:t>
      </w:r>
      <w:r>
        <w:rPr>
          <w:b w:val="0"/>
          <w:i w:val="0"/>
        </w:rPr>
        <w:t>Charged with possessing a firearm after a felony conviction, Old Chief offered to stipulate to the prior-conviction element. The government refused and proved the record naming his prior crime (assault causing serious bodily injury).</w:t>
      </w:r>
    </w:p>
    <w:p>
      <w:r>
        <w:rPr>
          <w:b/>
          <w:i w:val="0"/>
          <w:color w:val="15803D"/>
        </w:rPr>
        <w:t xml:space="preserve">Held:   </w:t>
      </w:r>
      <w:r>
        <w:rPr>
          <w:b w:val="0"/>
          <w:i w:val="0"/>
        </w:rPr>
        <w:t xml:space="preserve">Abuse of discretion (Souter, J., 5–4). The record was relevant, but when the only issue is </w:t>
      </w:r>
      <w:r>
        <w:rPr>
          <w:b/>
          <w:i w:val="0"/>
        </w:rPr>
        <w:t>legal status</w:t>
      </w:r>
      <w:r>
        <w:rPr>
          <w:b w:val="0"/>
          <w:i w:val="0"/>
        </w:rPr>
        <w:t>, the name of the offense adds nothing and invites a propensity inference, so the court must accept the concession. Ordinarily the prosecution may prove its case its own way, for narrative richness, a morally reasonable verdict, and jurors' expectations. Dissent (O'Connor, J.): prejudicial, but not unfairly so.</w:t>
      </w:r>
    </w:p>
    <w:p>
      <w:r>
        <w:rPr>
          <w:b/>
          <w:i w:val="0"/>
          <w:color w:val="8A6100"/>
        </w:rPr>
        <w:t xml:space="preserve">Why it matters:   </w:t>
      </w:r>
      <w:r>
        <w:rPr>
          <w:b w:val="0"/>
          <w:i w:val="0"/>
        </w:rPr>
        <w:t>Under 403 the court weighs evidentiary alternatives. The holding is confined to status elements.</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 xml:space="preserve">403 analysis: (1) probative value on a </w:t>
            </w:r>
            <w:r>
              <w:rPr>
                <w:b/>
                <w:i w:val="0"/>
              </w:rPr>
              <w:t>disputed</w:t>
            </w:r>
            <w:r>
              <w:rPr>
                <w:b w:val="0"/>
                <w:i w:val="0"/>
              </w:rPr>
              <w:t xml:space="preserve"> fact, discounted for concessions and alternatives; (2) the specific danger; (3) is it </w:t>
            </w:r>
            <w:r>
              <w:rPr>
                <w:b/>
                <w:i w:val="0"/>
              </w:rPr>
              <w:t>substantially</w:t>
            </w:r>
            <w:r>
              <w:rPr>
                <w:b w:val="0"/>
                <w:i w:val="0"/>
              </w:rPr>
              <w:t xml:space="preserve"> outweighed? (4) less prejudicial alternatives and a 105 instruction; (5) abuse of discretion and harmlessness.</w:t>
            </w:r>
          </w:p>
        </w:tc>
      </w:tr>
    </w:tbl>
    <w:p/>
    <w:p>
      <w:pPr>
        <w:pStyle w:val="Heading1"/>
      </w:pPr>
      <w:r>
        <w:rPr>
          <w:b w:val="0"/>
          <w:i w:val="0"/>
        </w:rPr>
        <w:t>PART II — THE SPECIALIZED RELEVANCE RULES (FRE 407–411)</w:t>
      </w:r>
    </w:p>
    <w:p>
      <w:pPr>
        <w:pStyle w:val="Heading2"/>
      </w:pPr>
      <w:r>
        <w:rPr>
          <w:b w:val="0"/>
          <w:i w:val="0"/>
        </w:rPr>
        <w:t>4. Structure and Rationale</w:t>
      </w:r>
    </w:p>
    <w:p>
      <w:pPr>
        <w:pStyle w:val="ListBullet"/>
      </w:pPr>
      <w:r>
        <w:rPr>
          <w:b w:val="0"/>
          <w:i w:val="0"/>
        </w:rPr>
        <w:t xml:space="preserve">Each rule reflects a judgment that the evidence fails 403 </w:t>
      </w:r>
      <w:r>
        <w:rPr>
          <w:b/>
          <w:i w:val="0"/>
        </w:rPr>
        <w:t>as a matter of law</w:t>
      </w:r>
      <w:r>
        <w:rPr>
          <w:b w:val="0"/>
          <w:i w:val="0"/>
        </w:rPr>
        <w:t xml:space="preserve"> and serves a public policy. 407, 408, 409, and 411 bar only certain </w:t>
      </w:r>
      <w:r>
        <w:rPr>
          <w:b/>
          <w:i w:val="0"/>
        </w:rPr>
        <w:t>purposes</w:t>
      </w:r>
      <w:r>
        <w:rPr>
          <w:b w:val="0"/>
          <w:i w:val="0"/>
        </w:rPr>
        <w:t xml:space="preserve">. </w:t>
      </w:r>
      <w:r>
        <w:rPr>
          <w:b/>
          <w:i w:val="0"/>
        </w:rPr>
        <w:t>410 bars the evidence for all purposes</w:t>
      </w:r>
      <w:r>
        <w:rPr>
          <w:b w:val="0"/>
          <w:i w:val="0"/>
        </w:rPr>
        <w:t xml:space="preserve"> against the defendant, with two narrow exceptions.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1F3864"/>
          </w:tcPr>
          <w:p>
            <w:r>
              <w:rPr>
                <w:b/>
                <w:i w:val="0"/>
                <w:color w:val="FFFFFF"/>
                <w:sz w:val="19"/>
              </w:rPr>
              <w:t>Rule</w:t>
            </w:r>
          </w:p>
        </w:tc>
        <w:tc>
          <w:tcPr>
            <w:tcW w:type="dxa" w:w="3360"/>
            <w:shd w:val="clear" w:color="auto" w:fill="1F3864"/>
          </w:tcPr>
          <w:p>
            <w:r>
              <w:rPr>
                <w:b/>
                <w:i w:val="0"/>
                <w:color w:val="FFFFFF"/>
                <w:sz w:val="19"/>
              </w:rPr>
              <w:t>Barred use</w:t>
            </w:r>
          </w:p>
        </w:tc>
        <w:tc>
          <w:tcPr>
            <w:tcW w:type="dxa" w:w="3360"/>
            <w:shd w:val="clear" w:color="auto" w:fill="1F3864"/>
          </w:tcPr>
          <w:p>
            <w:r>
              <w:rPr>
                <w:b/>
                <w:i w:val="0"/>
                <w:color w:val="FFFFFF"/>
                <w:sz w:val="19"/>
              </w:rPr>
              <w:t>Permitted uses (examples)</w:t>
            </w:r>
          </w:p>
        </w:tc>
      </w:tr>
      <w:tr>
        <w:tc>
          <w:tcPr>
            <w:tcW w:type="dxa" w:w="3360"/>
            <w:shd w:val="clear" w:color="auto" w:fill="FDEDED"/>
          </w:tcPr>
          <w:p>
            <w:r>
              <w:rPr>
                <w:b/>
                <w:i w:val="0"/>
                <w:sz w:val="19"/>
              </w:rPr>
              <w:t>407 subsequent remedial measures</w:t>
            </w:r>
          </w:p>
        </w:tc>
        <w:tc>
          <w:tcPr>
            <w:tcW w:type="dxa" w:w="3360"/>
            <w:shd w:val="clear" w:color="auto" w:fill="FDEDED"/>
          </w:tcPr>
          <w:p>
            <w:r>
              <w:rPr>
                <w:b w:val="0"/>
                <w:i w:val="0"/>
                <w:sz w:val="19"/>
              </w:rPr>
              <w:t>Negligence; culpable conduct; product or design defect; need for a warning</w:t>
            </w:r>
          </w:p>
        </w:tc>
        <w:tc>
          <w:tcPr>
            <w:tcW w:type="dxa" w:w="3360"/>
            <w:shd w:val="clear" w:color="auto" w:fill="FDEDED"/>
          </w:tcPr>
          <w:p>
            <w:r>
              <w:rPr>
                <w:b w:val="0"/>
                <w:i w:val="0"/>
                <w:sz w:val="19"/>
              </w:rPr>
              <w:t xml:space="preserve">Impeachment; </w:t>
            </w:r>
            <w:r>
              <w:rPr>
                <w:b/>
                <w:i w:val="0"/>
                <w:sz w:val="19"/>
              </w:rPr>
              <w:t>if disputed</w:t>
            </w:r>
            <w:r>
              <w:rPr>
                <w:b w:val="0"/>
                <w:i w:val="0"/>
                <w:sz w:val="19"/>
              </w:rPr>
              <w:t>, ownership, control, feasibility</w:t>
            </w:r>
          </w:p>
        </w:tc>
      </w:tr>
      <w:tr>
        <w:tc>
          <w:tcPr>
            <w:tcW w:type="dxa" w:w="3360"/>
            <w:shd w:val="clear" w:color="auto" w:fill="FFF1E6"/>
          </w:tcPr>
          <w:p>
            <w:r>
              <w:rPr>
                <w:b/>
                <w:i w:val="0"/>
                <w:sz w:val="19"/>
              </w:rPr>
              <w:t>408 compromise</w:t>
            </w:r>
          </w:p>
        </w:tc>
        <w:tc>
          <w:tcPr>
            <w:tcW w:type="dxa" w:w="3360"/>
            <w:shd w:val="clear" w:color="auto" w:fill="FFF1E6"/>
          </w:tcPr>
          <w:p>
            <w:r>
              <w:rPr>
                <w:b w:val="0"/>
                <w:i w:val="0"/>
                <w:sz w:val="19"/>
              </w:rPr>
              <w:t xml:space="preserve">To prove or disprove validity or amount of a </w:t>
            </w:r>
            <w:r>
              <w:rPr>
                <w:b/>
                <w:i w:val="0"/>
                <w:sz w:val="19"/>
              </w:rPr>
              <w:t>disputed</w:t>
            </w:r>
            <w:r>
              <w:rPr>
                <w:b w:val="0"/>
                <w:i w:val="0"/>
                <w:sz w:val="19"/>
              </w:rPr>
              <w:t xml:space="preserve"> claim; to impeach by prior inconsistent statement or contradiction</w:t>
            </w:r>
          </w:p>
        </w:tc>
        <w:tc>
          <w:tcPr>
            <w:tcW w:type="dxa" w:w="3360"/>
            <w:shd w:val="clear" w:color="auto" w:fill="FFF1E6"/>
          </w:tcPr>
          <w:p>
            <w:r>
              <w:rPr>
                <w:b w:val="0"/>
                <w:i w:val="0"/>
                <w:sz w:val="19"/>
              </w:rPr>
              <w:t>Bias; negating undue delay; obstruction</w:t>
            </w:r>
          </w:p>
        </w:tc>
      </w:tr>
      <w:tr>
        <w:tc>
          <w:tcPr>
            <w:tcW w:type="dxa" w:w="3360"/>
            <w:shd w:val="clear" w:color="auto" w:fill="FEF9E7"/>
          </w:tcPr>
          <w:p>
            <w:r>
              <w:rPr>
                <w:b/>
                <w:i w:val="0"/>
                <w:sz w:val="19"/>
              </w:rPr>
              <w:t>409 medical expenses</w:t>
            </w:r>
          </w:p>
        </w:tc>
        <w:tc>
          <w:tcPr>
            <w:tcW w:type="dxa" w:w="3360"/>
            <w:shd w:val="clear" w:color="auto" w:fill="FEF9E7"/>
          </w:tcPr>
          <w:p>
            <w:r>
              <w:rPr>
                <w:b w:val="0"/>
                <w:i w:val="0"/>
                <w:sz w:val="19"/>
              </w:rPr>
              <w:t>Offer or payment, to prove liability</w:t>
            </w:r>
          </w:p>
        </w:tc>
        <w:tc>
          <w:tcPr>
            <w:tcW w:type="dxa" w:w="3360"/>
            <w:shd w:val="clear" w:color="auto" w:fill="FEF9E7"/>
          </w:tcPr>
          <w:p>
            <w:r>
              <w:rPr>
                <w:b w:val="0"/>
                <w:i w:val="0"/>
                <w:sz w:val="19"/>
              </w:rPr>
              <w:t xml:space="preserve">Everything else; </w:t>
            </w:r>
            <w:r>
              <w:rPr>
                <w:b/>
                <w:i w:val="0"/>
                <w:sz w:val="19"/>
              </w:rPr>
              <w:t>statements</w:t>
            </w:r>
            <w:r>
              <w:rPr>
                <w:b w:val="0"/>
                <w:i w:val="0"/>
                <w:sz w:val="19"/>
              </w:rPr>
              <w:t xml:space="preserve"> with the offer are not covered</w:t>
            </w:r>
          </w:p>
        </w:tc>
      </w:tr>
      <w:tr>
        <w:tc>
          <w:tcPr>
            <w:tcW w:type="dxa" w:w="3360"/>
            <w:shd w:val="clear" w:color="auto" w:fill="EAF7EE"/>
          </w:tcPr>
          <w:p>
            <w:r>
              <w:rPr>
                <w:b/>
                <w:i w:val="0"/>
                <w:sz w:val="19"/>
              </w:rPr>
              <w:t>410 pleas</w:t>
            </w:r>
          </w:p>
        </w:tc>
        <w:tc>
          <w:tcPr>
            <w:tcW w:type="dxa" w:w="3360"/>
            <w:shd w:val="clear" w:color="auto" w:fill="EAF7EE"/>
          </w:tcPr>
          <w:p>
            <w:r>
              <w:rPr>
                <w:b w:val="0"/>
                <w:i w:val="0"/>
                <w:sz w:val="19"/>
              </w:rPr>
              <w:t>All uses against the defendant</w:t>
            </w:r>
          </w:p>
        </w:tc>
        <w:tc>
          <w:tcPr>
            <w:tcW w:type="dxa" w:w="3360"/>
            <w:shd w:val="clear" w:color="auto" w:fill="EAF7EE"/>
          </w:tcPr>
          <w:p>
            <w:r>
              <w:rPr>
                <w:b w:val="0"/>
                <w:i w:val="0"/>
                <w:sz w:val="19"/>
              </w:rPr>
              <w:t>(b)(1) completeness; (b)(2) perjury or false-statement prosecution</w:t>
            </w:r>
          </w:p>
        </w:tc>
      </w:tr>
      <w:tr>
        <w:tc>
          <w:tcPr>
            <w:tcW w:type="dxa" w:w="3360"/>
            <w:shd w:val="clear" w:color="auto" w:fill="EAF1FD"/>
          </w:tcPr>
          <w:p>
            <w:r>
              <w:rPr>
                <w:b/>
                <w:i w:val="0"/>
                <w:sz w:val="19"/>
              </w:rPr>
              <w:t>411 liability insurance</w:t>
            </w:r>
          </w:p>
        </w:tc>
        <w:tc>
          <w:tcPr>
            <w:tcW w:type="dxa" w:w="3360"/>
            <w:shd w:val="clear" w:color="auto" w:fill="EAF1FD"/>
          </w:tcPr>
          <w:p>
            <w:r>
              <w:rPr>
                <w:b w:val="0"/>
                <w:i w:val="0"/>
                <w:sz w:val="19"/>
              </w:rPr>
              <w:t>To prove negligence or wrongful conduct</w:t>
            </w:r>
          </w:p>
        </w:tc>
        <w:tc>
          <w:tcPr>
            <w:tcW w:type="dxa" w:w="3360"/>
            <w:shd w:val="clear" w:color="auto" w:fill="EAF1FD"/>
          </w:tcPr>
          <w:p>
            <w:r>
              <w:rPr>
                <w:b w:val="0"/>
                <w:i w:val="0"/>
                <w:sz w:val="19"/>
              </w:rPr>
              <w:t>Bias; agency, ownership, control</w:t>
            </w:r>
          </w:p>
        </w:tc>
      </w:tr>
    </w:tbl>
    <w:p/>
    <w:p>
      <w:pPr>
        <w:pStyle w:val="ListBullet"/>
      </w:pPr>
      <w:r>
        <w:rPr>
          <w:b/>
          <w:i w:val="0"/>
        </w:rPr>
        <w:t>Jury research (Diamond &amp; Vidmar, Arizona Jury Project):</w:t>
      </w:r>
      <w:r>
        <w:rPr>
          <w:b w:val="0"/>
          <w:i w:val="0"/>
        </w:rPr>
        <w:t xml:space="preserve"> jurors discussed insurance in 85% of trials, mostly the </w:t>
      </w:r>
      <w:r>
        <w:rPr>
          <w:b/>
          <w:i w:val="0"/>
        </w:rPr>
        <w:t>plaintiff's</w:t>
      </w:r>
      <w:r>
        <w:rPr>
          <w:b w:val="0"/>
          <w:i w:val="0"/>
        </w:rPr>
        <w:t xml:space="preserve"> coverage. Blindfolding through limiting instructions often fails; educating jurors may work better.</w:t>
      </w:r>
    </w:p>
    <w:p>
      <w:pPr>
        <w:pStyle w:val="Heading2"/>
      </w:pPr>
      <w:r>
        <w:rPr>
          <w:b w:val="0"/>
          <w:i w:val="0"/>
        </w:rPr>
        <w:t>5. The Rules</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407:</w:t>
            </w:r>
            <w:r>
              <w:rPr>
                <w:b w:val="0"/>
                <w:i w:val="0"/>
              </w:rPr>
              <w:t xml:space="preserve"> when measures are taken that would have made an earlier injury or harm less likely, evidence of the measures is not admissible to prove negligence, culpable conduct, a defect in a product or its design, or a need for a warning or instruction. The court may admit it for another purpose, such as impeachment or, if disputed, ownership, control, or the feasibility of precautions.</w:t>
            </w:r>
          </w:p>
        </w:tc>
      </w:tr>
    </w:tbl>
    <w:p/>
    <w:p>
      <w:pPr>
        <w:pStyle w:val="ListBullet"/>
      </w:pPr>
      <w:r>
        <w:rPr>
          <w:b/>
          <w:i w:val="0"/>
        </w:rPr>
        <w:t>Timing is measured against the injury sued on</w:t>
      </w:r>
      <w:r>
        <w:rPr>
          <w:b w:val="0"/>
          <w:i w:val="0"/>
        </w:rPr>
        <w:t xml:space="preserve"> (Wolf Attack: chaining the wolf after it attacked a beagle is barred in the beagle owner's suit but not in the suit by the child it later mauled).</w:t>
      </w:r>
    </w:p>
    <w:p>
      <w:pPr>
        <w:pStyle w:val="ListBullet"/>
      </w:pPr>
      <w:r>
        <w:rPr>
          <w:b/>
          <w:i w:val="0"/>
        </w:rPr>
        <w:t>Third-party repairs</w:t>
      </w:r>
      <w:r>
        <w:rPr>
          <w:b w:val="0"/>
          <w:i w:val="0"/>
        </w:rPr>
        <w:t xml:space="preserve"> are generally admissible over 407 (the policy does not apply), though often weak under 403. </w:t>
      </w:r>
      <w:r>
        <w:rPr>
          <w:b/>
          <w:i w:val="0"/>
        </w:rPr>
        <w:t>"If disputed"</w:t>
      </w:r>
      <w:r>
        <w:rPr>
          <w:b w:val="0"/>
          <w:i w:val="0"/>
        </w:rPr>
        <w:t xml:space="preserve"> modifies all three permitted purposes. Strict-liability cases are covered (1997).</w:t>
      </w:r>
    </w:p>
    <w:p>
      <w:pPr>
        <w:pStyle w:val="ListBullet"/>
      </w:pPr>
      <w:r>
        <w:rPr>
          <w:b/>
          <w:i w:val="0"/>
        </w:rPr>
        <w:t>Opening the door:</w:t>
      </w:r>
      <w:r>
        <w:rPr>
          <w:b w:val="0"/>
          <w:i w:val="0"/>
        </w:rPr>
        <w:t xml:space="preserve"> a defendant who says the old design is still fine or a fix was impossible invites impeachment (Grotto Pizza's $55.26 repair; the wood-chipper defendant who touted identical machines in use).</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408(a):</w:t>
            </w:r>
            <w:r>
              <w:rPr>
                <w:b w:val="0"/>
                <w:i w:val="0"/>
              </w:rPr>
              <w:t xml:space="preserve"> evidence of </w:t>
            </w:r>
            <w:r>
              <w:rPr>
                <w:b w:val="0"/>
                <w:i w:val="0"/>
                <w:color w:val="B91C1C"/>
              </w:rPr>
              <w:t xml:space="preserve">(1) furnishing, promising, or offering, or accepting or offering to accept, valuable consideration to compromise a claim, and </w:t>
            </w:r>
            <w:r>
              <w:rPr>
                <w:b w:val="0"/>
                <w:i w:val="0"/>
                <w:color w:val="C2410C"/>
              </w:rPr>
              <w:t>(2) conduct or statements made during compromise negotiations about the claim, is not admissible on behalf of any party to prove or disprove the validity or amount of a disputed claim or to impeach by a prior inconsistent statement or contradiction.</w:t>
            </w:r>
            <w:r>
              <w:rPr>
                <w:b w:val="0"/>
                <w:i w:val="0"/>
              </w:rPr>
              <w:t xml:space="preserve"> Exception: (a)(2) statements are admissible in a criminal case when the negotiations related to a claim by a public office exercising regulatory, investigative, or enforcement authority. </w:t>
            </w:r>
            <w:r>
              <w:rPr>
                <w:b/>
                <w:i w:val="0"/>
              </w:rPr>
              <w:t>408(b):</w:t>
            </w:r>
            <w:r>
              <w:rPr>
                <w:b w:val="0"/>
                <w:i w:val="0"/>
              </w:rPr>
              <w:t xml:space="preserve"> the court may admit the evidence for another purpose, such as a witness's bias or prejudice, negating a contention of undue delay, or proving obstruction.</w:t>
            </w:r>
          </w:p>
        </w:tc>
      </w:tr>
    </w:tbl>
    <w:p/>
    <w:p>
      <w:pPr>
        <w:pStyle w:val="ListBullet"/>
      </w:pPr>
      <w:r>
        <w:rPr>
          <w:b w:val="0"/>
          <w:i w:val="0"/>
        </w:rPr>
        <w:t xml:space="preserve">Requires a </w:t>
      </w:r>
      <w:r>
        <w:rPr>
          <w:b/>
          <w:i w:val="0"/>
        </w:rPr>
        <w:t>claim</w:t>
      </w:r>
      <w:r>
        <w:rPr>
          <w:b w:val="0"/>
          <w:i w:val="0"/>
        </w:rPr>
        <w:t xml:space="preserve"> that is </w:t>
      </w:r>
      <w:r>
        <w:rPr>
          <w:b/>
          <w:i w:val="0"/>
        </w:rPr>
        <w:t>disputed</w:t>
      </w:r>
      <w:r>
        <w:rPr>
          <w:b w:val="0"/>
          <w:i w:val="0"/>
        </w:rPr>
        <w:t xml:space="preserve"> as to validity or amount. A report commissioned to support settlement talks counts as made "during" negotiations (</w:t>
      </w:r>
      <w:r>
        <w:rPr>
          <w:b w:val="0"/>
          <w:i/>
        </w:rPr>
        <w:t>Ramada v. Rauch</w:t>
      </w:r>
      <w:r>
        <w:rPr>
          <w:b w:val="0"/>
          <w:i w:val="0"/>
        </w:rPr>
        <w:t>: the Goldsmith report). Courts may apply 408 to settlements with third parties.</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409:</w:t>
            </w:r>
            <w:r>
              <w:rPr>
                <w:b w:val="0"/>
                <w:i w:val="0"/>
              </w:rPr>
              <w:t xml:space="preserve"> furnishing, promising, or offering to pay medical, hospital, or similar expenses resulting from an injury is not admissible to prove liability. </w:t>
            </w:r>
            <w:r>
              <w:rPr>
                <w:b/>
                <w:i w:val="0"/>
              </w:rPr>
              <w:t>FRE 411:</w:t>
            </w:r>
            <w:r>
              <w:rPr>
                <w:b w:val="0"/>
                <w:i w:val="0"/>
              </w:rPr>
              <w:t xml:space="preserve"> that a person was or was not insured against liability is not admissible to prove negligence or other wrongful conduct, but may be admitted for another purpose, such as bias or prejudice, or agency, ownership, or control.</w:t>
            </w:r>
          </w:p>
        </w:tc>
      </w:tr>
    </w:tbl>
    <w:p/>
    <w:p>
      <w:pPr>
        <w:pStyle w:val="ListBullet"/>
      </w:pPr>
      <w:r>
        <w:rPr>
          <w:b/>
          <w:i w:val="0"/>
        </w:rPr>
        <w:t>409 vs. 408 (slides):</w:t>
      </w:r>
      <w:r>
        <w:rPr>
          <w:b w:val="0"/>
          <w:i w:val="0"/>
        </w:rPr>
        <w:t xml:space="preserve"> "Let me give you a bandaid" is barred; "I'm so sorry" is an admission that 409 does not cover. The same apology at a settlement meeting is barred by 408. Why the difference: an accident-scene apology is not deterred by an evidence rule the speaker has never heard of, while negotiations after a claim need broad protection.</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410(a):</w:t>
            </w:r>
            <w:r>
              <w:rPr>
                <w:b w:val="0"/>
                <w:i w:val="0"/>
              </w:rPr>
              <w:t xml:space="preserve"> not admissible against the defendant who pleaded or negotiated: </w:t>
            </w:r>
            <w:r>
              <w:rPr>
                <w:b w:val="0"/>
                <w:i w:val="0"/>
                <w:color w:val="B91C1C"/>
              </w:rPr>
              <w:t xml:space="preserve">(1) a guilty plea later withdrawn; </w:t>
            </w:r>
            <w:r>
              <w:rPr>
                <w:b w:val="0"/>
                <w:i w:val="0"/>
                <w:color w:val="C2410C"/>
              </w:rPr>
              <w:t xml:space="preserve">(2) a nolo plea; </w:t>
            </w:r>
            <w:r>
              <w:rPr>
                <w:b w:val="0"/>
                <w:i w:val="0"/>
                <w:color w:val="854D0E"/>
              </w:rPr>
              <w:t xml:space="preserve">(3) statements in a Rule 11 (or comparable state) proceeding on either; </w:t>
            </w:r>
            <w:r>
              <w:rPr>
                <w:b w:val="0"/>
                <w:i w:val="0"/>
                <w:color w:val="15803D"/>
              </w:rPr>
              <w:t xml:space="preserve">(4) statements in plea discussions with an attorney for the prosecuting authority that did not result in a guilty plea or resulted in a withdrawn one. </w:t>
            </w:r>
            <w:r>
              <w:rPr>
                <w:b/>
                <w:i w:val="0"/>
                <w:color w:val="15803D"/>
              </w:rPr>
              <w:t>410(b):</w:t>
            </w:r>
            <w:r>
              <w:rPr>
                <w:b w:val="0"/>
                <w:i w:val="0"/>
                <w:color w:val="15803D"/>
              </w:rPr>
              <w:t xml:space="preserve"> statements under (a)(3) or (4) may be admitted </w:t>
            </w:r>
            <w:r>
              <w:rPr>
                <w:b w:val="0"/>
                <w:i w:val="0"/>
                <w:color w:val="B91C1C"/>
              </w:rPr>
              <w:t xml:space="preserve">(1) when another statement from the same plea or discussions has been introduced and in fairness they should be considered together, or </w:t>
            </w:r>
            <w:r>
              <w:rPr>
                <w:b w:val="0"/>
                <w:i w:val="0"/>
                <w:color w:val="C2410C"/>
              </w:rPr>
              <w:t>(2) in a perjury or false-statement prosecution if made under oath, on the record, with counsel present.</w:t>
            </w:r>
          </w:p>
        </w:tc>
      </w:tr>
    </w:tbl>
    <w:p/>
    <w:p>
      <w:pPr>
        <w:pStyle w:val="ListBullet"/>
      </w:pPr>
      <w:r>
        <w:rPr>
          <w:b/>
          <w:i w:val="0"/>
        </w:rPr>
        <w:t>No impeachment use</w:t>
      </w:r>
      <w:r>
        <w:rPr>
          <w:b w:val="0"/>
          <w:i w:val="0"/>
        </w:rPr>
        <w:t xml:space="preserve"> (Congress removed it in 1975). </w:t>
      </w:r>
      <w:r>
        <w:rPr>
          <w:b/>
          <w:i w:val="0"/>
        </w:rPr>
        <w:t>Waivable</w:t>
      </w:r>
      <w:r>
        <w:rPr>
          <w:b w:val="0"/>
          <w:i w:val="0"/>
        </w:rPr>
        <w:t xml:space="preserve"> (</w:t>
      </w:r>
      <w:r>
        <w:rPr>
          <w:b w:val="0"/>
          <w:i/>
        </w:rPr>
        <w:t>United States v. Mezzanatto</w:t>
      </w:r>
      <w:r>
        <w:rPr>
          <w:b w:val="0"/>
          <w:i w:val="0"/>
        </w:rPr>
        <w:t>, 1995: impeachment waivers valid; several circuits uphold case-in-chief waivers).</w:t>
      </w:r>
    </w:p>
    <w:p>
      <w:pPr>
        <w:pStyle w:val="ListBullet"/>
      </w:pPr>
      <w:r>
        <w:rPr>
          <w:b w:val="0"/>
          <w:i w:val="0"/>
        </w:rPr>
        <w:t xml:space="preserve">Covers discussions with </w:t>
      </w:r>
      <w:r>
        <w:rPr>
          <w:b/>
          <w:i w:val="0"/>
        </w:rPr>
        <w:t>prosecutors</w:t>
      </w:r>
      <w:r>
        <w:rPr>
          <w:b w:val="0"/>
          <w:i w:val="0"/>
        </w:rPr>
        <w:t xml:space="preserve"> (or their designated agents), not police, though some courts protect a defendant's actual, reasonable expectation of negotiating (</w:t>
      </w:r>
      <w:r>
        <w:rPr>
          <w:b w:val="0"/>
          <w:i/>
        </w:rPr>
        <w:t>Robertson</w:t>
      </w:r>
      <w:r>
        <w:rPr>
          <w:b w:val="0"/>
          <w:i w:val="0"/>
        </w:rPr>
        <w:t>, 5th Cir. 1978).</w:t>
      </w:r>
    </w:p>
    <w:p>
      <w:pPr>
        <w:pStyle w:val="ListBullet"/>
      </w:pPr>
      <w:r>
        <w:rPr>
          <w:b w:val="0"/>
          <w:i w:val="0"/>
        </w:rPr>
        <w:t>The text bars only use "against the defendant," but courts generally also bar a defendant's use of the prosecutor's offer (Problem 2.8), since admitting it would chill offers.</w:t>
      </w:r>
    </w:p>
    <w:p>
      <w:pPr>
        <w:pStyle w:val="Heading3"/>
      </w:pPr>
      <w:r>
        <w:rPr>
          <w:b w:val="0"/>
          <w:i w:val="0"/>
        </w:rPr>
        <w:t>Cases</w:t>
      </w:r>
    </w:p>
    <w:p>
      <w:pPr>
        <w:spacing w:before="160"/>
      </w:pPr>
      <w:r>
        <w:rPr>
          <w:b/>
          <w:i w:val="0"/>
          <w:color w:val="B91C1C"/>
        </w:rPr>
        <w:t>United States v. Biaggi, 909 F.2d 662 (2d Cir. 1990)</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Offered immunity for information about others' wrongdoing at Wedtech, CEO Mariotta denied knowing of any; the offer was withdrawn. The trial court excluded the episode, which he offered as consciousness of innocence.</w:t>
      </w:r>
    </w:p>
    <w:p>
      <w:r>
        <w:rPr>
          <w:b/>
          <w:i w:val="0"/>
          <w:color w:val="15803D"/>
        </w:rPr>
        <w:t xml:space="preserve">Held:   </w:t>
      </w:r>
      <w:r>
        <w:rPr>
          <w:b w:val="0"/>
          <w:i w:val="0"/>
        </w:rPr>
        <w:t xml:space="preserve">Reversed. Rejecting </w:t>
      </w:r>
      <w:r>
        <w:rPr>
          <w:b/>
          <w:i w:val="0"/>
        </w:rPr>
        <w:t>immunity</w:t>
      </w:r>
      <w:r>
        <w:rPr>
          <w:b w:val="0"/>
          <w:i w:val="0"/>
        </w:rPr>
        <w:t xml:space="preserve"> strongly suggests innocence (rejecting a plea to a lesser charge may be only a gamble). Because the government was allowed to prove consciousness of guilt (cash withdrawn for gold bars after witnesses pleaded), fairness required admitting his evidence of innocence. 410 protects the defendant, not the government.</w:t>
      </w:r>
    </w:p>
    <w:p>
      <w:r>
        <w:rPr>
          <w:b/>
          <w:i w:val="0"/>
          <w:color w:val="8A6100"/>
        </w:rPr>
        <w:t xml:space="preserve">Why it matters:   </w:t>
      </w:r>
      <w:r>
        <w:rPr>
          <w:b w:val="0"/>
          <w:i w:val="0"/>
        </w:rPr>
        <w:t>Probative value depends on what the defendant turned down. On retrial, his "dark alley" remark comes in under 410(b)(1) completeness (Problem 2.9).</w:t>
      </w:r>
    </w:p>
    <w:p>
      <w:pPr>
        <w:pStyle w:val="ListBullet"/>
      </w:pPr>
      <w:r>
        <w:rPr>
          <w:b/>
          <w:i w:val="0"/>
        </w:rPr>
        <w:t>Problem 2.5, Claims Adjuster</w:t>
      </w:r>
      <w:r>
        <w:rPr>
          <w:b w:val="0"/>
          <w:i w:val="0"/>
        </w:rPr>
        <w:t xml:space="preserve"> (</w:t>
      </w:r>
      <w:r>
        <w:rPr>
          <w:b w:val="0"/>
          <w:i/>
        </w:rPr>
        <w:t>Lacher v. Anderson</w:t>
      </w:r>
      <w:r>
        <w:rPr>
          <w:b w:val="0"/>
          <w:i w:val="0"/>
        </w:rPr>
        <w:t>): the insurer's adjuster who took the plaintiff's statement did not testify. Bias of a non-witness is a stretch. Slides: exclusion was right under 411 or, failing that, 403.</w:t>
      </w:r>
    </w:p>
    <w:p>
      <w:pPr>
        <w:pStyle w:val="Heading1"/>
      </w:pPr>
      <w:r>
        <w:rPr>
          <w:b w:val="0"/>
          <w:i w:val="0"/>
        </w:rPr>
        <w:t>PART III — CHARACTER EVIDENCE (FRE 404–406, 413–415)</w:t>
      </w:r>
    </w:p>
    <w:p>
      <w:pPr>
        <w:pStyle w:val="Heading2"/>
      </w:pPr>
      <w:r>
        <w:rPr>
          <w:b w:val="0"/>
          <w:i w:val="0"/>
        </w:rPr>
        <w:t>6. The Propensity Ban and Its Routes Around (FRE 404)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404(a)(1):</w:t>
            </w:r>
            <w:r>
              <w:rPr>
                <w:b w:val="0"/>
                <w:i w:val="0"/>
              </w:rPr>
              <w:t xml:space="preserve"> evidence of a person's character or character trait is not admissible to prove that on a particular occasion the person acted in accordance with it. </w:t>
            </w:r>
            <w:r>
              <w:rPr>
                <w:b/>
                <w:i w:val="0"/>
              </w:rPr>
              <w:t>404(b)</w:t>
            </w:r>
            <w:r>
              <w:rPr>
                <w:b/>
                <w:i w:val="0"/>
                <w:color w:val="B91C1C"/>
              </w:rPr>
              <w:t>(1):</w:t>
            </w:r>
            <w:r>
              <w:rPr>
                <w:b w:val="0"/>
                <w:i w:val="0"/>
                <w:color w:val="B91C1C"/>
              </w:rPr>
              <w:t xml:space="preserve"> evidence of any other crime, wrong, or act is not admissible to prove a person's character to show action in accordance with it. </w:t>
            </w:r>
            <w:r>
              <w:rPr>
                <w:b/>
                <w:i w:val="0"/>
                <w:color w:val="B91C1C"/>
              </w:rPr>
              <w:t>404(b)</w:t>
            </w:r>
            <w:r>
              <w:rPr>
                <w:b/>
                <w:i w:val="0"/>
                <w:color w:val="C2410C"/>
              </w:rPr>
              <w:t>(2):</w:t>
            </w:r>
            <w:r>
              <w:rPr>
                <w:b w:val="0"/>
                <w:i w:val="0"/>
                <w:color w:val="C2410C"/>
              </w:rPr>
              <w:t xml:space="preserve"> it may be admissible for another purpose, such as motive, opportunity, intent, preparation, plan, knowledge, identity, absence of mistake, or lack of accident. </w:t>
            </w:r>
            <w:r>
              <w:rPr>
                <w:b/>
                <w:i w:val="0"/>
                <w:color w:val="C2410C"/>
              </w:rPr>
              <w:t>404(b)</w:t>
            </w:r>
            <w:r>
              <w:rPr>
                <w:b/>
                <w:i w:val="0"/>
                <w:color w:val="854D0E"/>
              </w:rPr>
              <w:t>(3):</w:t>
            </w:r>
            <w:r>
              <w:rPr>
                <w:b w:val="0"/>
                <w:i w:val="0"/>
                <w:color w:val="854D0E"/>
              </w:rPr>
              <w:t xml:space="preserve"> in a criminal case the prosecutor must give reasonable written notice before trial (or during trial for good cause), articulating the permitted purpose and the reasoning that supports it.</w:t>
            </w:r>
          </w:p>
        </w:tc>
      </w:tr>
    </w:tbl>
    <w:p/>
    <w:p>
      <w:pPr>
        <w:pStyle w:val="ListBullet"/>
      </w:pPr>
      <w:r>
        <w:rPr>
          <w:b/>
          <w:i w:val="0"/>
        </w:rPr>
        <w:t>Applies in civil and criminal cases.</w:t>
      </w:r>
      <w:r>
        <w:rPr>
          <w:b w:val="0"/>
          <w:i w:val="0"/>
        </w:rPr>
        <w:t xml:space="preserve"> Propensity evidence is relevant but barred for policy reasons: jurors </w:t>
      </w:r>
      <w:r>
        <w:rPr>
          <w:b/>
          <w:i w:val="0"/>
        </w:rPr>
        <w:t>overweight</w:t>
      </w:r>
      <w:r>
        <w:rPr>
          <w:b w:val="0"/>
          <w:i w:val="0"/>
        </w:rPr>
        <w:t xml:space="preserve"> it and may </w:t>
      </w:r>
      <w:r>
        <w:rPr>
          <w:b/>
          <w:i w:val="0"/>
        </w:rPr>
        <w:t>punish</w:t>
      </w:r>
      <w:r>
        <w:rPr>
          <w:b w:val="0"/>
          <w:i w:val="0"/>
        </w:rPr>
        <w:t xml:space="preserve"> a bad person regardless of guilt (slides).</w:t>
      </w:r>
    </w:p>
    <w:p>
      <w:pPr>
        <w:pStyle w:val="ListBullet"/>
      </w:pPr>
      <w:r>
        <w:rPr>
          <w:b/>
          <w:i w:val="0"/>
        </w:rPr>
        <w:t>The 404(b) purposes are not exceptions</w:t>
      </w:r>
      <w:r>
        <w:rPr>
          <w:b w:val="0"/>
          <w:i w:val="0"/>
        </w:rPr>
        <w:t xml:space="preserve"> (slides; </w:t>
      </w:r>
      <w:r>
        <w:rPr>
          <w:b w:val="0"/>
          <w:i/>
        </w:rPr>
        <w:t>State v. Kirsch</w:t>
      </w:r>
      <w:r>
        <w:rPr>
          <w:b w:val="0"/>
          <w:i w:val="0"/>
        </w:rPr>
        <w:t>): they are non-character routes. The true exceptions are 404(a)(2), 404(a)(3), and 413–415. 404(b)(2) never compels admission; 403 still applies.</w:t>
      </w:r>
    </w:p>
    <w:p>
      <w:pPr>
        <w:pStyle w:val="ListBullet"/>
      </w:pPr>
      <w:r>
        <w:rPr>
          <w:b/>
          <w:i w:val="0"/>
        </w:rPr>
        <w:t>Huddleston four steps:</w:t>
      </w:r>
      <w:r>
        <w:rPr>
          <w:b w:val="0"/>
          <w:i w:val="0"/>
        </w:rPr>
        <w:t xml:space="preserve"> (1) a proper purpose; (2) relevance, with the other act proved under </w:t>
      </w:r>
      <w:r>
        <w:rPr>
          <w:b/>
          <w:i w:val="0"/>
        </w:rPr>
        <w:t>104(b)</w:t>
      </w:r>
      <w:r>
        <w:rPr>
          <w:b w:val="0"/>
          <w:i w:val="0"/>
        </w:rPr>
        <w:t xml:space="preserve"> (a jury could reasonably find it by a preponderance); (3) 403; (4) a 105 instruction on request. An acquittal of the other act does not bar its use (</w:t>
      </w:r>
      <w:r>
        <w:rPr>
          <w:b w:val="0"/>
          <w:i/>
        </w:rPr>
        <w:t>Dowling</w:t>
      </w:r>
      <w:r>
        <w:rPr>
          <w:b w:val="0"/>
          <w:i w:val="0"/>
        </w:rPr>
        <w:t>).</w:t>
      </w:r>
    </w:p>
    <w:p>
      <w:pPr>
        <w:pStyle w:val="ListBullet"/>
      </w:pPr>
      <w:r>
        <w:rPr>
          <w:b/>
          <w:i w:val="0"/>
        </w:rPr>
        <w:t>Identity:</w:t>
      </w:r>
      <w:r>
        <w:rPr>
          <w:b w:val="0"/>
          <w:i w:val="0"/>
        </w:rPr>
        <w:t xml:space="preserve"> the other crime must share characteristics "sufficiently idiosyncratic to permit an inference of pattern"; "prosaic commonalities" are not enough (Trenkler). </w:t>
      </w:r>
      <w:r>
        <w:rPr>
          <w:b/>
          <w:i w:val="0"/>
        </w:rPr>
        <w:t>Reverse 404(b)</w:t>
      </w:r>
      <w:r>
        <w:rPr>
          <w:b w:val="0"/>
          <w:i w:val="0"/>
        </w:rPr>
        <w:t xml:space="preserve"> offered by a defendant needs only ordinary 401/403 similarity (Stevens).</w:t>
      </w:r>
    </w:p>
    <w:p>
      <w:pPr>
        <w:pStyle w:val="ListBullet"/>
      </w:pPr>
      <w:r>
        <w:rPr>
          <w:b/>
          <w:i w:val="0"/>
        </w:rPr>
        <w:t>Plan</w:t>
      </w:r>
      <w:r>
        <w:rPr>
          <w:b w:val="0"/>
          <w:i w:val="0"/>
        </w:rPr>
        <w:t xml:space="preserve"> requires that the acts be parts of one overall scheme, not a mere pattern (Kirsch). </w:t>
      </w:r>
      <w:r>
        <w:rPr>
          <w:b/>
          <w:i w:val="0"/>
        </w:rPr>
        <w:t>Motive</w:t>
      </w:r>
      <w:r>
        <w:rPr>
          <w:b w:val="0"/>
          <w:i w:val="0"/>
        </w:rPr>
        <w:t xml:space="preserve"> that is just a desire to commit this kind of crime is propensity (Kirsch).</w:t>
      </w:r>
    </w:p>
    <w:p>
      <w:pPr>
        <w:pStyle w:val="ListBullet"/>
      </w:pPr>
      <w:r>
        <w:rPr>
          <w:b/>
          <w:i w:val="0"/>
        </w:rPr>
        <w:t>Doctrine of chances</w:t>
      </w:r>
      <w:r>
        <w:rPr>
          <w:b w:val="0"/>
          <w:i w:val="0"/>
        </w:rPr>
        <w:t xml:space="preserve"> (Brides in the Bath): many "accidents" are objectively improbable. One view says it avoids character; the other says it still runs through propensity (slides).</w:t>
      </w:r>
    </w:p>
    <w:p>
      <w:pPr>
        <w:pStyle w:val="ListBullet"/>
      </w:pPr>
      <w:r>
        <w:rPr>
          <w:b/>
          <w:i w:val="0"/>
        </w:rPr>
        <w:t>Rap lyrics:</w:t>
      </w:r>
      <w:r>
        <w:rPr>
          <w:b w:val="0"/>
          <w:i w:val="0"/>
        </w:rPr>
        <w:t xml:space="preserve"> without a specific link to the crime, lyrics invite a violent-character inference (</w:t>
      </w:r>
      <w:r>
        <w:rPr>
          <w:b w:val="0"/>
          <w:i/>
        </w:rPr>
        <w:t>State v. Skinner</w:t>
      </w:r>
      <w:r>
        <w:rPr>
          <w:b w:val="0"/>
          <w:i w:val="0"/>
        </w:rPr>
        <w:t xml:space="preserve">, N.J. 2014). California, Louisiana, and Maryland have statutes restricting creative-expression evidence; </w:t>
      </w:r>
      <w:r>
        <w:rPr>
          <w:b w:val="0"/>
          <w:i/>
        </w:rPr>
        <w:t>Bey-Cousin v. Powell</w:t>
      </w:r>
      <w:r>
        <w:rPr>
          <w:b w:val="0"/>
          <w:i w:val="0"/>
        </w:rPr>
        <w:t xml:space="preserve"> (E.D. Pa. 2021) presumes "artists tell stories."</w:t>
      </w:r>
    </w:p>
    <w:p>
      <w:pPr>
        <w:pStyle w:val="Heading3"/>
      </w:pPr>
      <w:r>
        <w:rPr>
          <w:b w:val="0"/>
          <w:i w:val="0"/>
        </w:rPr>
        <w:t>Cases</w:t>
      </w:r>
    </w:p>
    <w:p>
      <w:pPr>
        <w:spacing w:before="160"/>
      </w:pPr>
      <w:r>
        <w:rPr>
          <w:b/>
          <w:i w:val="0"/>
          <w:color w:val="B91C1C"/>
        </w:rPr>
        <w:t>People v. Zackowitz, 254 N.Y. 192 (1930)</w:t>
      </w:r>
      <w:r>
        <w:rPr>
          <w:color w:val="B91C1C"/>
        </w:rPr>
        <w:t xml:space="preserve">   </w:t>
      </w:r>
      <w:r>
        <w:rPr>
          <w:b/>
          <w:color w:val="FFFFFF"/>
          <w:shd w:val="clear" w:color="auto" w:fill="B91C1C"/>
        </w:rPr>
        <w:t xml:space="preserve"> MAIN CASE · CLASS 5 </w:t>
      </w:r>
    </w:p>
    <w:p>
      <w:r>
        <w:rPr>
          <w:b/>
          <w:i w:val="0"/>
          <w:color w:val="1D4ED8"/>
        </w:rPr>
        <w:t xml:space="preserve">Facts:   </w:t>
      </w:r>
      <w:r>
        <w:rPr>
          <w:b w:val="0"/>
          <w:i w:val="0"/>
        </w:rPr>
        <w:t>After a man insulted his wife, Zackowitz threatened to come back and "bump them all off," returned, and shot him. The DA showed the jury three other pistols and a tear-gas gun kept at home to prove a "desperate type of criminal."</w:t>
      </w:r>
    </w:p>
    <w:p>
      <w:r>
        <w:rPr>
          <w:b/>
          <w:i w:val="0"/>
          <w:color w:val="15803D"/>
        </w:rPr>
        <w:t xml:space="preserve">Held:   </w:t>
      </w:r>
      <w:r>
        <w:rPr>
          <w:b w:val="0"/>
          <w:i w:val="0"/>
        </w:rPr>
        <w:t>Reversed (Cardozo, C.J.). The weapons proved only character; buying them after the insult would have been different (preparation). The dissent saw them as relevant to his ability to carry out the threat.</w:t>
      </w:r>
    </w:p>
    <w:p>
      <w:r>
        <w:rPr>
          <w:b/>
          <w:i w:val="0"/>
          <w:color w:val="8A6100"/>
        </w:rPr>
        <w:t xml:space="preserve">Why it matters:   </w:t>
      </w:r>
      <w:r>
        <w:rPr>
          <w:b w:val="0"/>
          <w:i w:val="0"/>
        </w:rPr>
        <w:t>The propensity box. Slides: weapons found at the scene would come in to place him there, with a 105 instruction.</w:t>
      </w:r>
    </w:p>
    <w:p>
      <w:pPr>
        <w:spacing w:before="160"/>
      </w:pPr>
      <w:r>
        <w:rPr>
          <w:b/>
          <w:i w:val="0"/>
          <w:color w:val="B91C1C"/>
        </w:rPr>
        <w:t>United States v. Trenkler, 61 F.3d 45 (1st Cir. 1995)</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To prove Trenkler built a fatal remote-controlled car bomb in Roslindale, the government proved he built a 1986 bomb in Quincy: both remote-controlled, radio-activated, placed under vehicles, made of hobby-store parts with similar circuitry and distinctive wiring, and built to help a friend. A database showed few similar devices.</w:t>
      </w:r>
    </w:p>
    <w:p>
      <w:r>
        <w:rPr>
          <w:b/>
          <w:i w:val="0"/>
          <w:color w:val="15803D"/>
        </w:rPr>
        <w:t xml:space="preserve">Held:   </w:t>
      </w:r>
      <w:r>
        <w:rPr>
          <w:b w:val="0"/>
          <w:i w:val="0"/>
        </w:rPr>
        <w:t>Admissible to prove identity: the similarities were idiosyncratic enough, and under 403 the Quincy bomb hurt no one, so an instruction sufficed. Dissent: the database was skewed, and a noise simulator is not dynamite.</w:t>
      </w:r>
    </w:p>
    <w:p>
      <w:r>
        <w:rPr>
          <w:b/>
          <w:i w:val="0"/>
          <w:color w:val="8A6100"/>
        </w:rPr>
        <w:t xml:space="preserve">Why it matters:   </w:t>
      </w:r>
      <w:r>
        <w:rPr>
          <w:b w:val="0"/>
          <w:i w:val="0"/>
        </w:rPr>
        <w:t>Slides: identity evidence says "this crime could not likely be anyone else's," not "this is the defendant's type of crime."</w:t>
      </w:r>
    </w:p>
    <w:p>
      <w:pPr>
        <w:spacing w:before="160"/>
      </w:pPr>
      <w:r>
        <w:rPr>
          <w:b/>
          <w:i w:val="0"/>
          <w:color w:val="B91C1C"/>
        </w:rPr>
        <w:t>United States v. Stevens, 935 F.2d 1380 (3d Cir. 1991)</w:t>
      </w:r>
      <w:r>
        <w:rPr>
          <w:color w:val="B91C1C"/>
        </w:rPr>
        <w:t xml:space="preserve">   </w:t>
      </w:r>
      <w:r>
        <w:rPr>
          <w:b/>
          <w:color w:val="FFFFFF"/>
          <w:shd w:val="clear" w:color="auto" w:fill="B91C1C"/>
        </w:rPr>
        <w:t xml:space="preserve"> MAIN CASE · CLASS 6 </w:t>
      </w:r>
    </w:p>
    <w:p>
      <w:r>
        <w:rPr>
          <w:b/>
          <w:i w:val="0"/>
          <w:color w:val="1D4ED8"/>
        </w:rPr>
        <w:t xml:space="preserve">Facts:   </w:t>
      </w:r>
      <w:r>
        <w:rPr>
          <w:b w:val="0"/>
          <w:i w:val="0"/>
        </w:rPr>
        <w:t>Stevens, identified by two robbery victims at Fort Dix, offered a victim of a similar nearby robbery who said Stevens was not his robber.</w:t>
      </w:r>
    </w:p>
    <w:p>
      <w:r>
        <w:rPr>
          <w:b/>
          <w:i w:val="0"/>
          <w:color w:val="15803D"/>
        </w:rPr>
        <w:t xml:space="preserve">Held:   </w:t>
      </w:r>
      <w:r>
        <w:rPr>
          <w:b w:val="0"/>
          <w:i w:val="0"/>
        </w:rPr>
        <w:t>Reversed. Reverse 404(b) evidence need only be similar enough under 401 to suggest one person did both, then pass 403. The court noted cross-racial identifications are less reliable.</w:t>
      </w:r>
    </w:p>
    <w:p>
      <w:r>
        <w:rPr>
          <w:b/>
          <w:i w:val="0"/>
          <w:color w:val="8A6100"/>
        </w:rPr>
        <w:t xml:space="preserve">Why it matters:   </w:t>
      </w:r>
      <w:r>
        <w:rPr>
          <w:b w:val="0"/>
          <w:i w:val="0"/>
        </w:rPr>
        <w:t>Defendants face a lower bar for other-crimes evidence that points away from them.</w:t>
      </w:r>
    </w:p>
    <w:p>
      <w:pPr>
        <w:spacing w:before="160"/>
      </w:pPr>
      <w:r>
        <w:rPr>
          <w:b/>
          <w:i w:val="0"/>
          <w:color w:val="B91C1C"/>
        </w:rPr>
        <w:t>Huddleston v. United States, 485 U.S. 681 (1988)</w:t>
      </w:r>
      <w:r>
        <w:rPr>
          <w:color w:val="B91C1C"/>
        </w:rPr>
        <w:t xml:space="preserve">   </w:t>
      </w:r>
      <w:r>
        <w:rPr>
          <w:b/>
          <w:color w:val="FFFFFF"/>
          <w:shd w:val="clear" w:color="auto" w:fill="B91C1C"/>
        </w:rPr>
        <w:t xml:space="preserve"> MAIN CASE · CLASSES 7–8 </w:t>
      </w:r>
    </w:p>
    <w:p>
      <w:r>
        <w:rPr>
          <w:b/>
          <w:i w:val="0"/>
          <w:color w:val="1D4ED8"/>
        </w:rPr>
        <w:t xml:space="preserve">Facts:   </w:t>
      </w:r>
      <w:r>
        <w:rPr>
          <w:b w:val="0"/>
          <w:i w:val="0"/>
        </w:rPr>
        <w:t>To prove Huddleston knew the Memorex tapes he sold were stolen, the government proved he had sold 38 new televisions at $28 each without a bill of sale and offered large quantities of appliances.</w:t>
      </w:r>
    </w:p>
    <w:p>
      <w:r>
        <w:rPr>
          <w:b/>
          <w:i w:val="0"/>
          <w:color w:val="15803D"/>
        </w:rPr>
        <w:t xml:space="preserve">Held:   </w:t>
      </w:r>
      <w:r>
        <w:rPr>
          <w:b w:val="0"/>
          <w:i w:val="0"/>
        </w:rPr>
        <w:t>The court need not find by a preponderance that the other act occurred. It asks under 104(b) whether a jury could reasonably find it; here it could.</w:t>
      </w:r>
    </w:p>
    <w:p>
      <w:r>
        <w:rPr>
          <w:b/>
          <w:i w:val="0"/>
          <w:color w:val="8A6100"/>
        </w:rPr>
        <w:t xml:space="preserve">Why it matters:   </w:t>
      </w:r>
      <w:r>
        <w:rPr>
          <w:b w:val="0"/>
          <w:i w:val="0"/>
        </w:rPr>
        <w:t>The standard of proof for other acts, borrowed for 413–415 and for prior false accusations.</w:t>
      </w:r>
    </w:p>
    <w:p>
      <w:pPr>
        <w:pStyle w:val="Heading2"/>
      </w:pPr>
      <w:r>
        <w:rPr>
          <w:b w:val="0"/>
          <w:i w:val="0"/>
        </w:rPr>
        <w:t>7. Sexual-Assault Propensity (FRE 413–415)</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413(a):</w:t>
            </w:r>
            <w:r>
              <w:rPr>
                <w:b w:val="0"/>
                <w:i w:val="0"/>
              </w:rPr>
              <w:t xml:space="preserve"> in a criminal case in which a defendant is accused of a sexual assault, the court may admit evidence that the defendant committed any other sexual assault, and it may be considered on any matter to which it is relevant. </w:t>
            </w:r>
            <w:r>
              <w:rPr>
                <w:b/>
                <w:i w:val="0"/>
              </w:rPr>
              <w:t>414(a):</w:t>
            </w:r>
            <w:r>
              <w:rPr>
                <w:b w:val="0"/>
                <w:i w:val="0"/>
              </w:rPr>
              <w:t xml:space="preserve"> the same for child molestation. </w:t>
            </w:r>
            <w:r>
              <w:rPr>
                <w:b/>
                <w:i w:val="0"/>
              </w:rPr>
              <w:t>415(a):</w:t>
            </w:r>
            <w:r>
              <w:rPr>
                <w:b w:val="0"/>
                <w:i w:val="0"/>
              </w:rPr>
              <w:t xml:space="preserve"> the same in civil cases based on sexual assault or child molestation. The proponent must disclose the evidence at least 15 days before trial (or later for good cause).</w:t>
            </w:r>
          </w:p>
        </w:tc>
      </w:tr>
    </w:tbl>
    <w:p/>
    <w:p>
      <w:pPr>
        <w:pStyle w:val="ListBullet"/>
      </w:pPr>
      <w:r>
        <w:rPr>
          <w:b/>
          <w:i w:val="0"/>
        </w:rPr>
        <w:t>True exceptions</w:t>
      </w:r>
      <w:r>
        <w:rPr>
          <w:b w:val="0"/>
          <w:i w:val="0"/>
        </w:rPr>
        <w:t xml:space="preserve"> allowing propensity reasoning, enacted by Congress in 1994 over the Judicial Conference's opposition. No conviction is required; the standard is presumably Huddleston's (Rep. Molinari). </w:t>
      </w:r>
      <w:r>
        <w:rPr>
          <w:b/>
          <w:i w:val="0"/>
        </w:rPr>
        <w:t>403 still applies</w:t>
      </w:r>
      <w:r>
        <w:rPr>
          <w:b w:val="0"/>
          <w:i w:val="0"/>
        </w:rPr>
        <w:t xml:space="preserve"> with its normal balance (Guardia). Due-process challenges have failed (Mound).</w:t>
      </w:r>
    </w:p>
    <w:p>
      <w:pPr>
        <w:pStyle w:val="ListBullet"/>
      </w:pPr>
      <w:r>
        <w:rPr>
          <w:b/>
          <w:i w:val="0"/>
        </w:rPr>
        <w:t>Critiques (Lannan; Baker):</w:t>
      </w:r>
      <w:r>
        <w:rPr>
          <w:b w:val="0"/>
          <w:i w:val="0"/>
        </w:rPr>
        <w:t xml:space="preserve"> sex offenders are not shown to reoffend more (BJS: 7.7% rearrested for sexual assault within three years, versus about 60% for property and drug offenders); juries overweight priors; police "round up the usual suspects."</w:t>
      </w:r>
    </w:p>
    <w:p>
      <w:pPr>
        <w:pStyle w:val="Heading3"/>
      </w:pPr>
      <w:r>
        <w:rPr>
          <w:b w:val="0"/>
          <w:i w:val="0"/>
        </w:rPr>
        <w:t>Cases</w:t>
      </w:r>
    </w:p>
    <w:p>
      <w:pPr>
        <w:spacing w:before="160"/>
      </w:pPr>
      <w:r>
        <w:rPr>
          <w:b/>
          <w:i w:val="0"/>
          <w:color w:val="B91C1C"/>
        </w:rPr>
        <w:t>United States v. Guardia, 135 F.3d 1326 (10th Cir. 1998)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A gynecologist was charged with abusing two patients during exams; the government offered four other women under 413. The trial court excluded them under 403.</w:t>
      </w:r>
    </w:p>
    <w:p>
      <w:r>
        <w:rPr>
          <w:b/>
          <w:i w:val="0"/>
          <w:color w:val="15803D"/>
        </w:rPr>
        <w:t xml:space="preserve">Held:   </w:t>
      </w:r>
      <w:r>
        <w:rPr>
          <w:b w:val="0"/>
          <w:i w:val="0"/>
        </w:rPr>
        <w:t>Affirmed. Threshold under 413: (1) the defendant is accused of sexual assault, (2) the evidence is of another sexual assault, (3) it is relevant. Then 403 applies normally; courts may not treat propensity as inherently too prejudicial. Here the medical-propriety disputes would turn a trial of two incidents into six, confusing the jury.</w:t>
      </w:r>
    </w:p>
    <w:p>
      <w:r>
        <w:rPr>
          <w:b/>
          <w:i w:val="0"/>
          <w:color w:val="8A6100"/>
        </w:rPr>
        <w:t xml:space="preserve">Why it matters:   </w:t>
      </w:r>
      <w:r>
        <w:rPr>
          <w:b w:val="0"/>
          <w:i w:val="0"/>
        </w:rPr>
        <w:t>413 does not displace 403.</w:t>
      </w:r>
    </w:p>
    <w:p>
      <w:pPr>
        <w:spacing w:before="160"/>
      </w:pPr>
      <w:r>
        <w:rPr>
          <w:b/>
          <w:i w:val="0"/>
          <w:color w:val="B91C1C"/>
        </w:rPr>
        <w:t>United States v. Mound, 157 F.3d 1153 (8th Cir. 1998)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Mound argued 413 violates due process by letting juries convict for who he is.</w:t>
      </w:r>
    </w:p>
    <w:p>
      <w:r>
        <w:rPr>
          <w:b/>
          <w:i w:val="0"/>
          <w:color w:val="15803D"/>
        </w:rPr>
        <w:t xml:space="preserve">Held:   </w:t>
      </w:r>
      <w:r>
        <w:rPr>
          <w:b w:val="0"/>
          <w:i w:val="0"/>
        </w:rPr>
        <w:t>Rejected: because 413 evidence must pass 403, it is not fundamentally unfair. Judge Morris Sheppard Arnold, dissenting from denial of rehearing en banc, said the long common-law tradition suggests "fundamental conceptions of justice."</w:t>
      </w:r>
    </w:p>
    <w:p>
      <w:r>
        <w:rPr>
          <w:b/>
          <w:i w:val="0"/>
          <w:color w:val="8A6100"/>
        </w:rPr>
        <w:t xml:space="preserve">Why it matters:   </w:t>
      </w:r>
      <w:r>
        <w:rPr>
          <w:b w:val="0"/>
          <w:i w:val="0"/>
        </w:rPr>
        <w:t>No court has struck down 413 or 414.</w:t>
      </w:r>
    </w:p>
    <w:p>
      <w:pPr>
        <w:pStyle w:val="Heading2"/>
      </w:pPr>
      <w:r>
        <w:rPr>
          <w:b w:val="0"/>
          <w:i w:val="0"/>
        </w:rPr>
        <w:t>8. Character of the Defendant and the Victim; Habit (FRE 404(a)(2), 405, 406)</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404(a)(2) (criminal cases):</w:t>
            </w:r>
            <w:r>
              <w:rPr>
                <w:b w:val="0"/>
                <w:i w:val="0"/>
              </w:rPr>
              <w:t xml:space="preserve"> (A) a defendant may offer evidence of the defendant's pertinent trait, and if admitted the prosecutor may rebut it; (B) subject to 412, a defendant may offer evidence of an alleged victim's pertinent trait, and if admitted the prosecutor may rebut it and offer evidence of the defendant's same trait; (C) in a homicide case, the prosecutor may offer the victim's trait of peacefulness to rebut evidence that the victim was the first aggressor. </w:t>
            </w:r>
            <w:r>
              <w:rPr>
                <w:b/>
                <w:i w:val="0"/>
              </w:rPr>
              <w:t>404(a)(3):</w:t>
            </w:r>
            <w:r>
              <w:rPr>
                <w:b w:val="0"/>
                <w:i w:val="0"/>
              </w:rPr>
              <w:t xml:space="preserve"> a witness's character may be admitted under 607, 608, and 609.</w:t>
            </w:r>
          </w:p>
          <w:p>
            <w:r>
              <w:rPr>
                <w:b/>
                <w:i w:val="0"/>
              </w:rPr>
              <w:t>FRE 405(a):</w:t>
            </w:r>
            <w:r>
              <w:rPr>
                <w:b w:val="0"/>
                <w:i w:val="0"/>
              </w:rPr>
              <w:t xml:space="preserve"> character may be proved by reputation or opinion; on cross-examination of the character witness, the court may allow inquiry into relevant specific instances. </w:t>
            </w:r>
            <w:r>
              <w:rPr>
                <w:b/>
                <w:i w:val="0"/>
              </w:rPr>
              <w:t>405(b):</w:t>
            </w:r>
            <w:r>
              <w:rPr>
                <w:b w:val="0"/>
                <w:i w:val="0"/>
              </w:rPr>
              <w:t xml:space="preserve"> when character is an essential element of a charge, claim, or defense, it may also be proved by specific instances.</w:t>
            </w:r>
          </w:p>
        </w:tc>
      </w:tr>
    </w:tbl>
    <w:p/>
    <w:p>
      <w:pPr>
        <w:pStyle w:val="ListBullet"/>
      </w:pPr>
      <w:r>
        <w:rPr>
          <w:b/>
          <w:i w:val="0"/>
        </w:rPr>
        <w:t>Only the accused opens the door,</w:t>
      </w:r>
      <w:r>
        <w:rPr>
          <w:b w:val="0"/>
          <w:i w:val="0"/>
        </w:rPr>
        <w:t xml:space="preserve"> and only in criminal cases. On direct, reputation or opinion only. On cross, "have you heard" or "do you know" questions about specific acts test the witness's basis; they need a good-faith basis and the examiner is stuck with the answer (Michelson).</w:t>
      </w:r>
    </w:p>
    <w:p>
      <w:pPr>
        <w:pStyle w:val="ListBullet"/>
      </w:pPr>
      <w:r>
        <w:rPr>
          <w:b/>
          <w:i w:val="0"/>
        </w:rPr>
        <w:t>405(b) is narrow.</w:t>
      </w:r>
      <w:r>
        <w:rPr>
          <w:b w:val="0"/>
          <w:i w:val="0"/>
        </w:rPr>
        <w:t xml:space="preserve"> Character is an element in entrapment (predisposition), truth as a defense to defamation, negligent entrustment, custody, and sexually-violent-person commitment. </w:t>
      </w:r>
      <w:r>
        <w:rPr>
          <w:b/>
          <w:i w:val="0"/>
        </w:rPr>
        <w:t>It is not an element of self-defense</w:t>
      </w:r>
      <w:r>
        <w:rPr>
          <w:b w:val="0"/>
          <w:i w:val="0"/>
        </w:rPr>
        <w:t xml:space="preserve"> (the issue is the defendant's reasonable fear), so a victim's specific violent acts are not admissible under 405(b) to prove his character.</w:t>
      </w:r>
    </w:p>
    <w:p>
      <w:pPr>
        <w:pStyle w:val="ListBullet"/>
      </w:pPr>
      <w:r>
        <w:rPr>
          <w:b w:val="0"/>
          <w:i w:val="0"/>
        </w:rPr>
        <w:t>A defendant who testifies "I wouldn't shoot anybody" makes herself a character witness and may be crossed on past shootings (Problem 3.16).</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406:</w:t>
            </w:r>
            <w:r>
              <w:rPr>
                <w:b w:val="0"/>
                <w:i w:val="0"/>
              </w:rPr>
              <w:t xml:space="preserve"> evidence of a person's habit or an organization's routine practice may be admitted to prove that on a particular occasion the person or organization acted in accordance with it, regardless of corroboration or an eyewitness.</w:t>
            </w:r>
          </w:p>
        </w:tc>
      </w:tr>
    </w:tbl>
    <w:p/>
    <w:p>
      <w:pPr>
        <w:pStyle w:val="ListBullet"/>
      </w:pPr>
      <w:r>
        <w:rPr>
          <w:b/>
          <w:i w:val="0"/>
        </w:rPr>
        <w:t>Habit</w:t>
      </w:r>
      <w:r>
        <w:rPr>
          <w:b w:val="0"/>
          <w:i w:val="0"/>
        </w:rPr>
        <w:t xml:space="preserve"> is a regular, specific, semi-automatic response to a specific recurring situation (buckling a seatbelt), "predictable and predictive." Occasional conduct is not enough (</w:t>
      </w:r>
      <w:r>
        <w:rPr>
          <w:b w:val="0"/>
          <w:i/>
        </w:rPr>
        <w:t>Halloran</w:t>
      </w:r>
      <w:r>
        <w:rPr>
          <w:b w:val="0"/>
          <w:i w:val="0"/>
        </w:rPr>
        <w:t xml:space="preserve">: regularly heating Freon cans with a coil). Deliberate, morally charged conduct (a doctor's deceptions in </w:t>
      </w:r>
      <w:r>
        <w:rPr>
          <w:b w:val="0"/>
          <w:i/>
        </w:rPr>
        <w:t>Weil v. Seltzer</w:t>
      </w:r>
      <w:r>
        <w:rPr>
          <w:b w:val="0"/>
          <w:i w:val="0"/>
        </w:rPr>
        <w:t>) is usually character.</w:t>
      </w:r>
    </w:p>
    <w:p>
      <w:pPr>
        <w:pStyle w:val="Heading3"/>
      </w:pPr>
      <w:r>
        <w:rPr>
          <w:b w:val="0"/>
          <w:i w:val="0"/>
        </w:rPr>
        <w:t>Cases</w:t>
      </w:r>
    </w:p>
    <w:p>
      <w:pPr>
        <w:spacing w:before="160"/>
      </w:pPr>
      <w:r>
        <w:rPr>
          <w:b/>
          <w:i w:val="0"/>
          <w:color w:val="B91C1C"/>
        </w:rPr>
        <w:t>Michelson v. United States, 335 U.S. 469 (1948)</w:t>
      </w:r>
      <w:r>
        <w:rPr>
          <w:color w:val="B91C1C"/>
        </w:rPr>
        <w:t xml:space="preserve">   </w:t>
      </w:r>
      <w:r>
        <w:rPr>
          <w:b/>
          <w:color w:val="FFFFFF"/>
          <w:shd w:val="clear" w:color="auto" w:fill="B91C1C"/>
        </w:rPr>
        <w:t xml:space="preserve"> MAIN CASE · CLASS 7 </w:t>
      </w:r>
    </w:p>
    <w:p>
      <w:r>
        <w:rPr>
          <w:b/>
          <w:i w:val="0"/>
          <w:color w:val="1D4ED8"/>
        </w:rPr>
        <w:t xml:space="preserve">Facts:   </w:t>
      </w:r>
      <w:r>
        <w:rPr>
          <w:b w:val="0"/>
          <w:i w:val="0"/>
        </w:rPr>
        <w:t>A bribery defendant called five reputation witnesses. The prosecutor asked four of them whether they had heard of his 1920 arrest for receiving stolen goods.</w:t>
      </w:r>
    </w:p>
    <w:p>
      <w:r>
        <w:rPr>
          <w:b/>
          <w:i w:val="0"/>
          <w:color w:val="15803D"/>
        </w:rPr>
        <w:t xml:space="preserve">Held:   </w:t>
      </w:r>
      <w:r>
        <w:rPr>
          <w:b w:val="0"/>
          <w:i w:val="0"/>
        </w:rPr>
        <w:t>Proper. A defendant who puts his reputation in issue opens it to cross-examination testing what the witness has heard; "it is not the man that he is, but the name that he has" that is at issue. The prosecutor had a good-faith basis, and the judge instructed the jury properly. Dissent (Rutledge, J.): the question plants the fact.</w:t>
      </w:r>
    </w:p>
    <w:p>
      <w:r>
        <w:rPr>
          <w:b/>
          <w:i w:val="0"/>
          <w:color w:val="8A6100"/>
        </w:rPr>
        <w:t xml:space="preserve">Why it matters:   </w:t>
      </w:r>
      <w:r>
        <w:rPr>
          <w:b w:val="0"/>
          <w:i w:val="0"/>
        </w:rPr>
        <w:t>The 405(a) cross-examination rule. Today opinion testimony is also allowed.</w:t>
      </w:r>
    </w:p>
    <w:p>
      <w:pPr>
        <w:pStyle w:val="Heading1"/>
      </w:pPr>
      <w:r>
        <w:rPr>
          <w:b w:val="0"/>
          <w:i w:val="0"/>
        </w:rPr>
        <w:t>PART IV — IMPEACHMENT AND THE RAPE SHIELD (FRE 607–610, 412)</w:t>
      </w:r>
    </w:p>
    <w:p>
      <w:pPr>
        <w:pStyle w:val="Heading2"/>
      </w:pPr>
      <w:r>
        <w:rPr>
          <w:b w:val="0"/>
          <w:i w:val="0"/>
        </w:rPr>
        <w:t>9. The Modes of Impeachment</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607:</w:t>
            </w:r>
            <w:r>
              <w:rPr>
                <w:b w:val="0"/>
                <w:i w:val="0"/>
              </w:rPr>
              <w:t xml:space="preserve"> any party, including the party that called the witness, may attack the witness's credibility.</w:t>
            </w:r>
          </w:p>
        </w:tc>
      </w:tr>
    </w:tbl>
    <w:p/>
    <w:p>
      <w:pPr>
        <w:pStyle w:val="ListBullet"/>
      </w:pPr>
      <w:r>
        <w:rPr>
          <w:b/>
          <w:i w:val="0"/>
        </w:rPr>
        <w:t>Two families (slides):</w:t>
      </w:r>
      <w:r>
        <w:rPr>
          <w:b w:val="0"/>
          <w:i w:val="0"/>
        </w:rPr>
        <w:t xml:space="preserve"> "the witness is lying </w:t>
      </w:r>
      <w:r>
        <w:rPr>
          <w:b/>
          <w:i w:val="0"/>
        </w:rPr>
        <w:t>now</w:t>
      </w:r>
      <w:r>
        <w:rPr>
          <w:b w:val="0"/>
          <w:i w:val="0"/>
        </w:rPr>
        <w:t xml:space="preserve">" (contradiction, prior inconsistent statement, bias, capacity) and "the witness </w:t>
      </w:r>
      <w:r>
        <w:rPr>
          <w:b/>
          <w:i w:val="0"/>
        </w:rPr>
        <w:t>is</w:t>
      </w:r>
      <w:r>
        <w:rPr>
          <w:b w:val="0"/>
          <w:i w:val="0"/>
        </w:rPr>
        <w:t xml:space="preserve"> a liar" (608(a), 608(b), 609). Bias is never collateral and may be proved extrinsically (Abel). Religious beliefs may not be used to attack or support credibility (610).</w:t>
      </w:r>
    </w:p>
    <w:p>
      <w:pPr>
        <w:pStyle w:val="Heading2"/>
      </w:pPr>
      <w:r>
        <w:rPr>
          <w:b w:val="0"/>
          <w:i w:val="0"/>
        </w:rPr>
        <w:t>10. Character for Truthfulness (FRE 608)</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608(a):</w:t>
            </w:r>
            <w:r>
              <w:rPr>
                <w:b w:val="0"/>
                <w:i w:val="0"/>
              </w:rPr>
              <w:t xml:space="preserve"> a witness's credibility may be attacked or supported by reputation or opinion testimony about the witness's character for truthfulness or untruthfulness, but evidence of truthful character is admissible only after the witness's character for truthfulness has been attacked. </w:t>
            </w:r>
            <w:r>
              <w:rPr>
                <w:b/>
                <w:i w:val="0"/>
              </w:rPr>
              <w:t>608(b):</w:t>
            </w:r>
            <w:r>
              <w:rPr>
                <w:b w:val="0"/>
                <w:i w:val="0"/>
              </w:rPr>
              <w:t xml:space="preserve"> except for 609 convictions, extrinsic evidence is not admissible to prove specific instances of a witness's conduct to attack or support character for truthfulness; the court may, on cross-examination, allow inquiry into them if probative of the character for truthfulness of </w:t>
            </w:r>
            <w:r>
              <w:rPr>
                <w:b w:val="0"/>
                <w:i w:val="0"/>
                <w:color w:val="B91C1C"/>
              </w:rPr>
              <w:t xml:space="preserve">(1) the witness or </w:t>
            </w:r>
            <w:r>
              <w:rPr>
                <w:b w:val="0"/>
                <w:i w:val="0"/>
                <w:color w:val="C2410C"/>
              </w:rPr>
              <w:t>(2) another witness about whose character the witness being cross-examined has testified.</w:t>
            </w:r>
          </w:p>
        </w:tc>
      </w:tr>
    </w:tbl>
    <w:p/>
    <w:p>
      <w:pPr>
        <w:pStyle w:val="ListBullet"/>
      </w:pPr>
      <w:r>
        <w:rPr>
          <w:b w:val="0"/>
          <w:i w:val="0"/>
        </w:rPr>
        <w:t>608 applies in civil and criminal cases, to every witness, and either side may start the attack.</w:t>
      </w:r>
    </w:p>
    <w:p>
      <w:pPr>
        <w:pStyle w:val="ListBullet"/>
      </w:pPr>
      <w:r>
        <w:rPr>
          <w:b/>
          <w:i w:val="0"/>
        </w:rPr>
        <w:t>Limits on 608(b):</w:t>
      </w:r>
      <w:r>
        <w:rPr>
          <w:b w:val="0"/>
          <w:i w:val="0"/>
        </w:rPr>
        <w:t xml:space="preserve"> the act must be probative of truthfulness (the lie, not the underlying misconduct); no extrinsic proof (take the answer); 403 discretion; a </w:t>
      </w:r>
      <w:r>
        <w:rPr>
          <w:b/>
          <w:i w:val="0"/>
        </w:rPr>
        <w:t>good-faith basis</w:t>
      </w:r>
      <w:r>
        <w:rPr>
          <w:b w:val="0"/>
          <w:i w:val="0"/>
        </w:rPr>
        <w:t xml:space="preserve"> (Whitmore); protection from harassment (611(a)). Extrinsic evidence offered for another purpose, such as bias, is governed by 401–403.</w:t>
      </w:r>
    </w:p>
    <w:p>
      <w:pPr>
        <w:pStyle w:val="ListBullet"/>
      </w:pPr>
      <w:r>
        <w:rPr>
          <w:b/>
          <w:i w:val="0"/>
        </w:rPr>
        <w:t>Rehabilitation</w:t>
      </w:r>
      <w:r>
        <w:rPr>
          <w:b w:val="0"/>
          <w:i w:val="0"/>
        </w:rPr>
        <w:t xml:space="preserve"> requires an attack on character for truthfulness: 608 opinion or reputation, 608(b) acts, or 609 convictions. </w:t>
      </w:r>
      <w:r>
        <w:rPr>
          <w:b/>
          <w:i w:val="0"/>
        </w:rPr>
        <w:t>Bias is not such an attack</w:t>
      </w:r>
      <w:r>
        <w:rPr>
          <w:b w:val="0"/>
          <w:i w:val="0"/>
        </w:rPr>
        <w:t xml:space="preserve"> (ACN), and a single contradiction usually is not (Problems 4.6–4.7).</w:t>
      </w:r>
    </w:p>
    <w:p>
      <w:pPr>
        <w:spacing w:before="160"/>
      </w:pPr>
      <w:r>
        <w:rPr>
          <w:b/>
          <w:i w:val="0"/>
          <w:color w:val="B91C1C"/>
        </w:rPr>
        <w:t>United States v. Whitmore, 359 F.3d 609 (D.C. Cir. 2004)</w:t>
      </w:r>
      <w:r>
        <w:rPr>
          <w:color w:val="B91C1C"/>
        </w:rPr>
        <w:t xml:space="preserve">   </w:t>
      </w:r>
      <w:r>
        <w:rPr>
          <w:b/>
          <w:color w:val="FFFFFF"/>
          <w:shd w:val="clear" w:color="auto" w:fill="B91C1C"/>
        </w:rPr>
        <w:t xml:space="preserve"> MAIN CASE · CLASS 8 </w:t>
      </w:r>
    </w:p>
    <w:p>
      <w:r>
        <w:rPr>
          <w:b/>
          <w:i w:val="0"/>
          <w:color w:val="1D4ED8"/>
        </w:rPr>
        <w:t xml:space="preserve">Facts:   </w:t>
      </w:r>
      <w:r>
        <w:rPr>
          <w:b w:val="0"/>
          <w:i w:val="0"/>
        </w:rPr>
        <w:t>The gun case rested on Officer Soto alone. The defense offered three witnesses to Soto's bad reputation and opinion of his untruthfulness, and sought to cross him about lying regarding his suspended license and about unpaid child support.</w:t>
      </w:r>
    </w:p>
    <w:p>
      <w:r>
        <w:rPr>
          <w:b/>
          <w:i w:val="0"/>
          <w:color w:val="15803D"/>
        </w:rPr>
        <w:t xml:space="preserve">Held:   </w:t>
      </w:r>
      <w:r>
        <w:rPr>
          <w:b w:val="0"/>
          <w:i w:val="0"/>
        </w:rPr>
        <w:t>Excluding the 608(a) witnesses was within the judge's discretion (their information was too remote or too narrow). Barring the 608(b) cross was an abuse of discretion: the questioner needs only a good-faith basis, not admissible proof, and lying about the license is probative of untruthfulness. Not harmless.</w:t>
      </w:r>
    </w:p>
    <w:p>
      <w:r>
        <w:rPr>
          <w:b/>
          <w:i w:val="0"/>
          <w:color w:val="8A6100"/>
        </w:rPr>
        <w:t xml:space="preserve">Why it matters:   </w:t>
      </w:r>
      <w:r>
        <w:rPr>
          <w:b w:val="0"/>
          <w:i w:val="0"/>
        </w:rPr>
        <w:t>608(b) bars extrinsic proof, not questions.</w:t>
      </w:r>
    </w:p>
    <w:p>
      <w:pPr>
        <w:pStyle w:val="Heading2"/>
      </w:pPr>
      <w:r>
        <w:rPr>
          <w:b w:val="0"/>
          <w:i w:val="0"/>
        </w:rPr>
        <w:t>11. Impeachment by Conviction (FRE 609)</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609(a):</w:t>
            </w:r>
            <w:r>
              <w:rPr>
                <w:b w:val="0"/>
                <w:i w:val="0"/>
              </w:rPr>
              <w:t xml:space="preserve"> to attack a witness's character for truthfulness by a criminal conviction: </w:t>
            </w:r>
            <w:r>
              <w:rPr>
                <w:b w:val="0"/>
                <w:i w:val="0"/>
                <w:color w:val="B91C1C"/>
              </w:rPr>
              <w:t xml:space="preserve">(1) for a crime punishable by death or more than one year in the convicting jurisdiction, the evidence (A) must be admitted, subject to 403, in a civil case or for a witness who is not a criminal defendant, and (B) must be admitted against a testifying criminal defendant if its probative value outweighs its prejudicial effect to that defendant; </w:t>
            </w:r>
            <w:r>
              <w:rPr>
                <w:b w:val="0"/>
                <w:i w:val="0"/>
                <w:color w:val="C2410C"/>
              </w:rPr>
              <w:t>(2) for any crime, the evidence must be admitted if the court can readily determine that establishing its elements required proving, or the witness's admitting, a dishonest act or false statement.</w:t>
            </w:r>
          </w:p>
          <w:p>
            <w:r>
              <w:rPr>
                <w:b/>
                <w:i w:val="0"/>
              </w:rPr>
              <w:t>609(b):</w:t>
            </w:r>
            <w:r>
              <w:rPr>
                <w:b w:val="0"/>
                <w:i w:val="0"/>
              </w:rPr>
              <w:t xml:space="preserve"> if more than 10 years have passed since the conviction or release from confinement for it, whichever is later, the conviction is admissible only if its probative value, supported by specific facts and circumstances, substantially outweighs its prejudicial effect, and the proponent gives reasonable written notice. </w:t>
            </w:r>
            <w:r>
              <w:rPr>
                <w:b/>
                <w:i w:val="0"/>
              </w:rPr>
              <w:t>609(c):</w:t>
            </w:r>
            <w:r>
              <w:rPr>
                <w:b w:val="0"/>
                <w:i w:val="0"/>
              </w:rPr>
              <w:t xml:space="preserve"> pardons and the like based on rehabilitation (with no later felony) or innocence bar use. </w:t>
            </w:r>
            <w:r>
              <w:rPr>
                <w:b/>
                <w:i w:val="0"/>
              </w:rPr>
              <w:t>609(d):</w:t>
            </w:r>
            <w:r>
              <w:rPr>
                <w:b w:val="0"/>
                <w:i w:val="0"/>
              </w:rPr>
              <w:t xml:space="preserve"> juvenile adjudications only in a criminal case, only against a witness other than the defendant, only if an adult conviction would be admissible, and only if necessary to fairly determine guilt or innocence.</w:t>
            </w:r>
          </w:p>
        </w:tc>
      </w:tr>
    </w:tbl>
    <w:p/>
    <w:tbl>
      <w:tblPr>
        <w:tblStyle w:val="TableGrid"/>
        <w:tblW w:type="auto" w:w="0"/>
        <w:tblLook w:firstColumn="1" w:firstRow="1" w:lastColumn="0" w:lastRow="0" w:noHBand="0" w:noVBand="1" w:val="04A0"/>
      </w:tblPr>
      <w:tblGrid>
        <w:gridCol w:w="5040"/>
        <w:gridCol w:w="5040"/>
      </w:tblGrid>
      <w:tr>
        <w:tc>
          <w:tcPr>
            <w:tcW w:type="dxa" w:w="5040"/>
            <w:shd w:val="clear" w:color="auto" w:fill="1F3864"/>
          </w:tcPr>
          <w:p>
            <w:r>
              <w:rPr>
                <w:b/>
                <w:i w:val="0"/>
                <w:color w:val="FFFFFF"/>
                <w:sz w:val="19"/>
              </w:rPr>
              <w:t>Conviction and witness</w:t>
            </w:r>
          </w:p>
        </w:tc>
        <w:tc>
          <w:tcPr>
            <w:tcW w:type="dxa" w:w="5040"/>
            <w:shd w:val="clear" w:color="auto" w:fill="1F3864"/>
          </w:tcPr>
          <w:p>
            <w:r>
              <w:rPr>
                <w:b/>
                <w:i w:val="0"/>
                <w:color w:val="FFFFFF"/>
                <w:sz w:val="19"/>
              </w:rPr>
              <w:t>Test</w:t>
            </w:r>
          </w:p>
        </w:tc>
      </w:tr>
      <w:tr>
        <w:tc>
          <w:tcPr>
            <w:tcW w:type="dxa" w:w="5040"/>
            <w:shd w:val="clear" w:color="auto" w:fill="FDEDED"/>
          </w:tcPr>
          <w:p>
            <w:r>
              <w:rPr>
                <w:b/>
                <w:i w:val="0"/>
                <w:sz w:val="19"/>
              </w:rPr>
              <w:t>Dishonesty or false statement (any punishment)</w:t>
            </w:r>
          </w:p>
        </w:tc>
        <w:tc>
          <w:tcPr>
            <w:tcW w:type="dxa" w:w="5040"/>
            <w:shd w:val="clear" w:color="auto" w:fill="FDEDED"/>
          </w:tcPr>
          <w:p>
            <w:r>
              <w:rPr>
                <w:b w:val="0"/>
                <w:i w:val="0"/>
                <w:sz w:val="19"/>
              </w:rPr>
              <w:t>Must be admitted; no 403</w:t>
            </w:r>
          </w:p>
        </w:tc>
      </w:tr>
      <w:tr>
        <w:tc>
          <w:tcPr>
            <w:tcW w:type="dxa" w:w="5040"/>
            <w:shd w:val="clear" w:color="auto" w:fill="FFF1E6"/>
          </w:tcPr>
          <w:p>
            <w:r>
              <w:rPr>
                <w:b/>
                <w:i w:val="0"/>
                <w:sz w:val="19"/>
              </w:rPr>
              <w:t>Felony; any witness except a criminal defendant</w:t>
            </w:r>
          </w:p>
        </w:tc>
        <w:tc>
          <w:tcPr>
            <w:tcW w:type="dxa" w:w="5040"/>
            <w:shd w:val="clear" w:color="auto" w:fill="FFF1E6"/>
          </w:tcPr>
          <w:p>
            <w:r>
              <w:rPr>
                <w:b w:val="0"/>
                <w:i w:val="0"/>
                <w:sz w:val="19"/>
              </w:rPr>
              <w:t>403 (excluded only if substantially outweighed)</w:t>
            </w:r>
          </w:p>
        </w:tc>
      </w:tr>
      <w:tr>
        <w:tc>
          <w:tcPr>
            <w:tcW w:type="dxa" w:w="5040"/>
            <w:shd w:val="clear" w:color="auto" w:fill="FEF9E7"/>
          </w:tcPr>
          <w:p>
            <w:r>
              <w:rPr>
                <w:b/>
                <w:i w:val="0"/>
                <w:sz w:val="19"/>
              </w:rPr>
              <w:t>Felony; the criminal defendant</w:t>
            </w:r>
          </w:p>
        </w:tc>
        <w:tc>
          <w:tcPr>
            <w:tcW w:type="dxa" w:w="5040"/>
            <w:shd w:val="clear" w:color="auto" w:fill="FEF9E7"/>
          </w:tcPr>
          <w:p>
            <w:r>
              <w:rPr>
                <w:b w:val="0"/>
                <w:i w:val="0"/>
                <w:sz w:val="19"/>
              </w:rPr>
              <w:t xml:space="preserve">Admitted only if probative value </w:t>
            </w:r>
            <w:r>
              <w:rPr>
                <w:b/>
                <w:i w:val="0"/>
                <w:sz w:val="19"/>
              </w:rPr>
              <w:t>outweighs</w:t>
            </w:r>
            <w:r>
              <w:rPr>
                <w:b w:val="0"/>
                <w:i w:val="0"/>
                <w:sz w:val="19"/>
              </w:rPr>
              <w:t xml:space="preserve"> prejudicial effect</w:t>
            </w:r>
          </w:p>
        </w:tc>
      </w:tr>
      <w:tr>
        <w:tc>
          <w:tcPr>
            <w:tcW w:type="dxa" w:w="5040"/>
            <w:shd w:val="clear" w:color="auto" w:fill="EAF7EE"/>
          </w:tcPr>
          <w:p>
            <w:r>
              <w:rPr>
                <w:b/>
                <w:i w:val="0"/>
                <w:sz w:val="19"/>
              </w:rPr>
              <w:t>More than 10 years old (from the later of conviction or release)</w:t>
            </w:r>
          </w:p>
        </w:tc>
        <w:tc>
          <w:tcPr>
            <w:tcW w:type="dxa" w:w="5040"/>
            <w:shd w:val="clear" w:color="auto" w:fill="EAF7EE"/>
          </w:tcPr>
          <w:p>
            <w:r>
              <w:rPr>
                <w:b w:val="0"/>
                <w:i w:val="0"/>
                <w:sz w:val="19"/>
              </w:rPr>
              <w:t xml:space="preserve">Probative value must </w:t>
            </w:r>
            <w:r>
              <w:rPr>
                <w:b/>
                <w:i w:val="0"/>
                <w:sz w:val="19"/>
              </w:rPr>
              <w:t>substantially outweigh</w:t>
            </w:r>
            <w:r>
              <w:rPr>
                <w:b w:val="0"/>
                <w:i w:val="0"/>
                <w:sz w:val="19"/>
              </w:rPr>
              <w:t xml:space="preserve"> prejudice; written notice</w:t>
            </w:r>
          </w:p>
        </w:tc>
      </w:tr>
    </w:tbl>
    <w:p/>
    <w:p>
      <w:pPr>
        <w:pStyle w:val="ListBullet"/>
      </w:pPr>
      <w:r>
        <w:rPr>
          <w:b w:val="0"/>
          <w:i w:val="0"/>
        </w:rPr>
        <w:t xml:space="preserve">What counts is the </w:t>
      </w:r>
      <w:r>
        <w:rPr>
          <w:b/>
          <w:i w:val="0"/>
        </w:rPr>
        <w:t>maximum punishment</w:t>
      </w:r>
      <w:r>
        <w:rPr>
          <w:b w:val="0"/>
          <w:i w:val="0"/>
        </w:rPr>
        <w:t>, not the sentence imposed. Larceny, robbery, and drug crimes are generally not crimen falsi; the court looks to the elements and, if needed, the indictment, admitted facts, or jury instructions (ACN 2006). 609(b) applies to crimen falsi too.</w:t>
      </w:r>
    </w:p>
    <w:p>
      <w:pPr>
        <w:pStyle w:val="ListBullet"/>
      </w:pPr>
      <w:r>
        <w:rPr>
          <w:b/>
          <w:i w:val="0"/>
        </w:rPr>
        <w:t>Preservation:</w:t>
      </w:r>
      <w:r>
        <w:rPr>
          <w:b w:val="0"/>
          <w:i w:val="0"/>
        </w:rPr>
        <w:t xml:space="preserve"> a defendant must testify to challenge an in limine 609 ruling (</w:t>
      </w:r>
      <w:r>
        <w:rPr>
          <w:b w:val="0"/>
          <w:i/>
        </w:rPr>
        <w:t>Luce</w:t>
      </w:r>
      <w:r>
        <w:rPr>
          <w:b w:val="0"/>
          <w:i w:val="0"/>
        </w:rPr>
        <w:t>, 1984), and waives the challenge by introducing the conviction herself on direct (</w:t>
      </w:r>
      <w:r>
        <w:rPr>
          <w:b w:val="0"/>
          <w:i/>
        </w:rPr>
        <w:t>Ohler</w:t>
      </w:r>
      <w:r>
        <w:rPr>
          <w:b w:val="0"/>
          <w:i w:val="0"/>
        </w:rPr>
        <w:t>, 2000).</w:t>
      </w:r>
    </w:p>
    <w:p>
      <w:pPr>
        <w:spacing w:before="160"/>
      </w:pPr>
      <w:r>
        <w:rPr>
          <w:b/>
          <w:i w:val="0"/>
          <w:color w:val="B91C1C"/>
        </w:rPr>
        <w:t>United States v. Brewer, 451 F. Supp. 50 (E.D. Tenn. 1978)</w:t>
      </w:r>
      <w:r>
        <w:rPr>
          <w:color w:val="B91C1C"/>
        </w:rPr>
        <w:t xml:space="preserve">   </w:t>
      </w:r>
      <w:r>
        <w:rPr>
          <w:b/>
          <w:color w:val="FFFFFF"/>
          <w:shd w:val="clear" w:color="auto" w:fill="B91C1C"/>
        </w:rPr>
        <w:t xml:space="preserve"> MAIN CASE · CLASS 9 </w:t>
      </w:r>
    </w:p>
    <w:p>
      <w:r>
        <w:rPr>
          <w:b/>
          <w:i w:val="0"/>
          <w:color w:val="1D4ED8"/>
        </w:rPr>
        <w:t xml:space="preserve">Facts:   </w:t>
      </w:r>
      <w:r>
        <w:rPr>
          <w:b w:val="0"/>
          <w:i w:val="0"/>
        </w:rPr>
        <w:t>Charged with kidnapping and transporting a stolen car, Brewer sought to bar impeachment with a 1960 kidnapping and three 1968 Ohio convictions (rape and two assaults).</w:t>
      </w:r>
    </w:p>
    <w:p>
      <w:r>
        <w:rPr>
          <w:b/>
          <w:i w:val="0"/>
          <w:color w:val="15803D"/>
        </w:rPr>
        <w:t xml:space="preserve">Held:   </w:t>
      </w:r>
      <w:r>
        <w:rPr>
          <w:b w:val="0"/>
          <w:i w:val="0"/>
        </w:rPr>
        <w:t xml:space="preserve">609(b) did not apply: the ten years run from the later of conviction or </w:t>
      </w:r>
      <w:r>
        <w:rPr>
          <w:b/>
          <w:i w:val="0"/>
        </w:rPr>
        <w:t>release</w:t>
      </w:r>
      <w:r>
        <w:rPr>
          <w:b w:val="0"/>
          <w:i w:val="0"/>
        </w:rPr>
        <w:t xml:space="preserve">, and he was released within ten years (including from reconfinement for a parole violation on the kidnapping). Under 609(a)(1)(B), applying the </w:t>
      </w:r>
      <w:r>
        <w:rPr>
          <w:b w:val="0"/>
          <w:i/>
        </w:rPr>
        <w:t>Gordon</w:t>
      </w:r>
      <w:r>
        <w:rPr>
          <w:b w:val="0"/>
          <w:i w:val="0"/>
        </w:rPr>
        <w:t xml:space="preserve"> factors, the kidnapping conviction was excluded (identical to the charge, and "overkill"), and the other three were admitted.</w:t>
      </w:r>
    </w:p>
    <w:p>
      <w:r>
        <w:rPr>
          <w:b/>
          <w:i w:val="0"/>
          <w:color w:val="8A6100"/>
        </w:rPr>
        <w:t xml:space="preserve">Why it matters:   </w:t>
      </w:r>
      <w:r>
        <w:rPr>
          <w:b w:val="0"/>
          <w:i w:val="0"/>
        </w:rPr>
        <w:t xml:space="preserve">The five </w:t>
      </w:r>
      <w:r>
        <w:rPr>
          <w:b w:val="0"/>
          <w:i/>
        </w:rPr>
        <w:t>Gordon</w:t>
      </w:r>
      <w:r>
        <w:rPr>
          <w:b w:val="0"/>
          <w:i w:val="0"/>
        </w:rPr>
        <w:t xml:space="preserve"> factors: (1) the nature of the crime (violence says little about veracity); (2) its recency and the witness's later history; (3) similarity to the charged crime (weighs against admission); (4) the importance of the defendant's testimony (weighs against admission); (5) the centrality of credibility (weighs for admission).</w:t>
      </w:r>
    </w:p>
    <w:p>
      <w:pPr>
        <w:pStyle w:val="Heading2"/>
      </w:pPr>
      <w:r>
        <w:rPr>
          <w:b w:val="0"/>
          <w:i w:val="0"/>
        </w:rPr>
        <w:t>12. The Rape Shield (FRE 412)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412(a):</w:t>
            </w:r>
            <w:r>
              <w:rPr>
                <w:b w:val="0"/>
                <w:i w:val="0"/>
              </w:rPr>
              <w:t xml:space="preserve"> in a civil or criminal proceeding involving alleged sexual misconduct, evidence offered to prove that a victim engaged in other sexual behavior, or to prove a victim's sexual predisposition, is not admissible. </w:t>
            </w:r>
            <w:r>
              <w:rPr>
                <w:b/>
                <w:i w:val="0"/>
              </w:rPr>
              <w:t>412(b)</w:t>
            </w:r>
            <w:r>
              <w:rPr>
                <w:b/>
                <w:i w:val="0"/>
                <w:color w:val="B91C1C"/>
              </w:rPr>
              <w:t>(1) (criminal):</w:t>
            </w:r>
            <w:r>
              <w:rPr>
                <w:b w:val="0"/>
                <w:i w:val="0"/>
                <w:color w:val="B91C1C"/>
              </w:rPr>
              <w:t xml:space="preserve"> the court may admit (A) specific instances of the victim's sexual behavior offered to prove someone other than the defendant was the source of semen, injury, or other physical evidence; (B) specific instances with the accused, offered by the defendant to prove consent or by the prosecutor; (C) evidence whose exclusion would violate the defendant's constitutional rights. </w:t>
            </w:r>
            <w:r>
              <w:rPr>
                <w:b/>
                <w:i w:val="0"/>
                <w:color w:val="B91C1C"/>
              </w:rPr>
              <w:t>412(b)</w:t>
            </w:r>
            <w:r>
              <w:rPr>
                <w:b/>
                <w:i w:val="0"/>
                <w:color w:val="C2410C"/>
              </w:rPr>
              <w:t>(2) (civil):</w:t>
            </w:r>
            <w:r>
              <w:rPr>
                <w:b w:val="0"/>
                <w:i w:val="0"/>
                <w:color w:val="C2410C"/>
              </w:rPr>
              <w:t xml:space="preserve"> admissible if its probative value substantially outweighs the danger of harm to any victim and unfair prejudice to any party; reputation only if the victim placed it in controversy. </w:t>
            </w:r>
            <w:r>
              <w:rPr>
                <w:b/>
                <w:i w:val="0"/>
                <w:color w:val="C2410C"/>
              </w:rPr>
              <w:t>412(c):</w:t>
            </w:r>
            <w:r>
              <w:rPr>
                <w:b w:val="0"/>
                <w:i w:val="0"/>
                <w:color w:val="C2410C"/>
              </w:rPr>
              <w:t xml:space="preserve"> a motion at least 14 days before trial, notice to the victim, and a sealed in camera hearing.</w:t>
            </w:r>
          </w:p>
        </w:tc>
      </w:tr>
    </w:tbl>
    <w:p/>
    <w:p>
      <w:pPr>
        <w:pStyle w:val="ListBullet"/>
      </w:pPr>
      <w:r>
        <w:rPr>
          <w:b/>
          <w:i w:val="0"/>
        </w:rPr>
        <w:t>Why (slides):</w:t>
      </w:r>
      <w:r>
        <w:rPr>
          <w:b w:val="0"/>
          <w:i w:val="0"/>
        </w:rPr>
        <w:t xml:space="preserve"> the common law let defendants argue that past consent meant present consent (via the 404(a)(2)(B) analogue) and that unchastity showed untruthfulness (via 608(b)); Wigmore urged suspicion of complainants. Colb: once a woman swears she did not consent, her history has no real predictive force.</w:t>
      </w:r>
    </w:p>
    <w:p>
      <w:pPr>
        <w:pStyle w:val="ListBullet"/>
      </w:pPr>
      <w:r>
        <w:rPr>
          <w:b w:val="0"/>
          <w:i w:val="0"/>
        </w:rPr>
        <w:t xml:space="preserve">A </w:t>
      </w:r>
      <w:r>
        <w:rPr>
          <w:b/>
          <w:i w:val="0"/>
        </w:rPr>
        <w:t>prior false accusation</w:t>
      </w:r>
      <w:r>
        <w:rPr>
          <w:b w:val="0"/>
          <w:i w:val="0"/>
        </w:rPr>
        <w:t xml:space="preserve"> is not sexual behavior, so 412 does not reach it; the threshold is whether a jury could find it false (</w:t>
      </w:r>
      <w:r>
        <w:rPr>
          <w:b w:val="0"/>
          <w:i/>
        </w:rPr>
        <w:t>State v. Smith</w:t>
      </w:r>
      <w:r>
        <w:rPr>
          <w:b w:val="0"/>
          <w:i w:val="0"/>
        </w:rPr>
        <w:t>, La. 1999). Ordinary 403 and 608(b) limits still apply.</w:t>
      </w:r>
    </w:p>
    <w:p>
      <w:pPr>
        <w:pStyle w:val="ListBullet"/>
      </w:pPr>
      <w:r>
        <w:rPr>
          <w:b/>
          <w:i w:val="0"/>
        </w:rPr>
        <w:t>Asymmetry with 413–415 (slides):</w:t>
      </w:r>
      <w:r>
        <w:rPr>
          <w:b w:val="0"/>
          <w:i w:val="0"/>
        </w:rPr>
        <w:t xml:space="preserve"> the shield protects reporting and privacy, interests a past offender lacks, and a victim's history cuts both ways while a defendant's prior rapes cut one way.</w:t>
      </w:r>
    </w:p>
    <w:p>
      <w:pPr>
        <w:spacing w:before="160"/>
      </w:pPr>
      <w:r>
        <w:rPr>
          <w:b/>
          <w:i w:val="0"/>
          <w:color w:val="B91C1C"/>
        </w:rPr>
        <w:t>Olden v. Kentucky, 488 U.S. 227 (1988)</w:t>
      </w:r>
      <w:r>
        <w:rPr>
          <w:color w:val="B91C1C"/>
        </w:rPr>
        <w:t xml:space="preserve">   </w:t>
      </w:r>
      <w:r>
        <w:rPr>
          <w:b/>
          <w:color w:val="FFFFFF"/>
          <w:shd w:val="clear" w:color="auto" w:fill="B91C1C"/>
        </w:rPr>
        <w:t xml:space="preserve"> MAIN CASE · CLASS 10 </w:t>
      </w:r>
    </w:p>
    <w:p>
      <w:r>
        <w:rPr>
          <w:b/>
          <w:i w:val="0"/>
          <w:color w:val="1D4ED8"/>
        </w:rPr>
        <w:t xml:space="preserve">Facts:   </w:t>
      </w:r>
      <w:r>
        <w:rPr>
          <w:b w:val="0"/>
          <w:i w:val="0"/>
        </w:rPr>
        <w:t>Olden claimed the complainant consented and invented the rape to explain to Russell, her live-in partner, why she was getting out of another man's car. The trial court barred all evidence that she and Russell lived together.</w:t>
      </w:r>
    </w:p>
    <w:p>
      <w:r>
        <w:rPr>
          <w:b/>
          <w:i w:val="0"/>
          <w:color w:val="15803D"/>
        </w:rPr>
        <w:t xml:space="preserve">Held:   </w:t>
      </w:r>
      <w:r>
        <w:rPr>
          <w:b w:val="0"/>
          <w:i w:val="0"/>
        </w:rPr>
        <w:t>Reversed per curiam: the Confrontation Clause protects cross-examination designed to show "a prototypical form of bias." Her testimony was central and corroborated only by Russell, whose own bias the evidence would show.</w:t>
      </w:r>
    </w:p>
    <w:p>
      <w:r>
        <w:rPr>
          <w:b/>
          <w:i w:val="0"/>
          <w:color w:val="8A6100"/>
        </w:rPr>
        <w:t xml:space="preserve">Why it matters:   </w:t>
      </w:r>
      <w:r>
        <w:rPr>
          <w:b w:val="0"/>
          <w:i w:val="0"/>
        </w:rPr>
        <w:t>The model for 412(b)(1)(C): exclusion that cuts off proof of bias violates the Constitution.</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Impeachment problem: (1) name the theory (bias, contradiction, inconsistency, 608(a), 608(b), 609); (2) apply its form-of-proof limits (opinion or reputation; cross only; record of conviction); (3) is extrinsic evidence allowed? (bias and non-collateral matters, yes; 608(b) character, no); (4) has character been attacked before rehabilitation? (5) 403, 611(a), and in sex cases, 412.</w:t>
            </w:r>
          </w:p>
        </w:tc>
      </w:tr>
    </w:tbl>
    <w:p/>
    <w:p>
      <w:pPr>
        <w:pStyle w:val="Heading1"/>
      </w:pPr>
      <w:r>
        <w:rPr>
          <w:b w:val="0"/>
          <w:i w:val="0"/>
        </w:rPr>
        <w:t>PART V — COMPETENCY AND HEARSAY</w:t>
      </w:r>
    </w:p>
    <w:p>
      <w:pPr>
        <w:pStyle w:val="Heading2"/>
      </w:pPr>
      <w:r>
        <w:rPr>
          <w:b w:val="0"/>
          <w:i w:val="0"/>
        </w:rPr>
        <w:t>13. Competency (FRE 601–603)</w:t>
      </w:r>
    </w:p>
    <w:p>
      <w:pPr>
        <w:pStyle w:val="ListBullet"/>
      </w:pPr>
      <w:r>
        <w:rPr>
          <w:b/>
          <w:i w:val="0"/>
        </w:rPr>
        <w:t>601:</w:t>
      </w:r>
      <w:r>
        <w:rPr>
          <w:b w:val="0"/>
          <w:i w:val="0"/>
        </w:rPr>
        <w:t xml:space="preserve"> every person is competent unless the rules provide otherwise (state law governs in civil cases where state law supplies the rule of decision). </w:t>
      </w:r>
      <w:r>
        <w:rPr>
          <w:b/>
          <w:i w:val="0"/>
        </w:rPr>
        <w:t>602:</w:t>
      </w:r>
      <w:r>
        <w:rPr>
          <w:b w:val="0"/>
          <w:i w:val="0"/>
        </w:rPr>
        <w:t xml:space="preserve"> a witness must have personal knowledge, shown by evidence sufficient to support a finding (not required for expert opinion under 703). </w:t>
      </w:r>
      <w:r>
        <w:rPr>
          <w:b/>
          <w:i w:val="0"/>
        </w:rPr>
        <w:t>603:</w:t>
      </w:r>
      <w:r>
        <w:rPr>
          <w:b w:val="0"/>
          <w:i w:val="0"/>
        </w:rPr>
        <w:t xml:space="preserve"> an oath or affirmation. The presiding judge (605) and jurors at the trial (606(a)) may not testify.</w:t>
      </w:r>
    </w:p>
    <w:p>
      <w:pPr>
        <w:pStyle w:val="ListBullet"/>
      </w:pPr>
      <w:r>
        <w:rPr>
          <w:b w:val="0"/>
          <w:i w:val="0"/>
        </w:rPr>
        <w:t xml:space="preserve">Old rules barred parties, spouses, interested persons, felons, atheists, and non-white persons. Today competency mostly concerns young children: the ability to perceive and remember, communicate, understand the duty to tell the truth, and answer on cross. </w:t>
      </w:r>
      <w:r>
        <w:rPr>
          <w:b/>
          <w:i w:val="0"/>
        </w:rPr>
        <w:t>18 U.S.C. § 3509(c)</w:t>
      </w:r>
      <w:r>
        <w:rPr>
          <w:b w:val="0"/>
          <w:i w:val="0"/>
        </w:rPr>
        <w:t xml:space="preserve"> presumes children competent.</w:t>
      </w:r>
    </w:p>
    <w:p>
      <w:pPr>
        <w:pStyle w:val="ListBullet"/>
      </w:pPr>
      <w:r>
        <w:rPr>
          <w:b w:val="0"/>
          <w:i w:val="0"/>
        </w:rPr>
        <w:t xml:space="preserve">Competency asks whether </w:t>
      </w:r>
      <w:r>
        <w:rPr>
          <w:b/>
          <w:i w:val="0"/>
        </w:rPr>
        <w:t>this witness</w:t>
      </w:r>
      <w:r>
        <w:rPr>
          <w:b w:val="0"/>
          <w:i w:val="0"/>
        </w:rPr>
        <w:t xml:space="preserve"> can be tested by cross; hearsay asks whether </w:t>
      </w:r>
      <w:r>
        <w:rPr>
          <w:b/>
          <w:i w:val="0"/>
        </w:rPr>
        <w:t>this statement</w:t>
      </w:r>
      <w:r>
        <w:rPr>
          <w:b w:val="0"/>
          <w:i w:val="0"/>
        </w:rPr>
        <w:t xml:space="preserve"> can be (slides).</w:t>
      </w:r>
    </w:p>
    <w:p>
      <w:pPr>
        <w:pStyle w:val="Heading2"/>
      </w:pPr>
      <w:r>
        <w:rPr>
          <w:b w:val="0"/>
          <w:i w:val="0"/>
        </w:rPr>
        <w:t>14. The Definition of Hearsay (FRE 801(a)–(c), 802)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801(a):</w:t>
            </w:r>
            <w:r>
              <w:rPr>
                <w:b w:val="0"/>
                <w:i w:val="0"/>
              </w:rPr>
              <w:t xml:space="preserve"> a "statement" is a person's oral assertion, written assertion, or nonverbal conduct, if the person intended it as an assertion. </w:t>
            </w:r>
            <w:r>
              <w:rPr>
                <w:b/>
                <w:i w:val="0"/>
              </w:rPr>
              <w:t>801(c):</w:t>
            </w:r>
            <w:r>
              <w:rPr>
                <w:b w:val="0"/>
                <w:i w:val="0"/>
              </w:rPr>
              <w:t xml:space="preserve"> hearsay is a statement that </w:t>
            </w:r>
            <w:r>
              <w:rPr>
                <w:b w:val="0"/>
                <w:i w:val="0"/>
                <w:color w:val="B91C1C"/>
              </w:rPr>
              <w:t xml:space="preserve">(1) the declarant does not make while testifying at the current trial or hearing, and </w:t>
            </w:r>
            <w:r>
              <w:rPr>
                <w:b w:val="0"/>
                <w:i w:val="0"/>
                <w:color w:val="C2410C"/>
              </w:rPr>
              <w:t xml:space="preserve">(2) a party offers to prove the truth of the matter asserted. </w:t>
            </w:r>
            <w:r>
              <w:rPr>
                <w:b/>
                <w:i w:val="0"/>
                <w:color w:val="C2410C"/>
              </w:rPr>
              <w:t>802:</w:t>
            </w:r>
            <w:r>
              <w:rPr>
                <w:b w:val="0"/>
                <w:i w:val="0"/>
                <w:color w:val="C2410C"/>
              </w:rPr>
              <w:t xml:space="preserve"> hearsay is not admissible unless a federal statute, the FRE, or other Supreme Court rules provide otherwise.</w:t>
            </w:r>
          </w:p>
        </w:tc>
      </w:tr>
    </w:tbl>
    <w:p/>
    <w:p>
      <w:pPr>
        <w:pStyle w:val="ListBullet"/>
      </w:pPr>
      <w:r>
        <w:rPr>
          <w:b/>
          <w:i w:val="0"/>
        </w:rPr>
        <w:t>The four testimonial capacities:</w:t>
      </w:r>
      <w:r>
        <w:rPr>
          <w:b w:val="0"/>
          <w:i w:val="0"/>
        </w:rPr>
        <w:t xml:space="preserve"> perception, memory, narration, and sincerity. Cross-examination tests them in a live witness; hearsay leaves the declarant's untested (slides). Raleigh's trial on Cobham's confession is the founding example.</w:t>
      </w:r>
    </w:p>
    <w:p>
      <w:pPr>
        <w:pStyle w:val="ListBullet"/>
      </w:pPr>
      <w:r>
        <w:rPr>
          <w:b/>
          <w:i w:val="0"/>
        </w:rPr>
        <w:t>A witness repeating her own earlier words is still hearsay.</w:t>
      </w:r>
    </w:p>
    <w:p>
      <w:pPr>
        <w:pStyle w:val="ListBullet"/>
      </w:pPr>
      <w:r>
        <w:rPr>
          <w:b w:val="0"/>
          <w:i w:val="0"/>
        </w:rPr>
        <w:t>"You can never answer the question, 'Is this hearsay?' without knowing the proponent's purpose" (slides).</w:t>
      </w:r>
    </w:p>
    <w:p>
      <w:pPr>
        <w:pStyle w:val="ListBullet"/>
      </w:pPr>
      <w:r>
        <w:rPr>
          <w:b/>
          <w:i w:val="0"/>
        </w:rPr>
        <w:t>Not hearsay:</w:t>
      </w:r>
      <w:r>
        <w:rPr>
          <w:b w:val="0"/>
          <w:i w:val="0"/>
        </w:rPr>
        <w:t xml:space="preserve"> words offered for their </w:t>
      </w:r>
      <w:r>
        <w:rPr>
          <w:b/>
          <w:i w:val="0"/>
        </w:rPr>
        <w:t>effect on the listener</w:t>
      </w:r>
      <w:r>
        <w:rPr>
          <w:b w:val="0"/>
          <w:i w:val="0"/>
        </w:rPr>
        <w:t xml:space="preserve"> (notice, motive, reasonable fear: Shelley Winters's marriage demand in </w:t>
      </w:r>
      <w:r>
        <w:rPr>
          <w:b w:val="0"/>
          <w:i/>
        </w:rPr>
        <w:t>A Place in the Sun</w:t>
      </w:r>
      <w:r>
        <w:rPr>
          <w:b w:val="0"/>
          <w:i w:val="0"/>
        </w:rPr>
        <w:t xml:space="preserve">; a complaint to a supervisor offered to show notice); </w:t>
      </w:r>
      <w:r>
        <w:rPr>
          <w:b/>
          <w:i w:val="0"/>
        </w:rPr>
        <w:t>verbal acts</w:t>
      </w:r>
      <w:r>
        <w:rPr>
          <w:b w:val="0"/>
          <w:i w:val="0"/>
        </w:rPr>
        <w:t xml:space="preserve"> (contract words, threats, defamation); </w:t>
      </w:r>
      <w:r>
        <w:rPr>
          <w:b/>
          <w:i w:val="0"/>
        </w:rPr>
        <w:t>nonassertive conduct</w:t>
      </w:r>
      <w:r>
        <w:rPr>
          <w:b w:val="0"/>
          <w:i w:val="0"/>
        </w:rPr>
        <w:t xml:space="preserve"> (Santiago failing to pack; the sea captain sailing with his family; paramedics' silence); involuntary exclamations; words offered as circumstantial evidence of </w:t>
      </w:r>
      <w:r>
        <w:rPr>
          <w:b/>
          <w:i w:val="0"/>
        </w:rPr>
        <w:t>knowledge</w:t>
      </w:r>
      <w:r>
        <w:rPr>
          <w:b w:val="0"/>
          <w:i w:val="0"/>
        </w:rPr>
        <w:t xml:space="preserve"> (a child's accurate description of the defendant's room; drug recipes showing know-how); machine output.</w:t>
      </w:r>
    </w:p>
    <w:p>
      <w:pPr>
        <w:pStyle w:val="ListBullet"/>
      </w:pPr>
      <w:r>
        <w:rPr>
          <w:b/>
          <w:i w:val="0"/>
        </w:rPr>
        <w:t>Conduct intended as an assertion is a statement</w:t>
      </w:r>
      <w:r>
        <w:rPr>
          <w:b w:val="0"/>
          <w:i w:val="0"/>
        </w:rPr>
        <w:t xml:space="preserve"> (pointing at a fleeing car; Minister Gummer eating beef for the press). An implied or indirect assertion offered for the belief behind it, if the speaker intended to communicate that belief, is hearsay ("Planning my retirement home" offered to show the speaker was not suicidal).</w:t>
      </w:r>
    </w:p>
    <w:p>
      <w:pPr>
        <w:pStyle w:val="ListBullet"/>
      </w:pPr>
      <w:r>
        <w:rPr>
          <w:b/>
          <w:i w:val="0"/>
        </w:rPr>
        <w:t>805:</w:t>
      </w:r>
      <w:r>
        <w:rPr>
          <w:b w:val="0"/>
          <w:i w:val="0"/>
        </w:rPr>
        <w:t xml:space="preserve"> hearsay within hearsay is admissible only if each layer fits an exception.</w:t>
      </w:r>
    </w:p>
    <w:p>
      <w:pPr>
        <w:pStyle w:val="ListBullet"/>
      </w:pPr>
      <w:r>
        <w:rPr>
          <w:b/>
          <w:i w:val="0"/>
        </w:rPr>
        <w:t>Necessity and trustworthiness</w:t>
      </w:r>
      <w:r>
        <w:rPr>
          <w:b w:val="0"/>
          <w:i w:val="0"/>
        </w:rPr>
        <w:t xml:space="preserve"> are the two justifications behind every exception (slides).</w:t>
      </w:r>
    </w:p>
    <w:p>
      <w:pPr>
        <w:pStyle w:val="Heading2"/>
      </w:pPr>
      <w:r>
        <w:rPr>
          <w:b w:val="0"/>
          <w:i w:val="0"/>
        </w:rPr>
        <w:t>15. Opposing Party's Statements (FRE 801(d)(2))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801(d)(2):</w:t>
            </w:r>
            <w:r>
              <w:rPr>
                <w:b w:val="0"/>
                <w:i w:val="0"/>
              </w:rPr>
              <w:t xml:space="preserve"> not hearsay if offered against an opposing party and (A) made by the party in an individual or representative capacity; (B) adopted by the party or believed to be true; (C) made by a person the party authorized to speak on the subject; (D) made by the party's agent or employee on a matter within the scope of that relationship while it existed; or (E) made by the party's coconspirator during and in furtherance of the conspiracy. The statement must be considered but does not by itself establish authority under (C), the relationship under (D), or the conspiracy and participation under (E).</w:t>
            </w:r>
          </w:p>
        </w:tc>
      </w:tr>
    </w:tbl>
    <w:p/>
    <w:p>
      <w:pPr>
        <w:pStyle w:val="ListBullet"/>
      </w:pPr>
      <w:r>
        <w:rPr>
          <w:b/>
          <w:i w:val="0"/>
        </w:rPr>
        <w:t>No personal knowledge or against-interest requirement</w:t>
      </w:r>
      <w:r>
        <w:rPr>
          <w:b w:val="0"/>
          <w:i w:val="0"/>
        </w:rPr>
        <w:t xml:space="preserve"> (Mahlandt); opinions are fine. Justified by the adversary system: a party cannot complain she was unable to cross-examine herself.</w:t>
      </w:r>
    </w:p>
    <w:p>
      <w:pPr>
        <w:pStyle w:val="ListBullet"/>
      </w:pPr>
      <w:r>
        <w:rPr>
          <w:b/>
          <w:i w:val="0"/>
        </w:rPr>
        <w:t>Adoption by silence:</w:t>
      </w:r>
      <w:r>
        <w:rPr>
          <w:b w:val="0"/>
          <w:i w:val="0"/>
        </w:rPr>
        <w:t xml:space="preserve"> the party (1) heard and understood, (2) was free to respond, (3) the circumstances naturally called for a denial, and (4) did not deny. Post-Miranda silence may not be used to impeach (</w:t>
      </w:r>
      <w:r>
        <w:rPr>
          <w:b w:val="0"/>
          <w:i/>
        </w:rPr>
        <w:t>Doyle</w:t>
      </w:r>
      <w:r>
        <w:rPr>
          <w:b w:val="0"/>
          <w:i w:val="0"/>
        </w:rPr>
        <w:t>) and likely not as an adoption; pre-arrest and pre-Miranda silence may impeach (</w:t>
      </w:r>
      <w:r>
        <w:rPr>
          <w:b w:val="0"/>
          <w:i/>
        </w:rPr>
        <w:t>Jenkins</w:t>
      </w:r>
      <w:r>
        <w:rPr>
          <w:b w:val="0"/>
          <w:i w:val="0"/>
        </w:rPr>
        <w:t xml:space="preserve">; </w:t>
      </w:r>
      <w:r>
        <w:rPr>
          <w:b w:val="0"/>
          <w:i/>
        </w:rPr>
        <w:t>Fletcher v. Weir</w:t>
      </w:r>
      <w:r>
        <w:rPr>
          <w:b w:val="0"/>
          <w:i w:val="0"/>
        </w:rPr>
        <w:t>), and non-custodial silence may be used substantively (</w:t>
      </w:r>
      <w:r>
        <w:rPr>
          <w:b w:val="0"/>
          <w:i/>
        </w:rPr>
        <w:t>Salinas</w:t>
      </w:r>
      <w:r>
        <w:rPr>
          <w:b w:val="0"/>
          <w:i w:val="0"/>
        </w:rPr>
        <w:t>, plurality).</w:t>
      </w:r>
    </w:p>
    <w:p>
      <w:pPr>
        <w:pStyle w:val="ListBullet"/>
      </w:pPr>
      <w:r>
        <w:rPr>
          <w:b/>
          <w:i w:val="0"/>
        </w:rPr>
        <w:t>Coconspirators:</w:t>
      </w:r>
      <w:r>
        <w:rPr>
          <w:b w:val="0"/>
          <w:i w:val="0"/>
        </w:rPr>
        <w:t xml:space="preserve"> the judge finds the conspiracy and the "during and in furtherance" requirement by a preponderance under </w:t>
      </w:r>
      <w:r>
        <w:rPr>
          <w:b/>
          <w:i w:val="0"/>
        </w:rPr>
        <w:t>104(a)</w:t>
      </w:r>
      <w:r>
        <w:rPr>
          <w:b w:val="0"/>
          <w:i w:val="0"/>
        </w:rPr>
        <w:t>, may consider the statement itself, but needs some independent evidence (Bourjaily; the 1997 amendment). No conspiracy charge is needed; a joint venture suffices. Confessions to police almost never qualify.</w:t>
      </w:r>
    </w:p>
    <w:p>
      <w:pPr>
        <w:pStyle w:val="Heading3"/>
      </w:pPr>
      <w:r>
        <w:rPr>
          <w:b w:val="0"/>
          <w:i w:val="0"/>
        </w:rPr>
        <w:t>Cases</w:t>
      </w:r>
    </w:p>
    <w:p>
      <w:pPr>
        <w:spacing w:before="160"/>
      </w:pPr>
      <w:r>
        <w:rPr>
          <w:b/>
          <w:i w:val="0"/>
          <w:color w:val="B91C1C"/>
        </w:rPr>
        <w:t>Mahlandt v. Wild Canid Survival &amp; Research Center, Inc., 588 F.2d 626 (8th Cir. 1978)</w:t>
      </w:r>
      <w:r>
        <w:rPr>
          <w:color w:val="B91C1C"/>
        </w:rPr>
        <w:t xml:space="preserve">   </w:t>
      </w:r>
      <w:r>
        <w:rPr>
          <w:b/>
          <w:color w:val="FFFFFF"/>
          <w:shd w:val="clear" w:color="auto" w:fill="B91C1C"/>
        </w:rPr>
        <w:t xml:space="preserve"> MAIN CASE · CLASS 11 </w:t>
      </w:r>
    </w:p>
    <w:p>
      <w:r>
        <w:rPr>
          <w:b/>
          <w:i w:val="0"/>
          <w:color w:val="1D4ED8"/>
        </w:rPr>
        <w:t xml:space="preserve">Facts:   </w:t>
      </w:r>
      <w:r>
        <w:rPr>
          <w:b w:val="0"/>
          <w:i w:val="0"/>
        </w:rPr>
        <w:t>No one saw how a child was hurt near a chained wolf. Poos, the Center's director of education, left a note saying "Sophie bit a child" and said so to the Center's president; board minutes referred to "the incident of Sophie biting the child."</w:t>
      </w:r>
    </w:p>
    <w:p>
      <w:r>
        <w:rPr>
          <w:b/>
          <w:i w:val="0"/>
          <w:color w:val="15803D"/>
        </w:rPr>
        <w:t xml:space="preserve">Held:   </w:t>
      </w:r>
      <w:r>
        <w:rPr>
          <w:b w:val="0"/>
          <w:i w:val="0"/>
        </w:rPr>
        <w:t>Personal knowledge is not required under 801(d)(2). Poos's statements came in against Poos (A) and against the Center (D); the minutes came in against the Center but not against Poos.</w:t>
      </w:r>
    </w:p>
    <w:p>
      <w:r>
        <w:rPr>
          <w:b/>
          <w:i w:val="0"/>
          <w:color w:val="8A6100"/>
        </w:rPr>
        <w:t xml:space="preserve">Why it matters:   </w:t>
      </w:r>
      <w:r>
        <w:rPr>
          <w:b w:val="0"/>
          <w:i w:val="0"/>
        </w:rPr>
        <w:t>Admissibility under 801(d)(2) is party-specific, and statements within an organization count.</w:t>
      </w:r>
    </w:p>
    <w:p>
      <w:pPr>
        <w:spacing w:before="160"/>
      </w:pPr>
      <w:r>
        <w:rPr>
          <w:b/>
          <w:i w:val="0"/>
          <w:color w:val="B91C1C"/>
        </w:rPr>
        <w:t>Bourjaily v. United States, 483 U.S. 171 (1987)</w:t>
      </w:r>
      <w:r>
        <w:rPr>
          <w:color w:val="B91C1C"/>
        </w:rPr>
        <w:t xml:space="preserve">   </w:t>
      </w:r>
      <w:r>
        <w:rPr>
          <w:b/>
          <w:color w:val="FFFFFF"/>
          <w:shd w:val="clear" w:color="auto" w:fill="B91C1C"/>
        </w:rPr>
        <w:t xml:space="preserve"> MAIN CASE · CLASS 12 </w:t>
      </w:r>
    </w:p>
    <w:p>
      <w:r>
        <w:rPr>
          <w:b/>
          <w:i w:val="0"/>
          <w:color w:val="1D4ED8"/>
        </w:rPr>
        <w:t xml:space="preserve">Facts:   </w:t>
      </w:r>
      <w:r>
        <w:rPr>
          <w:b w:val="0"/>
          <w:i w:val="0"/>
        </w:rPr>
        <w:t>Lonardo's recorded calls with an FBI informant described a "gentleman friend" who would buy cocaine; Bourjaily took delivery with $20,000 in his car.</w:t>
      </w:r>
    </w:p>
    <w:p>
      <w:r>
        <w:rPr>
          <w:b/>
          <w:i w:val="0"/>
          <w:color w:val="15803D"/>
        </w:rPr>
        <w:t xml:space="preserve">Held:   </w:t>
      </w:r>
      <w:r>
        <w:rPr>
          <w:b w:val="0"/>
          <w:i w:val="0"/>
        </w:rPr>
        <w:t xml:space="preserve">Preliminary facts under 801(d)(2)(E) are decided under 104(a) by a preponderance, and the court may consider the statements themselves (displacing </w:t>
      </w:r>
      <w:r>
        <w:rPr>
          <w:b w:val="0"/>
          <w:i/>
        </w:rPr>
        <w:t>Glasser</w:t>
      </w:r>
      <w:r>
        <w:rPr>
          <w:b w:val="0"/>
          <w:i w:val="0"/>
        </w:rPr>
        <w:t>'s bootstrapping bar). Dissent (Blackmun, J.): the exemption rests on agency, which should require independent proof.</w:t>
      </w:r>
    </w:p>
    <w:p>
      <w:r>
        <w:rPr>
          <w:b/>
          <w:i w:val="0"/>
          <w:color w:val="8A6100"/>
        </w:rPr>
        <w:t xml:space="preserve">Why it matters:   </w:t>
      </w:r>
      <w:r>
        <w:rPr>
          <w:b w:val="0"/>
          <w:i w:val="0"/>
        </w:rPr>
        <w:t>104(a), not 104(b) (conditional relevance), governs hearsay foundations.</w:t>
      </w:r>
    </w:p>
    <w:p>
      <w:pPr>
        <w:pStyle w:val="Heading2"/>
      </w:pPr>
      <w:r>
        <w:rPr>
          <w:b w:val="0"/>
          <w:i w:val="0"/>
        </w:rPr>
        <w:t>16. Prior Statements of a Testifying Witness (FRE 613, 801(d)(1), 612)</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801(d)(1):</w:t>
            </w:r>
            <w:r>
              <w:rPr>
                <w:b w:val="0"/>
                <w:i w:val="0"/>
              </w:rPr>
              <w:t xml:space="preserve"> not hearsay if the declarant testifies and is subject to cross-examination about a prior statement, and the statement (A) is inconsistent with the declarant's testimony and was given under penalty of perjury at a trial, hearing, or other proceeding or in a deposition; (B) is consistent with the testimony and is offered (i) to rebut an express or implied charge of recent fabrication or recent improper influence or motive, or (ii) to rehabilitate the declarant's credibility when attacked on another ground; or (C) identifies a person as someone the declarant perceived earlier.</w:t>
            </w:r>
          </w:p>
          <w:p>
            <w:r>
              <w:rPr>
                <w:b/>
                <w:i w:val="0"/>
              </w:rPr>
              <w:t>FRE 613(b) (as amended 2024):</w:t>
            </w:r>
            <w:r>
              <w:rPr>
                <w:b w:val="0"/>
                <w:i w:val="0"/>
              </w:rPr>
              <w:t xml:space="preserve"> unless the court orders otherwise, extrinsic evidence of a witness's prior inconsistent statement may not be admitted until after the witness is given an opportunity to explain or deny it and an adverse party may examine the witness about it. This does not apply to an opposing party's statement under 801(d)(2).</w:t>
            </w:r>
          </w:p>
        </w:tc>
      </w:tr>
    </w:tbl>
    <w:p/>
    <w:p>
      <w:pPr>
        <w:pStyle w:val="ListBullet"/>
      </w:pPr>
      <w:r>
        <w:rPr>
          <w:b/>
          <w:i w:val="0"/>
        </w:rPr>
        <w:t>613 impeaches; 801(d)(1)(A) is substantive.</w:t>
      </w:r>
      <w:r>
        <w:rPr>
          <w:b w:val="0"/>
          <w:i w:val="0"/>
        </w:rPr>
        <w:t xml:space="preserve"> An unsworn statement to police is impeachment only, so counsel may not argue it as proof (slides, </w:t>
      </w:r>
      <w:r>
        <w:rPr>
          <w:b w:val="0"/>
          <w:i/>
        </w:rPr>
        <w:t>Troisi</w:t>
      </w:r>
      <w:r>
        <w:rPr>
          <w:b w:val="0"/>
          <w:i w:val="0"/>
        </w:rPr>
        <w:t>). Extrinsic proof of an inconsistent statement is allowed under 613(b) on a non-collateral point.</w:t>
      </w:r>
    </w:p>
    <w:p>
      <w:pPr>
        <w:pStyle w:val="ListBullet"/>
      </w:pPr>
      <w:r>
        <w:rPr>
          <w:b/>
          <w:i w:val="0"/>
        </w:rPr>
        <w:t>(B)(i) requires a pre-motive statement</w:t>
      </w:r>
      <w:r>
        <w:rPr>
          <w:b w:val="0"/>
          <w:i w:val="0"/>
        </w:rPr>
        <w:t xml:space="preserve"> (Tome). </w:t>
      </w:r>
      <w:r>
        <w:rPr>
          <w:b/>
          <w:i w:val="0"/>
        </w:rPr>
        <w:t>(C)</w:t>
      </w:r>
      <w:r>
        <w:rPr>
          <w:b w:val="0"/>
          <w:i w:val="0"/>
        </w:rPr>
        <w:t xml:space="preserve"> admits an identification even if the witness now cannot remember or misidentifies in court (Owens).</w:t>
      </w:r>
    </w:p>
    <w:p>
      <w:pPr>
        <w:pStyle w:val="ListBullet"/>
      </w:pPr>
      <w:r>
        <w:rPr>
          <w:b/>
          <w:i w:val="0"/>
        </w:rPr>
        <w:t>612 vs. 803(5):</w:t>
      </w:r>
      <w:r>
        <w:rPr>
          <w:b w:val="0"/>
          <w:i w:val="0"/>
        </w:rPr>
        <w:t xml:space="preserve"> anything may refresh memory; the witness reads silently and testifies from memory, and the adverse party may inspect the writing and introduce relevant parts. A recorded recollection comes in for its truth only with the 803(5) foundation (below).</w:t>
      </w:r>
    </w:p>
    <w:p>
      <w:pPr>
        <w:pStyle w:val="Heading3"/>
      </w:pPr>
      <w:r>
        <w:rPr>
          <w:b w:val="0"/>
          <w:i w:val="0"/>
        </w:rPr>
        <w:t>Cases</w:t>
      </w:r>
    </w:p>
    <w:p>
      <w:pPr>
        <w:spacing w:before="160"/>
      </w:pPr>
      <w:r>
        <w:rPr>
          <w:b/>
          <w:i w:val="0"/>
          <w:color w:val="B91C1C"/>
        </w:rPr>
        <w:t>United States v. Barrett, 539 F.2d 244 (1st Cir. 1976)</w:t>
      </w:r>
      <w:r>
        <w:rPr>
          <w:color w:val="B91C1C"/>
        </w:rPr>
        <w:t xml:space="preserve">   </w:t>
      </w:r>
      <w:r>
        <w:rPr>
          <w:b/>
          <w:color w:val="FFFFFF"/>
          <w:shd w:val="clear" w:color="auto" w:fill="B91C1C"/>
        </w:rPr>
        <w:t xml:space="preserve"> MAIN CASE · CLASS 12 </w:t>
      </w:r>
    </w:p>
    <w:p>
      <w:r>
        <w:rPr>
          <w:b/>
          <w:i w:val="0"/>
          <w:color w:val="1D4ED8"/>
        </w:rPr>
        <w:t xml:space="preserve">Facts:   </w:t>
      </w:r>
      <w:r>
        <w:rPr>
          <w:b w:val="0"/>
          <w:i w:val="0"/>
        </w:rPr>
        <w:t>Witness Adams testified that Barrett admitted taking part in a stamp theft. Barrett offered two witnesses who heard Adams say later that he knew Barrett was not involved.</w:t>
      </w:r>
    </w:p>
    <w:p>
      <w:r>
        <w:rPr>
          <w:b/>
          <w:i w:val="0"/>
          <w:color w:val="15803D"/>
        </w:rPr>
        <w:t xml:space="preserve">Held:   </w:t>
      </w:r>
      <w:r>
        <w:rPr>
          <w:b w:val="0"/>
          <w:i w:val="0"/>
        </w:rPr>
        <w:t>Exclusion was error: the statements were admissible to impeach Adams as inconsistent (613), not for their truth; their vagueness went to weight.</w:t>
      </w:r>
    </w:p>
    <w:p>
      <w:r>
        <w:rPr>
          <w:b/>
          <w:i w:val="0"/>
          <w:color w:val="8A6100"/>
        </w:rPr>
        <w:t xml:space="preserve">Why it matters:   </w:t>
      </w:r>
      <w:r>
        <w:rPr>
          <w:b w:val="0"/>
          <w:i w:val="0"/>
        </w:rPr>
        <w:t xml:space="preserve">Inconsistent statements impeach even when they cannot come in substantively. Barrett let the 613(b) foundation come at any time; since Dec. 1, 2024 it must come </w:t>
      </w:r>
      <w:r>
        <w:rPr>
          <w:b/>
          <w:i w:val="0"/>
        </w:rPr>
        <w:t>first</w:t>
      </w:r>
      <w:r>
        <w:rPr>
          <w:b w:val="0"/>
          <w:i w:val="0"/>
        </w:rPr>
        <w:t xml:space="preserve"> unless the court orders otherwise.</w:t>
      </w:r>
    </w:p>
    <w:p>
      <w:pPr>
        <w:spacing w:before="160"/>
      </w:pPr>
      <w:r>
        <w:rPr>
          <w:b/>
          <w:i w:val="0"/>
          <w:color w:val="B91C1C"/>
        </w:rPr>
        <w:t>Tome v. United States, 513 U.S. 150 (1995)</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The defense claimed a six-year-old fabricated abuse allegations against her father to stay with her mother. Six witnesses recounted her later statements describing abuse.</w:t>
      </w:r>
    </w:p>
    <w:p>
      <w:r>
        <w:rPr>
          <w:b/>
          <w:i w:val="0"/>
          <w:color w:val="15803D"/>
        </w:rPr>
        <w:t xml:space="preserve">Held:   </w:t>
      </w:r>
      <w:r>
        <w:rPr>
          <w:b w:val="0"/>
          <w:i w:val="0"/>
        </w:rPr>
        <w:t xml:space="preserve">801(d)(1)(B) admits consistent statements only if made </w:t>
      </w:r>
      <w:r>
        <w:rPr>
          <w:b/>
          <w:i w:val="0"/>
        </w:rPr>
        <w:t>before</w:t>
      </w:r>
      <w:r>
        <w:rPr>
          <w:b w:val="0"/>
          <w:i w:val="0"/>
        </w:rPr>
        <w:t xml:space="preserve"> the alleged motive to fabricate arose (Kennedy, J., 5–4).</w:t>
      </w:r>
    </w:p>
    <w:p>
      <w:r>
        <w:rPr>
          <w:b/>
          <w:i w:val="0"/>
          <w:color w:val="8A6100"/>
        </w:rPr>
        <w:t xml:space="preserve">Why it matters:   </w:t>
      </w:r>
      <w:r>
        <w:rPr>
          <w:b w:val="0"/>
          <w:i w:val="0"/>
        </w:rPr>
        <w:t>Post-motive repetition does not rebut a charge of fabrication. The 2014 amendment's (B)(ii) adds rehabilitation on other grounds.</w:t>
      </w:r>
    </w:p>
    <w:p>
      <w:pPr>
        <w:spacing w:before="160"/>
      </w:pPr>
      <w:r>
        <w:rPr>
          <w:b/>
          <w:i w:val="0"/>
          <w:color w:val="B91C1C"/>
        </w:rPr>
        <w:t>United States v. Owens, 484 U.S. 554 (1988)</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A beaten prison counselor identified Owens from a photo array but at trial could not remember seeing his attacker.</w:t>
      </w:r>
    </w:p>
    <w:p>
      <w:r>
        <w:rPr>
          <w:b/>
          <w:i w:val="0"/>
          <w:color w:val="15803D"/>
        </w:rPr>
        <w:t xml:space="preserve">Held:   </w:t>
      </w:r>
      <w:r>
        <w:rPr>
          <w:b w:val="0"/>
          <w:i w:val="0"/>
        </w:rPr>
        <w:t xml:space="preserve">Neither the Confrontation Clause nor 801(d)(1)(C) is violated. The Clause guarantees "an opportunity for effective cross-examination, not cross-examination that is effective in whatever way, and to whatever extent, the defense might wish" (quoting </w:t>
      </w:r>
      <w:r>
        <w:rPr>
          <w:b w:val="0"/>
          <w:i/>
        </w:rPr>
        <w:t>Delaware v. Fensterer</w:t>
      </w:r>
      <w:r>
        <w:rPr>
          <w:b w:val="0"/>
          <w:i w:val="0"/>
        </w:rPr>
        <w:t>).</w:t>
      </w:r>
    </w:p>
    <w:p>
      <w:r>
        <w:rPr>
          <w:b/>
          <w:i w:val="0"/>
          <w:color w:val="8A6100"/>
        </w:rPr>
        <w:t xml:space="preserve">Why it matters:   </w:t>
      </w:r>
      <w:r>
        <w:rPr>
          <w:b w:val="0"/>
          <w:i w:val="0"/>
        </w:rPr>
        <w:t>Memory loss does not make a testifying witness unavailable for cross.</w:t>
      </w:r>
    </w:p>
    <w:p>
      <w:pPr>
        <w:pStyle w:val="Heading2"/>
      </w:pPr>
      <w:r>
        <w:rPr>
          <w:b w:val="0"/>
          <w:i w:val="0"/>
        </w:rPr>
        <w:t>17. Exceptions Requiring Unavailability (FRE 804)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804(a):</w:t>
            </w:r>
            <w:r>
              <w:rPr>
                <w:b w:val="0"/>
                <w:i w:val="0"/>
              </w:rPr>
              <w:t xml:space="preserve"> a declarant is unavailable if the declarant </w:t>
            </w:r>
            <w:r>
              <w:rPr>
                <w:b w:val="0"/>
                <w:i w:val="0"/>
                <w:color w:val="B91C1C"/>
              </w:rPr>
              <w:t xml:space="preserve">(1) is exempted by a privilege ruling; </w:t>
            </w:r>
            <w:r>
              <w:rPr>
                <w:b w:val="0"/>
                <w:i w:val="0"/>
                <w:color w:val="C2410C"/>
              </w:rPr>
              <w:t xml:space="preserve">(2) refuses to testify despite a court order; </w:t>
            </w:r>
            <w:r>
              <w:rPr>
                <w:b w:val="0"/>
                <w:i w:val="0"/>
                <w:color w:val="854D0E"/>
              </w:rPr>
              <w:t xml:space="preserve">(3) testifies to not remembering the subject matter; </w:t>
            </w:r>
            <w:r>
              <w:rPr>
                <w:b w:val="0"/>
                <w:i w:val="0"/>
                <w:color w:val="15803D"/>
              </w:rPr>
              <w:t xml:space="preserve">(4) cannot testify because of death or then-existing infirmity or illness; or </w:t>
            </w:r>
            <w:r>
              <w:rPr>
                <w:b w:val="0"/>
                <w:i w:val="0"/>
                <w:color w:val="1D4ED8"/>
              </w:rPr>
              <w:t>(5) is absent and the proponent could not procure attendance (or, for (b)(2)–(4), attendance or testimony) by process or other reasonable means.</w:t>
            </w:r>
            <w:r>
              <w:rPr>
                <w:b w:val="0"/>
                <w:i w:val="0"/>
              </w:rPr>
              <w:t xml:space="preserve"> Not unavailable if the proponent wrongfully caused the unavailability to prevent testimony.</w:t>
            </w:r>
          </w:p>
          <w:p>
            <w:r>
              <w:rPr>
                <w:b/>
                <w:i w:val="0"/>
              </w:rPr>
              <w:t>804(b)</w:t>
            </w:r>
            <w:r>
              <w:rPr>
                <w:b/>
                <w:i w:val="0"/>
                <w:color w:val="B91C1C"/>
              </w:rPr>
              <w:t>(1) former testimony:</w:t>
            </w:r>
            <w:r>
              <w:rPr>
                <w:b w:val="0"/>
                <w:i w:val="0"/>
                <w:color w:val="B91C1C"/>
              </w:rPr>
              <w:t xml:space="preserve"> given as a witness at a trial, hearing, or lawful deposition, and offered against a party who had, or in a civil case whose </w:t>
            </w:r>
            <w:r>
              <w:rPr>
                <w:b/>
                <w:i w:val="0"/>
                <w:color w:val="B91C1C"/>
              </w:rPr>
              <w:t>predecessor in interest</w:t>
            </w:r>
            <w:r>
              <w:rPr>
                <w:b w:val="0"/>
                <w:i w:val="0"/>
                <w:color w:val="B91C1C"/>
              </w:rPr>
              <w:t xml:space="preserve"> had, an opportunity and similar motive to develop it by direct, cross, or redirect examination. </w:t>
            </w:r>
            <w:r>
              <w:rPr>
                <w:b/>
                <w:i w:val="0"/>
                <w:color w:val="B91C1C"/>
              </w:rPr>
              <w:t>(b)</w:t>
            </w:r>
            <w:r>
              <w:rPr>
                <w:b/>
                <w:i w:val="0"/>
                <w:color w:val="C2410C"/>
              </w:rPr>
              <w:t>(2) dying declaration:</w:t>
            </w:r>
            <w:r>
              <w:rPr>
                <w:b w:val="0"/>
                <w:i w:val="0"/>
                <w:color w:val="C2410C"/>
              </w:rPr>
              <w:t xml:space="preserve"> in a homicide prosecution or a civil case, a statement made while the declarant believed death imminent, about its cause or circumstances. </w:t>
            </w:r>
            <w:r>
              <w:rPr>
                <w:b/>
                <w:i w:val="0"/>
                <w:color w:val="C2410C"/>
              </w:rPr>
              <w:t>(b)</w:t>
            </w:r>
            <w:r>
              <w:rPr>
                <w:b/>
                <w:i w:val="0"/>
                <w:color w:val="854D0E"/>
              </w:rPr>
              <w:t>(3) statement against interest:</w:t>
            </w:r>
            <w:r>
              <w:rPr>
                <w:b w:val="0"/>
                <w:i w:val="0"/>
                <w:color w:val="854D0E"/>
              </w:rPr>
              <w:t xml:space="preserve"> a statement a reasonable person in the declarant's position would have made only if believing it true because it was so contrary to the declarant's pecuniary or proprietary interest, or tended to invalidate a claim or expose the declarant to civil or criminal liability; in a criminal case, a penal-interest statement also needs corroborating circumstances that clearly indicate trustworthiness, considering the totality of circumstances and any evidence that supports or undermines it (2024).</w:t>
            </w:r>
            <w:r>
              <w:rPr>
                <w:b w:val="0"/>
                <w:i w:val="0"/>
              </w:rPr>
              <w:t xml:space="preserve"> </w:t>
            </w:r>
            <w:r>
              <w:rPr>
                <w:b/>
                <w:i w:val="0"/>
              </w:rPr>
              <w:t>(b)(6) forfeiture:</w:t>
            </w:r>
            <w:r>
              <w:rPr>
                <w:b w:val="0"/>
                <w:i w:val="0"/>
              </w:rPr>
              <w:t xml:space="preserve"> offered against a party that wrongfully caused, or acquiesced in wrongfully causing, the declarant's unavailability, intending that result.</w:t>
            </w:r>
          </w:p>
        </w:tc>
      </w:tr>
    </w:tbl>
    <w:p/>
    <w:p>
      <w:pPr>
        <w:pStyle w:val="ListBullet"/>
      </w:pPr>
      <w:r>
        <w:rPr>
          <w:b/>
          <w:i w:val="0"/>
        </w:rPr>
        <w:t>Subjective vs. objective:</w:t>
      </w:r>
      <w:r>
        <w:rPr>
          <w:b w:val="0"/>
          <w:i w:val="0"/>
        </w:rPr>
        <w:t xml:space="preserve"> dying declarations and excited utterances look to the declarant's actual state; statements against interest use a reasonable person (slides).</w:t>
      </w:r>
    </w:p>
    <w:p>
      <w:pPr>
        <w:pStyle w:val="ListBullet"/>
      </w:pPr>
      <w:r>
        <w:rPr>
          <w:b/>
          <w:i w:val="0"/>
        </w:rPr>
        <w:t>806:</w:t>
      </w:r>
      <w:r>
        <w:rPr>
          <w:b w:val="0"/>
          <w:i w:val="0"/>
        </w:rPr>
        <w:t xml:space="preserve"> once a hearsay statement (or a (d)(2)(C)–(E) statement) is admitted, the declarant's credibility may be attacked and supported as if the declarant had testified; the 613(b) foundation is not required.</w:t>
      </w:r>
    </w:p>
    <w:p>
      <w:pPr>
        <w:pStyle w:val="Heading3"/>
      </w:pPr>
      <w:r>
        <w:rPr>
          <w:b w:val="0"/>
          <w:i w:val="0"/>
        </w:rPr>
        <w:t>Cases</w:t>
      </w:r>
    </w:p>
    <w:p>
      <w:pPr>
        <w:spacing w:before="160"/>
      </w:pPr>
      <w:r>
        <w:rPr>
          <w:b/>
          <w:i w:val="0"/>
          <w:color w:val="B91C1C"/>
        </w:rPr>
        <w:t>Volland-Golden v. City of Chicago, 89 F. Supp. 3d 983 (N.D. Ill. 2015)</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Volland, acquitted of resisting and battering two officers, sued them under § 1983 and then died. His sister offered his testimony from the criminal trial.</w:t>
      </w:r>
    </w:p>
    <w:p>
      <w:r>
        <w:rPr>
          <w:b/>
          <w:i w:val="0"/>
          <w:color w:val="15803D"/>
        </w:rPr>
        <w:t xml:space="preserve">Held:   </w:t>
      </w:r>
      <w:r>
        <w:rPr>
          <w:b w:val="0"/>
          <w:i w:val="0"/>
        </w:rPr>
        <w:t xml:space="preserve">Admissible. The State was the officers' </w:t>
      </w:r>
      <w:r>
        <w:rPr>
          <w:b/>
          <w:i w:val="0"/>
        </w:rPr>
        <w:t>predecessor in interest</w:t>
      </w:r>
      <w:r>
        <w:rPr>
          <w:b w:val="0"/>
          <w:i w:val="0"/>
        </w:rPr>
        <w:t xml:space="preserve"> (a similar stake), and it had a </w:t>
      </w:r>
      <w:r>
        <w:rPr>
          <w:b/>
          <w:i w:val="0"/>
        </w:rPr>
        <w:t>similar motive</w:t>
      </w:r>
      <w:r>
        <w:rPr>
          <w:b w:val="0"/>
          <w:i w:val="0"/>
        </w:rPr>
        <w:t xml:space="preserve"> to discredit Volland (same events and issues, similar strategy, even higher criminal stakes).</w:t>
      </w:r>
    </w:p>
    <w:p>
      <w:r>
        <w:rPr>
          <w:b/>
          <w:i w:val="0"/>
          <w:color w:val="8A6100"/>
        </w:rPr>
        <w:t xml:space="preserve">Why it matters:   </w:t>
      </w:r>
      <w:r>
        <w:rPr>
          <w:b w:val="0"/>
          <w:i w:val="0"/>
        </w:rPr>
        <w:t>"Predecessor in interest" applies only in civil cases and asks about shared stakes and motive.</w:t>
      </w:r>
    </w:p>
    <w:p>
      <w:pPr>
        <w:spacing w:before="160"/>
      </w:pPr>
      <w:r>
        <w:rPr>
          <w:b/>
          <w:i w:val="0"/>
          <w:color w:val="B91C1C"/>
        </w:rPr>
        <w:t>Williamson v. United States, 512 U.S. 594 (1994)</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Arrested with 19 kilograms of cocaine, Harris told an agent it belonged to Williamson; he refused to testify at Williamson's trial.</w:t>
      </w:r>
    </w:p>
    <w:p>
      <w:r>
        <w:rPr>
          <w:b/>
          <w:i w:val="0"/>
          <w:color w:val="15803D"/>
        </w:rPr>
        <w:t xml:space="preserve">Held:   </w:t>
      </w:r>
      <w:r>
        <w:rPr>
          <w:b w:val="0"/>
          <w:i w:val="0"/>
        </w:rPr>
        <w:t>804(b)(3) admits only those individual remarks that are themselves self-inculpatory; collateral statements in a broader confession are not admissible. Harris's admission that he knew of the cocaine qualified; his statements blaming Williamson did not. Remanded.</w:t>
      </w:r>
    </w:p>
    <w:p>
      <w:r>
        <w:rPr>
          <w:b/>
          <w:i w:val="0"/>
          <w:color w:val="8A6100"/>
        </w:rPr>
        <w:t xml:space="preserve">Why it matters:   </w:t>
      </w:r>
      <w:r>
        <w:rPr>
          <w:b w:val="0"/>
          <w:i w:val="0"/>
        </w:rPr>
        <w:t>Accomplice statements shifting blame get "special suspicion."</w:t>
      </w:r>
    </w:p>
    <w:p>
      <w:pPr>
        <w:spacing w:before="160"/>
      </w:pPr>
      <w:r>
        <w:rPr>
          <w:b/>
          <w:i w:val="0"/>
          <w:color w:val="B91C1C"/>
        </w:rPr>
        <w:t>Shepard v. United States, 290 U.S. 96 (1933)</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Two days after collapsing, Mrs. Shepard told her nurse, "Dr. Shepard has poisoned me." She improved, relapsed, and died weeks later.</w:t>
      </w:r>
    </w:p>
    <w:p>
      <w:r>
        <w:rPr>
          <w:b/>
          <w:i w:val="0"/>
          <w:color w:val="15803D"/>
        </w:rPr>
        <w:t xml:space="preserve">Held:   </w:t>
      </w:r>
      <w:r>
        <w:rPr>
          <w:b w:val="0"/>
          <w:i w:val="0"/>
        </w:rPr>
        <w:t>Not a dying declaration: she lacked "a settled hopeless expectation" of imminent death. Nor admissible as state of mind: it looked backward to another's act.</w:t>
      </w:r>
    </w:p>
    <w:p>
      <w:r>
        <w:rPr>
          <w:b/>
          <w:i w:val="0"/>
          <w:color w:val="8A6100"/>
        </w:rPr>
        <w:t xml:space="preserve">Why it matters:   </w:t>
      </w:r>
      <w:r>
        <w:rPr>
          <w:b w:val="0"/>
          <w:i w:val="0"/>
        </w:rPr>
        <w:t>The foundation for imminent death must be shown, and 803(3) excludes backward-looking memory.</w:t>
      </w:r>
    </w:p>
    <w:p>
      <w:pPr>
        <w:pStyle w:val="ListBullet"/>
      </w:pPr>
      <w:r>
        <w:rPr>
          <w:b/>
          <w:i w:val="0"/>
        </w:rPr>
        <w:t>Forfeiture by wrongdoing</w:t>
      </w:r>
      <w:r>
        <w:rPr>
          <w:b w:val="0"/>
          <w:i w:val="0"/>
        </w:rPr>
        <w:t xml:space="preserve"> (</w:t>
      </w:r>
      <w:r>
        <w:rPr>
          <w:b w:val="0"/>
          <w:i/>
        </w:rPr>
        <w:t>United States v. Gray</w:t>
      </w:r>
      <w:r>
        <w:rPr>
          <w:b w:val="0"/>
          <w:i w:val="0"/>
        </w:rPr>
        <w:t>, 4th Cir. 2005): having killed her husband a week before he was to testify against her on assault charges, the defendant forfeited her hearsay objection to his statements in her later insurance-fraud trial.</w:t>
      </w:r>
    </w:p>
    <w:p>
      <w:pPr>
        <w:pStyle w:val="Heading2"/>
      </w:pPr>
      <w:r>
        <w:rPr>
          <w:b w:val="0"/>
          <w:i w:val="0"/>
        </w:rPr>
        <w:t>18. Exceptions Regardless of Availability (FRE 803)</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803(1) present sense impression:</w:t>
            </w:r>
            <w:r>
              <w:rPr>
                <w:b w:val="0"/>
                <w:i w:val="0"/>
              </w:rPr>
              <w:t xml:space="preserve"> a statement describing or explaining an event or condition, made while or immediately after the declarant perceived it. </w:t>
            </w:r>
            <w:r>
              <w:rPr>
                <w:b/>
                <w:i w:val="0"/>
              </w:rPr>
              <w:t>(2) excited utterance:</w:t>
            </w:r>
            <w:r>
              <w:rPr>
                <w:b w:val="0"/>
                <w:i w:val="0"/>
              </w:rPr>
              <w:t xml:space="preserve"> a statement relating to a startling event, made while the declarant was under the stress of excitement it caused. </w:t>
            </w:r>
            <w:r>
              <w:rPr>
                <w:b/>
                <w:i w:val="0"/>
              </w:rPr>
              <w:t>(3) then-existing state of mind or condition:</w:t>
            </w:r>
            <w:r>
              <w:rPr>
                <w:b w:val="0"/>
                <w:i w:val="0"/>
              </w:rPr>
              <w:t xml:space="preserve"> motive, intent, plan, emotion, sensation, pain, or bodily health, but not memory or belief offered to prove the fact remembered (except as to the declarant's will). </w:t>
            </w:r>
            <w:r>
              <w:rPr>
                <w:b/>
                <w:i w:val="0"/>
              </w:rPr>
              <w:t>(4) medical diagnosis or treatment:</w:t>
            </w:r>
            <w:r>
              <w:rPr>
                <w:b w:val="0"/>
                <w:i w:val="0"/>
              </w:rPr>
              <w:t xml:space="preserve"> a statement made for, and reasonably pertinent to, diagnosis or treatment, describing medical history, symptoms, their inception, or their general cause. </w:t>
            </w:r>
            <w:r>
              <w:rPr>
                <w:b/>
                <w:i w:val="0"/>
              </w:rPr>
              <w:t>(5) recorded recollection:</w:t>
            </w:r>
            <w:r>
              <w:rPr>
                <w:b w:val="0"/>
                <w:i w:val="0"/>
              </w:rPr>
              <w:t xml:space="preserve"> a record on a matter the witness once knew but cannot now recall well enough to testify fully and accurately, made or adopted when fresh, that accurately reflects the witness's knowledge; it may be read but received as an exhibit only if offered by an adverse party.</w:t>
            </w:r>
          </w:p>
          <w:p>
            <w:r>
              <w:rPr>
                <w:b/>
                <w:i w:val="0"/>
              </w:rPr>
              <w:t>803(6) records of a regularly conducted activity:</w:t>
            </w:r>
            <w:r>
              <w:rPr>
                <w:b w:val="0"/>
                <w:i w:val="0"/>
              </w:rPr>
              <w:t xml:space="preserve"> made at or near the time by, or from information transmitted by, someone with knowledge; kept in the course of a regularly conducted activity; making the record was a regular practice; shown by a custodian, another qualified witness, or a 902(11)/(12) certification; and the opponent does not show a lack of trustworthiness. </w:t>
            </w:r>
            <w:r>
              <w:rPr>
                <w:b/>
                <w:i w:val="0"/>
              </w:rPr>
              <w:t>803(7):</w:t>
            </w:r>
            <w:r>
              <w:rPr>
                <w:b w:val="0"/>
                <w:i w:val="0"/>
              </w:rPr>
              <w:t xml:space="preserve"> absence of an entry. </w:t>
            </w:r>
            <w:r>
              <w:rPr>
                <w:b/>
                <w:i w:val="0"/>
              </w:rPr>
              <w:t>803(8) public records:</w:t>
            </w:r>
            <w:r>
              <w:rPr>
                <w:b w:val="0"/>
                <w:i w:val="0"/>
              </w:rPr>
              <w:t xml:space="preserve"> the office's activities; matters observed under a legal duty to report (but not, in a criminal case, matters observed by law-enforcement personnel); and, in civil cases or against the government in criminal cases, factual findings from a legally authorized investigation; unless the opponent shows untrustworthiness. </w:t>
            </w:r>
            <w:r>
              <w:rPr>
                <w:b/>
                <w:i w:val="0"/>
              </w:rPr>
              <w:t>803(10):</w:t>
            </w:r>
            <w:r>
              <w:rPr>
                <w:b w:val="0"/>
                <w:i w:val="0"/>
              </w:rPr>
              <w:t xml:space="preserve"> absence of a public record (with notice-and-demand in criminal cases).</w:t>
            </w:r>
          </w:p>
        </w:tc>
      </w:tr>
    </w:tbl>
    <w:p/>
    <w:p>
      <w:pPr>
        <w:pStyle w:val="ListBullet"/>
      </w:pPr>
      <w:r>
        <w:rPr>
          <w:b/>
          <w:i w:val="0"/>
        </w:rPr>
        <w:t>Personal knowledge applies to declarants</w:t>
      </w:r>
      <w:r>
        <w:rPr>
          <w:b w:val="0"/>
          <w:i w:val="0"/>
        </w:rPr>
        <w:t xml:space="preserve"> (the ACN; </w:t>
      </w:r>
      <w:r>
        <w:rPr>
          <w:b w:val="0"/>
          <w:i/>
        </w:rPr>
        <w:t>The Graduate</w:t>
      </w:r>
      <w:r>
        <w:rPr>
          <w:b w:val="0"/>
          <w:i w:val="0"/>
        </w:rPr>
        <w:t xml:space="preserve"> clip). Judge Posner (</w:t>
      </w:r>
      <w:r>
        <w:rPr>
          <w:b w:val="0"/>
          <w:i/>
        </w:rPr>
        <w:t>United States v. Boyce</w:t>
      </w:r>
      <w:r>
        <w:rPr>
          <w:b w:val="0"/>
          <w:i w:val="0"/>
        </w:rPr>
        <w:t>, 7th Cir. 2014, concurring) doubts both 803(1) and (2): most lies are spontaneous, and excitement impairs perception.</w:t>
      </w:r>
    </w:p>
    <w:p>
      <w:pPr>
        <w:pStyle w:val="ListBullet"/>
      </w:pPr>
      <w:r>
        <w:rPr>
          <w:b/>
          <w:i w:val="0"/>
        </w:rPr>
        <w:t>Hillmon doctrine:</w:t>
      </w:r>
      <w:r>
        <w:rPr>
          <w:b w:val="0"/>
          <w:i w:val="0"/>
        </w:rPr>
        <w:t xml:space="preserve"> a statement of the declarant's own intent may prove the declarant later acted on it. Using it to prove </w:t>
      </w:r>
      <w:r>
        <w:rPr>
          <w:b/>
          <w:i w:val="0"/>
        </w:rPr>
        <w:t>another person's</w:t>
      </w:r>
      <w:r>
        <w:rPr>
          <w:b w:val="0"/>
          <w:i w:val="0"/>
        </w:rPr>
        <w:t xml:space="preserve"> conduct is contested: Walters's letter could show he went, but showing Hillmon went depends on Walters's memory of Hillmon's plan (slides).</w:t>
      </w:r>
    </w:p>
    <w:p>
      <w:pPr>
        <w:pStyle w:val="ListBullet"/>
      </w:pPr>
      <w:r>
        <w:rPr>
          <w:b/>
          <w:i w:val="0"/>
        </w:rPr>
        <w:t>Identity in 803(4):</w:t>
      </w:r>
      <w:r>
        <w:rPr>
          <w:b w:val="0"/>
          <w:i w:val="0"/>
        </w:rPr>
        <w:t xml:space="preserve"> fault and identity are ordinarily not pertinent; some courts admit the identity of a household child abuser; the proponent must show how identity affected treatment (</w:t>
      </w:r>
      <w:r>
        <w:rPr>
          <w:b w:val="0"/>
          <w:i/>
        </w:rPr>
        <w:t>State v. Smith</w:t>
      </w:r>
      <w:r>
        <w:rPr>
          <w:b w:val="0"/>
          <w:i w:val="0"/>
        </w:rPr>
        <w:t>, Iowa 2016).</w:t>
      </w:r>
    </w:p>
    <w:p>
      <w:pPr>
        <w:pStyle w:val="ListBullet"/>
      </w:pPr>
      <w:r>
        <w:rPr>
          <w:b/>
          <w:i w:val="0"/>
        </w:rPr>
        <w:t>803(5) foundation (Johnson):</w:t>
      </w:r>
      <w:r>
        <w:rPr>
          <w:b w:val="0"/>
          <w:i w:val="0"/>
        </w:rPr>
        <w:t xml:space="preserve"> firsthand knowledge; made when fresh; insufficient present memory; and the witness </w:t>
      </w:r>
      <w:r>
        <w:rPr>
          <w:b/>
          <w:i w:val="0"/>
        </w:rPr>
        <w:t>vouches</w:t>
      </w:r>
      <w:r>
        <w:rPr>
          <w:b w:val="0"/>
          <w:i w:val="0"/>
        </w:rPr>
        <w:t xml:space="preserve"> for the record's accuracy.</w:t>
      </w:r>
    </w:p>
    <w:p>
      <w:pPr>
        <w:pStyle w:val="ListBullet"/>
      </w:pPr>
      <w:r>
        <w:rPr>
          <w:b/>
          <w:i w:val="0"/>
        </w:rPr>
        <w:t>Business records</w:t>
      </w:r>
      <w:r>
        <w:rPr>
          <w:b w:val="0"/>
          <w:i w:val="0"/>
        </w:rPr>
        <w:t xml:space="preserve"> must be made in the regular course by people with a business duty; litigation-driven reports are suspect (Palmer; 803(6)(E)). Police reports offered against a defendant cannot evade 803(8)'s limits.</w:t>
      </w:r>
    </w:p>
    <w:p>
      <w:pPr>
        <w:pStyle w:val="Heading3"/>
      </w:pPr>
      <w:r>
        <w:rPr>
          <w:b w:val="0"/>
          <w:i w:val="0"/>
        </w:rPr>
        <w:t>Cases</w:t>
      </w:r>
    </w:p>
    <w:p>
      <w:pPr>
        <w:spacing w:before="160"/>
      </w:pPr>
      <w:r>
        <w:rPr>
          <w:b/>
          <w:i w:val="0"/>
          <w:color w:val="B91C1C"/>
        </w:rPr>
        <w:t>Mutual Life Insurance Co. v. Hillmon, 145 U.S. 285 (1892)</w:t>
      </w:r>
      <w:r>
        <w:rPr>
          <w:color w:val="B91C1C"/>
        </w:rPr>
        <w:t xml:space="preserve">   </w:t>
      </w:r>
      <w:r>
        <w:rPr>
          <w:b/>
          <w:color w:val="FFFFFF"/>
          <w:shd w:val="clear" w:color="auto" w:fill="B91C1C"/>
        </w:rPr>
        <w:t xml:space="preserve"> MAIN CASE · CLASS 13 </w:t>
      </w:r>
    </w:p>
    <w:p>
      <w:r>
        <w:rPr>
          <w:b/>
          <w:i w:val="0"/>
          <w:color w:val="1D4ED8"/>
        </w:rPr>
        <w:t xml:space="preserve">Facts:   </w:t>
      </w:r>
      <w:r>
        <w:rPr>
          <w:b w:val="0"/>
          <w:i w:val="0"/>
        </w:rPr>
        <w:t>The insurers claimed the body was Walters, not Hillmon. They offered Walters's letters saying he expected to leave Wichita with "a certain Mr. Hillmon."</w:t>
      </w:r>
    </w:p>
    <w:p>
      <w:r>
        <w:rPr>
          <w:b/>
          <w:i w:val="0"/>
          <w:color w:val="15803D"/>
        </w:rPr>
        <w:t xml:space="preserve">Held:   </w:t>
      </w:r>
      <w:r>
        <w:rPr>
          <w:b w:val="0"/>
          <w:i w:val="0"/>
        </w:rPr>
        <w:t>The letters were admissible to show Walters intended to go, and with Hillmon, which made it more probable that he did both.</w:t>
      </w:r>
    </w:p>
    <w:p>
      <w:r>
        <w:rPr>
          <w:b/>
          <w:i w:val="0"/>
          <w:color w:val="8A6100"/>
        </w:rPr>
        <w:t xml:space="preserve">Why it matters:   </w:t>
      </w:r>
      <w:r>
        <w:rPr>
          <w:b w:val="0"/>
          <w:i w:val="0"/>
        </w:rPr>
        <w:t>The source of the state-of-mind-to-prove-conduct rule and its third-party problem.</w:t>
      </w:r>
    </w:p>
    <w:p>
      <w:pPr>
        <w:spacing w:before="160"/>
      </w:pPr>
      <w:r>
        <w:rPr>
          <w:b/>
          <w:i w:val="0"/>
          <w:color w:val="B91C1C"/>
        </w:rPr>
        <w:t>State v. Smith, 876 N.W.2d 180 (Iowa 2016)</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A domestic-assault victim told an ER nurse and doctor that her child's father assaulted her, then planned to recant. The State relied on those statements under 803(4).</w:t>
      </w:r>
    </w:p>
    <w:p>
      <w:r>
        <w:rPr>
          <w:b/>
          <w:i w:val="0"/>
          <w:color w:val="15803D"/>
        </w:rPr>
        <w:t xml:space="preserve">Held:   </w:t>
      </w:r>
      <w:r>
        <w:rPr>
          <w:b w:val="0"/>
          <w:i w:val="0"/>
        </w:rPr>
        <w:t>Reversed. Identity can be pertinent in domestic-violence cases, but the State never showed why the identity mattered or how it affected treatment. The dissent would have adopted a categorical rule.</w:t>
      </w:r>
    </w:p>
    <w:p>
      <w:r>
        <w:rPr>
          <w:b/>
          <w:i w:val="0"/>
          <w:color w:val="8A6100"/>
        </w:rPr>
        <w:t xml:space="preserve">Why it matters:   </w:t>
      </w:r>
      <w:r>
        <w:rPr>
          <w:b w:val="0"/>
          <w:i w:val="0"/>
        </w:rPr>
        <w:t>Pertinence requires foundation testimony.</w:t>
      </w:r>
    </w:p>
    <w:p>
      <w:pPr>
        <w:spacing w:before="160"/>
      </w:pPr>
      <w:r>
        <w:rPr>
          <w:b/>
          <w:i w:val="0"/>
          <w:color w:val="B91C1C"/>
        </w:rPr>
        <w:t>Johnson v. State, 967 S.W.2d 410 (Tex. Crim. App. 1998)</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A witness who told police the night of a murder that "Little Arnold" did it refused at trial even to give his name and said he remembered nothing.</w:t>
      </w:r>
    </w:p>
    <w:p>
      <w:r>
        <w:rPr>
          <w:b/>
          <w:i w:val="0"/>
          <w:color w:val="15803D"/>
        </w:rPr>
        <w:t xml:space="preserve">Held:   </w:t>
      </w:r>
      <w:r>
        <w:rPr>
          <w:b w:val="0"/>
          <w:i w:val="0"/>
        </w:rPr>
        <w:t>His statement was inadmissible as a recorded recollection because he never vouched for its accuracy.</w:t>
      </w:r>
    </w:p>
    <w:p>
      <w:r>
        <w:rPr>
          <w:b/>
          <w:i w:val="0"/>
          <w:color w:val="8A6100"/>
        </w:rPr>
        <w:t xml:space="preserve">Why it matters:   </w:t>
      </w:r>
      <w:r>
        <w:rPr>
          <w:b w:val="0"/>
          <w:i w:val="0"/>
        </w:rPr>
        <w:t>A hostile, disowning witness cannot lay the 803(5) foundation.</w:t>
      </w:r>
    </w:p>
    <w:p>
      <w:pPr>
        <w:spacing w:before="160"/>
      </w:pPr>
      <w:r>
        <w:rPr>
          <w:b/>
          <w:i w:val="0"/>
          <w:color w:val="B91C1C"/>
        </w:rPr>
        <w:t>Palmer v. Hoffman, 318 U.S. 109 (1943)</w:t>
      </w:r>
      <w:r>
        <w:rPr>
          <w:color w:val="B91C1C"/>
        </w:rPr>
        <w:t xml:space="preserve">   </w:t>
      </w:r>
      <w:r>
        <w:rPr>
          <w:b/>
          <w:color w:val="FFFFFF"/>
          <w:shd w:val="clear" w:color="auto" w:fill="B91C1C"/>
        </w:rPr>
        <w:t xml:space="preserve"> MAIN CASE · CLASS 14 </w:t>
      </w:r>
    </w:p>
    <w:p>
      <w:r>
        <w:rPr>
          <w:b/>
          <w:i w:val="0"/>
          <w:color w:val="1D4ED8"/>
        </w:rPr>
        <w:t xml:space="preserve">Facts:   </w:t>
      </w:r>
      <w:r>
        <w:rPr>
          <w:b w:val="0"/>
          <w:i w:val="0"/>
        </w:rPr>
        <w:t>A railroad offered its engineer's post-accident statement (he died before trial) as a business record.</w:t>
      </w:r>
    </w:p>
    <w:p>
      <w:r>
        <w:rPr>
          <w:b/>
          <w:i w:val="0"/>
          <w:color w:val="15803D"/>
        </w:rPr>
        <w:t xml:space="preserve">Held:   </w:t>
      </w:r>
      <w:r>
        <w:rPr>
          <w:b w:val="0"/>
          <w:i w:val="0"/>
        </w:rPr>
        <w:t>Excluded. Accident reports prepared for litigation are not made in the regular course of railroading: "calculated for use essentially in the court, not in the business."</w:t>
      </w:r>
    </w:p>
    <w:p>
      <w:r>
        <w:rPr>
          <w:b/>
          <w:i w:val="0"/>
          <w:color w:val="8A6100"/>
        </w:rPr>
        <w:t xml:space="preserve">Why it matters:   </w:t>
      </w:r>
      <w:r>
        <w:rPr>
          <w:b w:val="0"/>
          <w:i w:val="0"/>
        </w:rPr>
        <w:t>The ancestor of 803(6)(E)'s untrustworthiness clause.</w:t>
      </w:r>
    </w:p>
    <w:p>
      <w:pPr>
        <w:pStyle w:val="Heading2"/>
      </w:pPr>
      <w:r>
        <w:rPr>
          <w:b w:val="0"/>
          <w:i w:val="0"/>
        </w:rPr>
        <w:t>19. The Residual Exception (FRE 807)</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807(a):</w:t>
            </w:r>
            <w:r>
              <w:rPr>
                <w:b w:val="0"/>
                <w:i w:val="0"/>
              </w:rPr>
              <w:t xml:space="preserve"> a hearsay statement not admissible under 803 or 804 is not excluded if </w:t>
            </w:r>
            <w:r>
              <w:rPr>
                <w:b w:val="0"/>
                <w:i w:val="0"/>
                <w:color w:val="B91C1C"/>
              </w:rPr>
              <w:t xml:space="preserve">(1) it is supported by sufficient guarantees of trustworthiness, after considering the totality of circumstances under which it was made and any corroborating evidence; and </w:t>
            </w:r>
            <w:r>
              <w:rPr>
                <w:b w:val="0"/>
                <w:i w:val="0"/>
                <w:color w:val="C2410C"/>
              </w:rPr>
              <w:t xml:space="preserve">(2) it is more probative on the point for which it is offered than any other evidence the proponent can obtain through reasonable efforts. </w:t>
            </w:r>
            <w:r>
              <w:rPr>
                <w:b/>
                <w:i w:val="0"/>
                <w:color w:val="C2410C"/>
              </w:rPr>
              <w:t>807(b):</w:t>
            </w:r>
            <w:r>
              <w:rPr>
                <w:b w:val="0"/>
                <w:i w:val="0"/>
                <w:color w:val="C2410C"/>
              </w:rPr>
              <w:t xml:space="preserve"> reasonable written notice before trial, including the statement's substance and the declarant's name (or during trial for good cause).</w:t>
            </w:r>
          </w:p>
        </w:tc>
      </w:tr>
    </w:tbl>
    <w:p/>
    <w:p>
      <w:pPr>
        <w:pStyle w:val="ListBullet"/>
      </w:pPr>
      <w:r>
        <w:rPr>
          <w:b w:val="0"/>
          <w:i w:val="0"/>
        </w:rPr>
        <w:t xml:space="preserve">The 2019 amendment ended the "near-miss" debate: a statement that narrowly misses another exception may be considered (contrast the </w:t>
      </w:r>
      <w:r>
        <w:rPr>
          <w:b w:val="0"/>
          <w:i/>
        </w:rPr>
        <w:t>Laster</w:t>
      </w:r>
      <w:r>
        <w:rPr>
          <w:b w:val="0"/>
          <w:i w:val="0"/>
        </w:rPr>
        <w:t xml:space="preserve"> dissent). Courts use 807 rarely (slides).</w:t>
      </w:r>
    </w:p>
    <w:p>
      <w:pPr>
        <w:spacing w:before="160"/>
      </w:pPr>
      <w:r>
        <w:rPr>
          <w:b/>
          <w:i w:val="0"/>
          <w:color w:val="B91C1C"/>
        </w:rPr>
        <w:t>Dallas County v. Commercial Union Assurance Co., 286 F.2d 388 (5th Cir. 1961)</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To show that char in a collapsed courthouse tower came from an old fire, not lightning, the insurer offered a 1901 newspaper report of a fire during construction.</w:t>
      </w:r>
    </w:p>
    <w:p>
      <w:r>
        <w:rPr>
          <w:b/>
          <w:i w:val="0"/>
          <w:color w:val="15803D"/>
        </w:rPr>
        <w:t xml:space="preserve">Held:   </w:t>
      </w:r>
      <w:r>
        <w:rPr>
          <w:b w:val="0"/>
          <w:i w:val="0"/>
        </w:rPr>
        <w:t>Admissible because necessary (no living witnesses) and trustworthy (no motive to lie; public and easily corrected).</w:t>
      </w:r>
    </w:p>
    <w:p>
      <w:r>
        <w:rPr>
          <w:b/>
          <w:i w:val="0"/>
          <w:color w:val="8A6100"/>
        </w:rPr>
        <w:t xml:space="preserve">Why it matters:   </w:t>
      </w:r>
      <w:r>
        <w:rPr>
          <w:b w:val="0"/>
          <w:i w:val="0"/>
        </w:rPr>
        <w:t>The model for 807. Today the article might be an ancient document (803(16): prepared before Jan. 1, 1998).</w:t>
      </w:r>
    </w:p>
    <w:p>
      <w:pPr>
        <w:spacing w:before="160"/>
      </w:pPr>
      <w:r>
        <w:rPr>
          <w:b/>
          <w:i w:val="0"/>
          <w:color w:val="B91C1C"/>
        </w:rPr>
        <w:t>United States v. Laster, 258 F.3d 525 (6th Cir. 2001)</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A chemical company's sales records, offered after its sole owner died, failed 803(6) because the investigating detective was not a qualified witness.</w:t>
      </w:r>
    </w:p>
    <w:p>
      <w:r>
        <w:rPr>
          <w:b/>
          <w:i w:val="0"/>
          <w:color w:val="15803D"/>
        </w:rPr>
        <w:t xml:space="preserve">Held:   </w:t>
      </w:r>
      <w:r>
        <w:rPr>
          <w:b w:val="0"/>
          <w:i w:val="0"/>
        </w:rPr>
        <w:t>Admissible under the residual exception; the near miss did not bar it.</w:t>
      </w:r>
    </w:p>
    <w:p>
      <w:r>
        <w:rPr>
          <w:b/>
          <w:i w:val="0"/>
          <w:color w:val="8A6100"/>
        </w:rPr>
        <w:t xml:space="preserve">Why it matters:   </w:t>
      </w:r>
      <w:r>
        <w:rPr>
          <w:b w:val="0"/>
          <w:i w:val="0"/>
        </w:rPr>
        <w:t>Near misses may be salvaged under 807.</w:t>
      </w:r>
    </w:p>
    <w:p>
      <w:pPr>
        <w:pStyle w:val="Heading1"/>
      </w:pPr>
      <w:r>
        <w:rPr>
          <w:b w:val="0"/>
          <w:i w:val="0"/>
        </w:rPr>
        <w:t>PART VI — THE CONFRONTATION CLAUSE</w:t>
      </w:r>
    </w:p>
    <w:p>
      <w:pPr>
        <w:pStyle w:val="Heading2"/>
      </w:pPr>
      <w:r>
        <w:rPr>
          <w:b w:val="0"/>
          <w:i w:val="0"/>
        </w:rPr>
        <w:t>20. The Crawford Framework</w:t>
      </w:r>
    </w:p>
    <w:p>
      <w:pPr>
        <w:pStyle w:val="ListBullet"/>
      </w:pPr>
      <w:r>
        <w:rPr>
          <w:b/>
          <w:i w:val="0"/>
        </w:rPr>
        <w:t>The Sixth Amendment</w:t>
      </w:r>
      <w:r>
        <w:rPr>
          <w:b w:val="0"/>
          <w:i w:val="0"/>
        </w:rPr>
        <w:t xml:space="preserve"> guarantees the accused the right "to be confronted with the witnesses against him." It protects only </w:t>
      </w:r>
      <w:r>
        <w:rPr>
          <w:b/>
          <w:i w:val="0"/>
        </w:rPr>
        <w:t>criminal defendants</w:t>
      </w:r>
      <w:r>
        <w:rPr>
          <w:b w:val="0"/>
          <w:i w:val="0"/>
        </w:rPr>
        <w:t xml:space="preserve">, and evidence must survive </w:t>
      </w:r>
      <w:r>
        <w:rPr>
          <w:b/>
          <w:i w:val="0"/>
        </w:rPr>
        <w:t>both</w:t>
      </w:r>
      <w:r>
        <w:rPr>
          <w:b w:val="0"/>
          <w:i w:val="0"/>
        </w:rPr>
        <w:t xml:space="preserve"> the hearsay rules and the Clause (slides).</w:t>
      </w:r>
    </w:p>
    <w:p>
      <w:pPr>
        <w:pStyle w:val="ListBullet"/>
      </w:pPr>
      <w:r>
        <w:rPr>
          <w:b/>
          <w:i w:val="0"/>
        </w:rPr>
        <w:t>Roberts (1980), overruled:</w:t>
      </w:r>
      <w:r>
        <w:rPr>
          <w:b w:val="0"/>
          <w:i w:val="0"/>
        </w:rPr>
        <w:t xml:space="preserve"> admissible if the declarant was unavailable and the statement bore "indicia of reliability" (a firmly rooted exception or particularized guarantees of trustworthiness).</w:t>
      </w:r>
    </w:p>
    <w:p>
      <w:pPr>
        <w:pStyle w:val="ListBullet"/>
      </w:pPr>
      <w:r>
        <w:rPr>
          <w:b/>
          <w:i w:val="0"/>
        </w:rPr>
        <w:t>Mattox (1895) and California v. Green (1970):</w:t>
      </w:r>
      <w:r>
        <w:rPr>
          <w:b w:val="0"/>
          <w:i w:val="0"/>
        </w:rPr>
        <w:t xml:space="preserve"> prior testimony subject to cross may be used if the declarant is unavailable; a declarant who testifies and answers questions at trial removes the confrontation problem.</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Crawford v. Washington, 541 U.S. 36 (2004):</w:t>
            </w:r>
            <w:r>
              <w:rPr>
                <w:b w:val="0"/>
                <w:i w:val="0"/>
              </w:rPr>
              <w:t xml:space="preserve"> </w:t>
            </w:r>
            <w:r>
              <w:rPr>
                <w:b/>
                <w:i w:val="0"/>
              </w:rPr>
              <w:t>testimonial</w:t>
            </w:r>
            <w:r>
              <w:rPr>
                <w:b w:val="0"/>
                <w:i w:val="0"/>
              </w:rPr>
              <w:t xml:space="preserve"> statements of a witness absent from trial are admissible only if </w:t>
            </w:r>
            <w:r>
              <w:rPr>
                <w:b w:val="0"/>
                <w:i w:val="0"/>
                <w:color w:val="B91C1C"/>
              </w:rPr>
              <w:t xml:space="preserve">(1) the declarant is </w:t>
            </w:r>
            <w:r>
              <w:rPr>
                <w:b/>
                <w:i w:val="0"/>
                <w:color w:val="B91C1C"/>
              </w:rPr>
              <w:t>unavailable</w:t>
            </w:r>
            <w:r>
              <w:rPr>
                <w:b w:val="0"/>
                <w:i w:val="0"/>
                <w:color w:val="B91C1C"/>
              </w:rPr>
              <w:t xml:space="preserve"> and </w:t>
            </w:r>
            <w:r>
              <w:rPr>
                <w:b w:val="0"/>
                <w:i w:val="0"/>
                <w:color w:val="C2410C"/>
              </w:rPr>
              <w:t xml:space="preserve">(2) the defendant had a </w:t>
            </w:r>
            <w:r>
              <w:rPr>
                <w:b/>
                <w:i w:val="0"/>
                <w:color w:val="C2410C"/>
              </w:rPr>
              <w:t>prior opportunity to cross-examine</w:t>
            </w:r>
            <w:r>
              <w:rPr>
                <w:b w:val="0"/>
                <w:i w:val="0"/>
                <w:color w:val="C2410C"/>
              </w:rPr>
              <w:t>.</w:t>
            </w:r>
            <w:r>
              <w:rPr>
                <w:b w:val="0"/>
                <w:i w:val="0"/>
              </w:rPr>
              <w:t xml:space="preserve"> The Clause does not bar statements the declarant is cross-examined about at trial, statements not offered for their truth, statements admissible under forfeiture by wrongdoing (Giles), and perhaps dying declarations. Nontestimonial statements are governed only by the hearsay rules (</w:t>
            </w:r>
            <w:r>
              <w:rPr>
                <w:b w:val="0"/>
                <w:i/>
              </w:rPr>
              <w:t>Whorton v. Bockting</w:t>
            </w:r>
            <w:r>
              <w:rPr>
                <w:b w:val="0"/>
                <w:i w:val="0"/>
              </w:rPr>
              <w:t>, 2007).</w:t>
            </w:r>
          </w:p>
        </w:tc>
      </w:tr>
    </w:tbl>
    <w:p/>
    <w:p>
      <w:pPr>
        <w:pStyle w:val="ListBullet"/>
      </w:pPr>
      <w:r>
        <w:rPr>
          <w:b/>
          <w:i w:val="0"/>
        </w:rPr>
        <w:t>"Testimonial"</w:t>
      </w:r>
      <w:r>
        <w:rPr>
          <w:b w:val="0"/>
          <w:i w:val="0"/>
        </w:rPr>
        <w:t xml:space="preserve"> includes ex parte in-court testimony and its equivalents (affidavits, custodial examinations), formalized materials, prior testimony, statements made for use at trial, and </w:t>
      </w:r>
      <w:r>
        <w:rPr>
          <w:b/>
          <w:i w:val="0"/>
        </w:rPr>
        <w:t>police interrogations</w:t>
      </w:r>
      <w:r>
        <w:rPr>
          <w:b w:val="0"/>
          <w:i w:val="0"/>
        </w:rPr>
        <w:t>. Nontestimonial: casual remarks to acquaintances, statements in furtherance of a conspiracy, most business records.</w:t>
      </w:r>
    </w:p>
    <w:p>
      <w:pPr>
        <w:pStyle w:val="ListBullet"/>
      </w:pPr>
      <w:r>
        <w:rPr>
          <w:b/>
          <w:i w:val="0"/>
        </w:rPr>
        <w:t>Davis/Hammon (2006):</w:t>
      </w:r>
      <w:r>
        <w:rPr>
          <w:b w:val="0"/>
          <w:i w:val="0"/>
        </w:rPr>
        <w:t xml:space="preserve"> statements in police interrogation are nontestimonial when the objective primary purpose is to enable police to meet an </w:t>
      </w:r>
      <w:r>
        <w:rPr>
          <w:b/>
          <w:i w:val="0"/>
        </w:rPr>
        <w:t>ongoing emergency</w:t>
      </w:r>
      <w:r>
        <w:rPr>
          <w:b w:val="0"/>
          <w:i w:val="0"/>
        </w:rPr>
        <w:t>, and testimonial when there is no emergency and the primary purpose is to establish or prove past events for prosecution.</w:t>
      </w:r>
    </w:p>
    <w:p>
      <w:pPr>
        <w:pStyle w:val="ListBullet"/>
      </w:pPr>
      <w:r>
        <w:rPr>
          <w:b/>
          <w:i w:val="0"/>
        </w:rPr>
        <w:t>Bryant (2011):</w:t>
      </w:r>
      <w:r>
        <w:rPr>
          <w:b w:val="0"/>
          <w:i w:val="0"/>
        </w:rPr>
        <w:t xml:space="preserve"> the emergency depends on the threat (a gun and a shooter at large threaten the public, unlike a domestic assault by fists). Courts consider the location, the declarant's and interrogators' purposes, the declarant's medical condition, and formality, judged objectively.</w:t>
      </w:r>
    </w:p>
    <w:p>
      <w:pPr>
        <w:pStyle w:val="ListBullet"/>
      </w:pPr>
      <w:r>
        <w:rPr>
          <w:b/>
          <w:i w:val="0"/>
        </w:rPr>
        <w:t>Clark (2015):</w:t>
      </w:r>
      <w:r>
        <w:rPr>
          <w:b w:val="0"/>
          <w:i w:val="0"/>
        </w:rPr>
        <w:t xml:space="preserve"> testimonial means made with "the primary purpose of assisting in [a] prosecution." Statements to non-police are much less likely to be testimonial, and very young children's statements rarely are.</w:t>
      </w:r>
    </w:p>
    <w:p>
      <w:pPr>
        <w:pStyle w:val="ListBullet"/>
      </w:pPr>
      <w:r>
        <w:rPr>
          <w:b/>
          <w:i w:val="0"/>
        </w:rPr>
        <w:t>Forensic reports:</w:t>
      </w:r>
      <w:r>
        <w:rPr>
          <w:b w:val="0"/>
          <w:i w:val="0"/>
        </w:rPr>
        <w:t xml:space="preserve"> sworn lab certificates are testimonial (Melendez-Diaz, 2009); a "surrogate" analyst who did not perform or observe the test cannot satisfy the Clause (Bullcoming, 2011). An expert who conveys an absent analyst's statements as the basis of an opinion offers them for their truth if the opinion depends on their truth (Smith v. Arizona, 2024); whether the statements are testimonial is a separate question.</w:t>
      </w:r>
    </w:p>
    <w:p>
      <w:pPr>
        <w:pStyle w:val="Heading3"/>
      </w:pPr>
      <w:r>
        <w:rPr>
          <w:b w:val="0"/>
          <w:i w:val="0"/>
        </w:rPr>
        <w:t>Cases</w:t>
      </w:r>
    </w:p>
    <w:p>
      <w:pPr>
        <w:spacing w:before="160"/>
      </w:pPr>
      <w:r>
        <w:rPr>
          <w:b/>
          <w:i w:val="0"/>
          <w:color w:val="B91C1C"/>
        </w:rPr>
        <w:t>Crawford v. Washington, 541 U.S. 36 (2004)</w:t>
      </w:r>
      <w:r>
        <w:rPr>
          <w:color w:val="B91C1C"/>
        </w:rPr>
        <w:t xml:space="preserve">   </w:t>
      </w:r>
      <w:r>
        <w:rPr>
          <w:b/>
          <w:color w:val="FFFFFF"/>
          <w:shd w:val="clear" w:color="auto" w:fill="B91C1C"/>
        </w:rPr>
        <w:t xml:space="preserve"> MAIN CASE · CLASS 15 </w:t>
      </w:r>
    </w:p>
    <w:p>
      <w:r>
        <w:rPr>
          <w:b/>
          <w:i w:val="0"/>
          <w:color w:val="1D4ED8"/>
        </w:rPr>
        <w:t xml:space="preserve">Facts:   </w:t>
      </w:r>
      <w:r>
        <w:rPr>
          <w:b w:val="0"/>
          <w:i w:val="0"/>
        </w:rPr>
        <w:t>Sylvia Crawford gave a recorded, Mirandized stationhouse statement undercutting her husband's self-defense claim, then did not testify because of the marital privilege. The State offered it as a statement against penal interest.</w:t>
      </w:r>
    </w:p>
    <w:p>
      <w:r>
        <w:rPr>
          <w:b/>
          <w:i w:val="0"/>
          <w:color w:val="15803D"/>
        </w:rPr>
        <w:t xml:space="preserve">Held:   </w:t>
      </w:r>
      <w:r>
        <w:rPr>
          <w:b w:val="0"/>
          <w:i w:val="0"/>
        </w:rPr>
        <w:t>Reversed; Roberts overruled as to testimonial statements (Scalia, J.). Reliability is "amorphous"; "Dispensing with confrontation because testimony is obviously reliable is akin to dispensing with jury trial because a defendant is obviously guilty."</w:t>
      </w:r>
    </w:p>
    <w:p>
      <w:r>
        <w:rPr>
          <w:b/>
          <w:i w:val="0"/>
          <w:color w:val="8A6100"/>
        </w:rPr>
        <w:t xml:space="preserve">Why it matters:   </w:t>
      </w:r>
      <w:r>
        <w:rPr>
          <w:b w:val="0"/>
          <w:i w:val="0"/>
        </w:rPr>
        <w:t>Slides: police investigation produces testimonial evidence; the biggest effect is in domestic-violence cases where victims report and then refuse to testify. Critics doubt the historical testimonial line.</w:t>
      </w:r>
    </w:p>
    <w:p>
      <w:pPr>
        <w:spacing w:before="160"/>
      </w:pPr>
      <w:r>
        <w:rPr>
          <w:b/>
          <w:i w:val="0"/>
          <w:color w:val="B91C1C"/>
        </w:rPr>
        <w:t>Davis v. Washington; Hammon v. Indiana, 547 U.S. 813 (2006)</w:t>
      </w:r>
      <w:r>
        <w:rPr>
          <w:color w:val="B91C1C"/>
        </w:rPr>
        <w:t xml:space="preserve">   </w:t>
      </w:r>
      <w:r>
        <w:rPr>
          <w:b/>
          <w:color w:val="FFFFFF"/>
          <w:shd w:val="clear" w:color="auto" w:fill="B91C1C"/>
        </w:rPr>
        <w:t xml:space="preserve"> MAIN CASE · CLASSES 16–17 </w:t>
      </w:r>
    </w:p>
    <w:p>
      <w:r>
        <w:rPr>
          <w:b/>
          <w:i w:val="0"/>
          <w:color w:val="1D4ED8"/>
        </w:rPr>
        <w:t xml:space="preserve">Facts:   </w:t>
      </w:r>
      <w:r>
        <w:rPr>
          <w:b w:val="0"/>
          <w:i w:val="0"/>
        </w:rPr>
        <w:t>McCottry's 911 call during an assault ("He's here jumpin' on me again"; then "He's runnin' now"). Amy Hammon's statement and affidavit to officers who separated her from her husband after the incident.</w:t>
      </w:r>
    </w:p>
    <w:p>
      <w:r>
        <w:rPr>
          <w:b/>
          <w:i w:val="0"/>
          <w:color w:val="15803D"/>
        </w:rPr>
        <w:t xml:space="preserve">Held:   </w:t>
      </w:r>
      <w:r>
        <w:rPr>
          <w:b w:val="0"/>
          <w:i w:val="0"/>
        </w:rPr>
        <w:t>McCottry's statements describing an ongoing emergency were nontestimonial; Hammon's account of past events, with no emergency, was testimonial. A call can become testimonial once the emergency ends.</w:t>
      </w:r>
    </w:p>
    <w:p>
      <w:r>
        <w:rPr>
          <w:b/>
          <w:i w:val="0"/>
          <w:color w:val="8A6100"/>
        </w:rPr>
        <w:t xml:space="preserve">Why it matters:   </w:t>
      </w:r>
      <w:r>
        <w:rPr>
          <w:b w:val="0"/>
          <w:i w:val="0"/>
        </w:rPr>
        <w:t>The primary-purpose test. Slides' exercise: when did McCottry's call cross the line?</w:t>
      </w:r>
    </w:p>
    <w:p>
      <w:pPr>
        <w:spacing w:before="160"/>
      </w:pPr>
      <w:r>
        <w:rPr>
          <w:b/>
          <w:i w:val="0"/>
          <w:color w:val="B91C1C"/>
        </w:rPr>
        <w:t>Michigan v. Bryant, 562 U.S. 344 (2011)</w:t>
      </w:r>
      <w:r>
        <w:rPr>
          <w:color w:val="B91C1C"/>
        </w:rPr>
        <w:t xml:space="preserve">   </w:t>
      </w:r>
      <w:r>
        <w:rPr>
          <w:b/>
          <w:color w:val="FFFFFF"/>
          <w:shd w:val="clear" w:color="auto" w:fill="B91C1C"/>
        </w:rPr>
        <w:t xml:space="preserve"> MAIN CASE · CLASSES 16–17 </w:t>
      </w:r>
    </w:p>
    <w:p>
      <w:r>
        <w:rPr>
          <w:b/>
          <w:i w:val="0"/>
          <w:color w:val="1D4ED8"/>
        </w:rPr>
        <w:t xml:space="preserve">Facts:   </w:t>
      </w:r>
      <w:r>
        <w:rPr>
          <w:b w:val="0"/>
          <w:i w:val="0"/>
        </w:rPr>
        <w:t>Police found Covington mortally shot at a gas station; he said "Rick" shot him at Rick's house; the shooter was at large.</w:t>
      </w:r>
    </w:p>
    <w:p>
      <w:r>
        <w:rPr>
          <w:b/>
          <w:i w:val="0"/>
          <w:color w:val="15803D"/>
        </w:rPr>
        <w:t xml:space="preserve">Held:   </w:t>
      </w:r>
      <w:r>
        <w:rPr>
          <w:b w:val="0"/>
          <w:i w:val="0"/>
        </w:rPr>
        <w:t>Nontestimonial: the objective primary purpose was to meet an ongoing emergency to the public (Sotomayor, J., 6–2). Scalia, J., dissenting, called the majority's account "transparently false" and the test a return to Roberts.</w:t>
      </w:r>
    </w:p>
    <w:p>
      <w:r>
        <w:rPr>
          <w:b/>
          <w:i w:val="0"/>
          <w:color w:val="8A6100"/>
        </w:rPr>
        <w:t xml:space="preserve">Why it matters:   </w:t>
      </w:r>
      <w:r>
        <w:rPr>
          <w:b w:val="0"/>
          <w:i w:val="0"/>
        </w:rPr>
        <w:t>Emergencies can extend to the public, and courts consider both declarant and interrogator.</w:t>
      </w:r>
    </w:p>
    <w:p>
      <w:pPr>
        <w:spacing w:before="160"/>
      </w:pPr>
      <w:r>
        <w:rPr>
          <w:b/>
          <w:i w:val="0"/>
          <w:color w:val="B91C1C"/>
        </w:rPr>
        <w:t>Melendez-Diaz v. Massachusetts, 557 U.S. 305 (2009); Bullcoming v. New Mexico, 564 U.S. 647 (2011)</w:t>
      </w:r>
      <w:r>
        <w:rPr>
          <w:color w:val="B91C1C"/>
        </w:rPr>
        <w:t xml:space="preserve">   </w:t>
      </w:r>
      <w:r>
        <w:rPr>
          <w:b/>
          <w:color w:val="FFFFFF"/>
          <w:shd w:val="clear" w:color="auto" w:fill="B91C1C"/>
        </w:rPr>
        <w:t xml:space="preserve"> MAIN CASE · CLASS 16 </w:t>
      </w:r>
    </w:p>
    <w:p>
      <w:r>
        <w:rPr>
          <w:b/>
          <w:i w:val="0"/>
          <w:color w:val="1D4ED8"/>
        </w:rPr>
        <w:t xml:space="preserve">Facts:   </w:t>
      </w:r>
      <w:r>
        <w:rPr>
          <w:b w:val="0"/>
          <w:i w:val="0"/>
        </w:rPr>
        <w:t>Melendez-Diaz: notarized certificates saying seized powder was cocaine, with no analyst testifying. Bullcoming: a blood-alcohol report introduced through a different analyst who had not observed the test.</w:t>
      </w:r>
    </w:p>
    <w:p>
      <w:r>
        <w:rPr>
          <w:b/>
          <w:i w:val="0"/>
          <w:color w:val="15803D"/>
        </w:rPr>
        <w:t xml:space="preserve">Held:   </w:t>
      </w:r>
      <w:r>
        <w:rPr>
          <w:b w:val="0"/>
          <w:i w:val="0"/>
        </w:rPr>
        <w:t>Both violated the Clause (each 5–4). The certificates were "plainly affidavits"; surrogate testimony cannot substitute for the certifying analyst.</w:t>
      </w:r>
    </w:p>
    <w:p>
      <w:r>
        <w:rPr>
          <w:b/>
          <w:i w:val="0"/>
          <w:color w:val="8A6100"/>
        </w:rPr>
        <w:t xml:space="preserve">Why it matters:   </w:t>
      </w:r>
      <w:r>
        <w:rPr>
          <w:b w:val="0"/>
          <w:i w:val="0"/>
        </w:rPr>
        <w:t>Forensic analysts are witnesses. Slides: a year later the Boston Globe exposed a rogue analyst at the very lab involved in Melendez-Diaz.</w:t>
      </w:r>
    </w:p>
    <w:p>
      <w:pPr>
        <w:spacing w:before="160"/>
      </w:pPr>
      <w:r>
        <w:rPr>
          <w:b/>
          <w:i w:val="0"/>
          <w:color w:val="B91C1C"/>
        </w:rPr>
        <w:t>Smith v. Arizona, 602 U.S. 779 (2024)</w:t>
      </w:r>
      <w:r>
        <w:rPr>
          <w:color w:val="B91C1C"/>
        </w:rPr>
        <w:t xml:space="preserve">   </w:t>
      </w:r>
      <w:r>
        <w:rPr>
          <w:b/>
          <w:color w:val="FFFFFF"/>
          <w:shd w:val="clear" w:color="auto" w:fill="B91C1C"/>
        </w:rPr>
        <w:t xml:space="preserve"> MAIN CASE · CLASSES 17–18 </w:t>
      </w:r>
    </w:p>
    <w:p>
      <w:r>
        <w:rPr>
          <w:b/>
          <w:i w:val="0"/>
          <w:color w:val="1D4ED8"/>
        </w:rPr>
        <w:t xml:space="preserve">Facts:   </w:t>
      </w:r>
      <w:r>
        <w:rPr>
          <w:b w:val="0"/>
          <w:i w:val="0"/>
        </w:rPr>
        <w:t>A substitute expert who did no testing related the absent analyst's notes and report and gave his own opinion that the seized items were drugs.</w:t>
      </w:r>
    </w:p>
    <w:p>
      <w:r>
        <w:rPr>
          <w:b/>
          <w:i w:val="0"/>
          <w:color w:val="15803D"/>
        </w:rPr>
        <w:t xml:space="preserve">Held:   </w:t>
      </w:r>
      <w:r>
        <w:rPr>
          <w:b w:val="0"/>
          <w:i w:val="0"/>
        </w:rPr>
        <w:t>"When an expert conveys an absent analyst's statements in support of his opinion, and the statements provide that support only if true, then the statements come into evidence for their truth" (Kagan, J.). Whether the statements were testimonial was remanded.</w:t>
      </w:r>
    </w:p>
    <w:p>
      <w:r>
        <w:rPr>
          <w:b/>
          <w:i w:val="0"/>
          <w:color w:val="8A6100"/>
        </w:rPr>
        <w:t xml:space="preserve">Why it matters:   </w:t>
      </w:r>
      <w:r>
        <w:rPr>
          <w:b w:val="0"/>
          <w:i w:val="0"/>
        </w:rPr>
        <w:t>The Williams "not for its truth" basis theory is dead; the testimonial definition remains unsettled.</w:t>
      </w:r>
    </w:p>
    <w:p>
      <w:pPr>
        <w:spacing w:before="160"/>
      </w:pPr>
      <w:r>
        <w:rPr>
          <w:b/>
          <w:i w:val="0"/>
          <w:color w:val="B91C1C"/>
        </w:rPr>
        <w:t>Ohio v. Clark, 576 U.S. 237 (2015)</w:t>
      </w:r>
      <w:r>
        <w:rPr>
          <w:color w:val="B91C1C"/>
        </w:rPr>
        <w:t xml:space="preserve">   </w:t>
      </w:r>
      <w:r>
        <w:rPr>
          <w:b/>
          <w:color w:val="FFFFFF"/>
          <w:shd w:val="clear" w:color="auto" w:fill="B91C1C"/>
        </w:rPr>
        <w:t xml:space="preserve"> MAIN CASE · CLASSES 17–18 </w:t>
      </w:r>
    </w:p>
    <w:p>
      <w:r>
        <w:rPr>
          <w:b/>
          <w:i w:val="0"/>
          <w:color w:val="1D4ED8"/>
        </w:rPr>
        <w:t xml:space="preserve">Facts:   </w:t>
      </w:r>
      <w:r>
        <w:rPr>
          <w:b w:val="0"/>
          <w:i w:val="0"/>
        </w:rPr>
        <w:t>A three-year-old told preschool teachers (mandatory reporters) that "Dee" injured him. He was found incompetent to testify; the statements came in under a state child-hearsay rule.</w:t>
      </w:r>
    </w:p>
    <w:p>
      <w:r>
        <w:rPr>
          <w:b/>
          <w:i w:val="0"/>
          <w:color w:val="15803D"/>
        </w:rPr>
        <w:t xml:space="preserve">Held:   </w:t>
      </w:r>
      <w:r>
        <w:rPr>
          <w:b w:val="0"/>
          <w:i w:val="0"/>
        </w:rPr>
        <w:t>Nontestimonial (Alito, J.): neither the child nor the teachers had the primary purpose of assisting a prosecution; the teachers were addressing an emergency; reporting duties did not make them police agents. Primary purpose is necessary but not always sufficient (dying declarations and forfeiture remain).</w:t>
      </w:r>
    </w:p>
    <w:p>
      <w:r>
        <w:rPr>
          <w:b/>
          <w:i w:val="0"/>
          <w:color w:val="8A6100"/>
        </w:rPr>
        <w:t xml:space="preserve">Why it matters:   </w:t>
      </w:r>
      <w:r>
        <w:rPr>
          <w:b w:val="0"/>
          <w:i w:val="0"/>
        </w:rPr>
        <w:t>Child-abuse defendants may be worse off than under Roberts, which required reliability.</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Confrontation steps: (1) criminal case, prosecution evidence? (2) offered for its truth (including as an expert's basis)? (3) does the declarant testify and submit to cross? (4) is the statement testimonial (emergency, formality, audience, the declarant's age)? (5) if so, unavailability plus a prior opportunity to cross, or forfeiture with intent; (6) then the hearsay rules separately.</w:t>
            </w:r>
          </w:p>
        </w:tc>
      </w:tr>
    </w:tbl>
    <w:p/>
    <w:p>
      <w:pPr>
        <w:pStyle w:val="Heading1"/>
      </w:pPr>
      <w:r>
        <w:rPr>
          <w:b w:val="0"/>
          <w:i w:val="0"/>
        </w:rPr>
        <w:t>PART VII — JOINT TRIALS AND THE RIGHT TO PRESENT A DEFENSE</w:t>
      </w:r>
    </w:p>
    <w:p>
      <w:pPr>
        <w:pStyle w:val="Heading2"/>
      </w:pPr>
      <w:r>
        <w:rPr>
          <w:b w:val="0"/>
          <w:i w:val="0"/>
        </w:rPr>
        <w:t>21. Completeness and Bruton</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106 (as amended 2023):</w:t>
            </w:r>
            <w:r>
              <w:rPr>
                <w:b w:val="0"/>
                <w:i w:val="0"/>
              </w:rPr>
              <w:t xml:space="preserve"> if a party introduces all or part of a statement, an adverse party may require the introduction, at that time, of any other part, or any other statement, that in fairness ought to be considered at the same time, and may do so over a hearsay objection. (Now covers oral statements.)</w:t>
            </w:r>
          </w:p>
        </w:tc>
      </w:tr>
    </w:tbl>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Bruton v. United States, 391 U.S. 123 (1968):</w:t>
            </w:r>
            <w:r>
              <w:rPr>
                <w:b w:val="0"/>
                <w:i w:val="0"/>
              </w:rPr>
              <w:t xml:space="preserve"> at a joint trial, admitting a </w:t>
            </w:r>
            <w:r>
              <w:rPr>
                <w:b/>
                <w:i w:val="0"/>
              </w:rPr>
              <w:t>nontestifying</w:t>
            </w:r>
            <w:r>
              <w:rPr>
                <w:b w:val="0"/>
                <w:i w:val="0"/>
              </w:rPr>
              <w:t xml:space="preserve"> codefendant's confession that </w:t>
            </w:r>
            <w:r>
              <w:rPr>
                <w:b/>
                <w:i w:val="0"/>
              </w:rPr>
              <w:t>facially incriminates</w:t>
            </w:r>
            <w:r>
              <w:rPr>
                <w:b w:val="0"/>
                <w:i w:val="0"/>
              </w:rPr>
              <w:t xml:space="preserve"> the defendant violates the Confrontation Clause even with a clear limiting instruction. The statement must be inadmissible against the defendant (fn. 3) and, after Crawford, testimonial.</w:t>
            </w:r>
          </w:p>
        </w:tc>
      </w:tr>
    </w:tbl>
    <w:p/>
    <w:p>
      <w:pPr>
        <w:pStyle w:val="ListBullet"/>
      </w:pPr>
      <w:r>
        <w:rPr>
          <w:b/>
          <w:i w:val="0"/>
        </w:rPr>
        <w:t>Prosecutors' options (slides):</w:t>
      </w:r>
      <w:r>
        <w:rPr>
          <w:b w:val="0"/>
          <w:i w:val="0"/>
        </w:rPr>
        <w:t xml:space="preserve"> sever; use separate juries; have the confessing codefendant testify; use prior cross-examined testimony; redact; try the case to the bench; or use a statement admissible against both (a nontestimonial coconspirator statement raises no Bruton problem: the Dog O' War letter, Problem 8.8).</w:t>
      </w:r>
    </w:p>
    <w:p>
      <w:pPr>
        <w:pStyle w:val="ListBullet"/>
      </w:pPr>
      <w:r>
        <w:rPr>
          <w:b/>
          <w:i w:val="0"/>
        </w:rPr>
        <w:t>Redaction:</w:t>
      </w:r>
      <w:r>
        <w:rPr>
          <w:b w:val="0"/>
          <w:i w:val="0"/>
        </w:rPr>
        <w:t xml:space="preserve"> removing the defendant's name </w:t>
      </w:r>
      <w:r>
        <w:rPr>
          <w:b/>
          <w:i w:val="0"/>
        </w:rPr>
        <w:t>and any reference to his existence</w:t>
      </w:r>
      <w:r>
        <w:rPr>
          <w:b w:val="0"/>
          <w:i w:val="0"/>
        </w:rPr>
        <w:t xml:space="preserve"> is permitted (Richardson v. Marsh, 1987). Replacing the name with an obvious blank, "deleted," or a symbol is not (Gray). </w:t>
      </w:r>
      <w:r>
        <w:rPr>
          <w:b w:val="0"/>
          <w:i/>
          <w:color w:val="64748B"/>
        </w:rPr>
        <w:t>A natural neutral phrase such as "the other person" is permitted (Samia v. United States, 2023).</w:t>
      </w:r>
      <w:r>
        <w:rPr>
          <w:b w:val="0"/>
          <w:i w:val="0"/>
        </w:rPr>
        <w:t xml:space="preserve"> Harmless-error review applies (Harrington).</w:t>
      </w:r>
    </w:p>
    <w:p>
      <w:pPr>
        <w:spacing w:before="160"/>
      </w:pPr>
      <w:r>
        <w:rPr>
          <w:b/>
          <w:i w:val="0"/>
          <w:color w:val="B91C1C"/>
        </w:rPr>
        <w:t>Bruton v. United States, 391 U.S. 123 (1968)</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A postal inspector testified that codefendant Evans confessed that he and Bruton robbed a post office. Evans did not testify; the jury was clearly instructed to disregard the confession as to Bruton.</w:t>
      </w:r>
    </w:p>
    <w:p>
      <w:r>
        <w:rPr>
          <w:b/>
          <w:i w:val="0"/>
          <w:color w:val="15803D"/>
        </w:rPr>
        <w:t xml:space="preserve">Held:   </w:t>
      </w:r>
      <w:r>
        <w:rPr>
          <w:b w:val="0"/>
          <w:i w:val="0"/>
        </w:rPr>
        <w:t>Reversed; Delli Paoli overruled. "[T]he risk that the jury will not, or cannot, follow instructions is so great, and the consequences of failure so vital to the defendant, that the practical and human limitations of the jury system cannot be ignored."</w:t>
      </w:r>
    </w:p>
    <w:p>
      <w:r>
        <w:rPr>
          <w:b/>
          <w:i w:val="0"/>
          <w:color w:val="8A6100"/>
        </w:rPr>
        <w:t xml:space="preserve">Why it matters:   </w:t>
      </w:r>
      <w:r>
        <w:rPr>
          <w:b w:val="0"/>
          <w:i w:val="0"/>
        </w:rPr>
        <w:t>A narrow exception to the presumption that juries follow instructions.</w:t>
      </w:r>
    </w:p>
    <w:p>
      <w:pPr>
        <w:spacing w:before="160"/>
      </w:pPr>
      <w:r>
        <w:rPr>
          <w:b/>
          <w:i w:val="0"/>
          <w:color w:val="B91C1C"/>
        </w:rPr>
        <w:t>Gray v. Maryland, 523 U.S. 185 (1998)</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Bell's confession was read with "deleted" in place of Gray's name ("Me, deleted, deleted, and a few other guys"), followed by the question whether police then arrested Gray.</w:t>
      </w:r>
    </w:p>
    <w:p>
      <w:r>
        <w:rPr>
          <w:b/>
          <w:i w:val="0"/>
          <w:color w:val="15803D"/>
        </w:rPr>
        <w:t xml:space="preserve">Held:   </w:t>
      </w:r>
      <w:r>
        <w:rPr>
          <w:b w:val="0"/>
          <w:i w:val="0"/>
        </w:rPr>
        <w:t>Obvious redactions fall within Bruton "as a class": jurors will infer the blank is the defendant, the blank draws attention, and it points directly at someone (Breyer, J., 5–4). Scalia, J., dissenting: not facially incriminating.</w:t>
      </w:r>
    </w:p>
    <w:p>
      <w:r>
        <w:rPr>
          <w:b/>
          <w:i w:val="0"/>
          <w:color w:val="8A6100"/>
        </w:rPr>
        <w:t xml:space="preserve">Why it matters:   </w:t>
      </w:r>
      <w:r>
        <w:rPr>
          <w:b w:val="0"/>
          <w:i w:val="0"/>
        </w:rPr>
        <w:t>Ask whether the redacted statement would point at the defendant "even were the confession the very first item introduced at trial."</w:t>
      </w:r>
    </w:p>
    <w:p>
      <w:pPr>
        <w:pStyle w:val="Heading2"/>
      </w:pPr>
      <w:r>
        <w:rPr>
          <w:b w:val="0"/>
          <w:i w:val="0"/>
        </w:rPr>
        <w:t>22. Compulsory Process and Due Process</w:t>
      </w:r>
    </w:p>
    <w:p>
      <w:pPr>
        <w:pStyle w:val="ListBullet"/>
      </w:pPr>
      <w:r>
        <w:rPr>
          <w:b/>
          <w:i w:val="0"/>
        </w:rPr>
        <w:t>The Sixth Amendment</w:t>
      </w:r>
      <w:r>
        <w:rPr>
          <w:b w:val="0"/>
          <w:i w:val="0"/>
        </w:rPr>
        <w:t xml:space="preserve"> guarantees compulsory process for obtaining witnesses in the defendant's favor. The Constitution guarantees "a meaningful opportunity to present a complete defense," whether through due process, compulsory process, or confrontation (</w:t>
      </w:r>
      <w:r>
        <w:rPr>
          <w:b w:val="0"/>
          <w:i/>
        </w:rPr>
        <w:t>Crane v. Kentucky</w:t>
      </w:r>
      <w:r>
        <w:rPr>
          <w:b w:val="0"/>
          <w:i w:val="0"/>
        </w:rPr>
        <w:t>, 1986). A defendant must still comply with established rules of evidence.</w:t>
      </w:r>
    </w:p>
    <w:p>
      <w:pPr>
        <w:pStyle w:val="ListBullet"/>
      </w:pPr>
      <w:r>
        <w:rPr>
          <w:b/>
          <w:i w:val="0"/>
        </w:rPr>
        <w:t>Two tests:</w:t>
      </w:r>
      <w:r>
        <w:rPr>
          <w:b w:val="0"/>
          <w:i w:val="0"/>
        </w:rPr>
        <w:t xml:space="preserve"> Chambers's </w:t>
      </w:r>
      <w:r>
        <w:rPr>
          <w:b/>
          <w:i w:val="0"/>
        </w:rPr>
        <w:t>critical and trustworthy</w:t>
      </w:r>
      <w:r>
        <w:rPr>
          <w:b w:val="0"/>
          <w:i w:val="0"/>
        </w:rPr>
        <w:t xml:space="preserve"> test for valid rules applied mechanistically to unusual facts; and the </w:t>
      </w:r>
      <w:r>
        <w:rPr>
          <w:b/>
          <w:i w:val="0"/>
        </w:rPr>
        <w:t>arbitrariness</w:t>
      </w:r>
      <w:r>
        <w:rPr>
          <w:b w:val="0"/>
          <w:i w:val="0"/>
        </w:rPr>
        <w:t xml:space="preserve"> test of </w:t>
      </w:r>
      <w:r>
        <w:rPr>
          <w:b w:val="0"/>
          <w:i/>
        </w:rPr>
        <w:t>Washington v. Texas</w:t>
      </w:r>
      <w:r>
        <w:rPr>
          <w:b w:val="0"/>
          <w:i w:val="0"/>
        </w:rPr>
        <w:t xml:space="preserve"> (1967), </w:t>
      </w:r>
      <w:r>
        <w:rPr>
          <w:b w:val="0"/>
          <w:i/>
        </w:rPr>
        <w:t>Rock v. Arkansas</w:t>
      </w:r>
      <w:r>
        <w:rPr>
          <w:b w:val="0"/>
          <w:i w:val="0"/>
        </w:rPr>
        <w:t xml:space="preserve"> (1987), and </w:t>
      </w:r>
      <w:r>
        <w:rPr>
          <w:b w:val="0"/>
          <w:i/>
        </w:rPr>
        <w:t>Holmes v. South Carolina</w:t>
      </w:r>
      <w:r>
        <w:rPr>
          <w:b w:val="0"/>
          <w:i w:val="0"/>
        </w:rPr>
        <w:t xml:space="preserve"> (2006) for rules (or constructions) that are arbitrary or disproportionate to their purposes.</w:t>
      </w:r>
    </w:p>
    <w:p>
      <w:pPr>
        <w:spacing w:before="160"/>
      </w:pPr>
      <w:r>
        <w:rPr>
          <w:b/>
          <w:i w:val="0"/>
          <w:color w:val="B91C1C"/>
        </w:rPr>
        <w:t>Chambers v. Mississippi, 410 U.S. 284 (1973)</w:t>
      </w:r>
      <w:r>
        <w:rPr>
          <w:color w:val="B91C1C"/>
        </w:rPr>
        <w:t xml:space="preserve">   </w:t>
      </w:r>
      <w:r>
        <w:rPr>
          <w:b/>
          <w:color w:val="FFFFFF"/>
          <w:shd w:val="clear" w:color="auto" w:fill="B91C1C"/>
        </w:rPr>
        <w:t xml:space="preserve"> MAIN CASE · CLASS 19 </w:t>
      </w:r>
    </w:p>
    <w:p>
      <w:r>
        <w:rPr>
          <w:b/>
          <w:i w:val="0"/>
          <w:color w:val="1D4ED8"/>
        </w:rPr>
        <w:t xml:space="preserve">Facts:   </w:t>
      </w:r>
      <w:r>
        <w:rPr>
          <w:b w:val="0"/>
          <w:i w:val="0"/>
        </w:rPr>
        <w:t>Accused of killing a Woodville officer, Chambers called McDonald, who had confessed in a sworn statement and orally to three friends but then repudiated. The voucher rule barred Chambers from cross-examining McDonald, and the hearsay rule (with no penal-interest exception) excluded the three oral confessions.</w:t>
      </w:r>
    </w:p>
    <w:p>
      <w:r>
        <w:rPr>
          <w:b/>
          <w:i w:val="0"/>
          <w:color w:val="15803D"/>
        </w:rPr>
        <w:t xml:space="preserve">Held:   </w:t>
      </w:r>
      <w:r>
        <w:rPr>
          <w:b w:val="0"/>
          <w:i w:val="0"/>
        </w:rPr>
        <w:t>Reversed (Powell, J., 8–1). The two rulings together denied due process. The confessions were spontaneous, made to close friends shortly after the crime, corroborated, against interest, and McDonald was available to the State for cross: "the hearsay rule may not be applied mechanistically to defeat the ends of justice." The Court said it established "no new principles of constitutional law."</w:t>
      </w:r>
    </w:p>
    <w:p>
      <w:r>
        <w:rPr>
          <w:b/>
          <w:i w:val="0"/>
          <w:color w:val="8A6100"/>
        </w:rPr>
        <w:t xml:space="preserve">Why it matters:   </w:t>
      </w:r>
      <w:r>
        <w:rPr>
          <w:b w:val="0"/>
          <w:i w:val="0"/>
        </w:rPr>
        <w:t xml:space="preserve">Under today's 804(b)(3) the confessions would not have qualified, because McDonald was available (slides). </w:t>
      </w:r>
      <w:r>
        <w:rPr>
          <w:b w:val="0"/>
          <w:i/>
        </w:rPr>
        <w:t>Green v. Georgia</w:t>
      </w:r>
      <w:r>
        <w:rPr>
          <w:b w:val="0"/>
          <w:i w:val="0"/>
        </w:rPr>
        <w:t xml:space="preserve"> (1979) extended the principle to a single hearsay ruling; </w:t>
      </w:r>
      <w:r>
        <w:rPr>
          <w:b w:val="0"/>
          <w:i/>
        </w:rPr>
        <w:t>Holmes</w:t>
      </w:r>
      <w:r>
        <w:rPr>
          <w:b w:val="0"/>
          <w:i w:val="0"/>
        </w:rPr>
        <w:t xml:space="preserve"> struck a rule that judged defense evidence only by the strength of the prosecution's case.</w:t>
      </w:r>
    </w:p>
    <w:p>
      <w:pPr>
        <w:pStyle w:val="Heading1"/>
      </w:pPr>
      <w:r>
        <w:rPr>
          <w:b w:val="0"/>
          <w:i w:val="0"/>
        </w:rPr>
        <w:t>PART VIII — LAY AND EXPERT OPINION (WEEK 10 READING)</w:t>
      </w:r>
    </w:p>
    <w:p>
      <w:pPr>
        <w:pStyle w:val="Heading2"/>
      </w:pPr>
      <w:r>
        <w:rPr>
          <w:b w:val="0"/>
          <w:i w:val="0"/>
        </w:rPr>
        <w:t>23. Lay Opinion (FRE 701)</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701:</w:t>
            </w:r>
            <w:r>
              <w:rPr>
                <w:b w:val="0"/>
                <w:i w:val="0"/>
              </w:rPr>
              <w:t xml:space="preserve"> a lay witness's opinion is limited to one that is </w:t>
            </w:r>
            <w:r>
              <w:rPr>
                <w:b w:val="0"/>
                <w:i w:val="0"/>
                <w:color w:val="B91C1C"/>
              </w:rPr>
              <w:t xml:space="preserve">(a) rationally based on the witness's perception; </w:t>
            </w:r>
            <w:r>
              <w:rPr>
                <w:b w:val="0"/>
                <w:i w:val="0"/>
                <w:color w:val="C2410C"/>
              </w:rPr>
              <w:t xml:space="preserve">(b) helpful to clearly understanding the testimony or determining a fact in issue; and </w:t>
            </w:r>
            <w:r>
              <w:rPr>
                <w:b w:val="0"/>
                <w:i w:val="0"/>
                <w:color w:val="854D0E"/>
              </w:rPr>
              <w:t>(c) not based on scientific, technical, or other specialized knowledge within the scope of 702.</w:t>
            </w:r>
          </w:p>
        </w:tc>
      </w:tr>
    </w:tbl>
    <w:p/>
    <w:p>
      <w:pPr>
        <w:pStyle w:val="ListBullet"/>
      </w:pPr>
      <w:r>
        <w:rPr>
          <w:b w:val="0"/>
          <w:i w:val="0"/>
        </w:rPr>
        <w:t>Ordinary inferences are lay opinion: appearance, age, emotional state, speed, intoxication with a foundation, identity, and a familiar substance's identity (the 2000 ACN). (c) stops "an expert in lay witness clothing" from evading 702 and disclosure rules. A business owner may give opinions based on particularized knowledge of the business, but not specialized expertise.</w:t>
      </w:r>
    </w:p>
    <w:p>
      <w:pPr>
        <w:pStyle w:val="Heading2"/>
      </w:pPr>
      <w:r>
        <w:rPr>
          <w:b w:val="0"/>
          <w:i w:val="0"/>
        </w:rPr>
        <w:t>24. Expert Testimony: Qualification and Topics (FRE 702, 704)</w:t>
      </w:r>
    </w:p>
    <w:tbl>
      <w:tblPr>
        <w:tblW w:type="auto" w:w="0"/>
        <w:jc w:val="center"/>
        <w:tblLook w:firstColumn="1" w:firstRow="1" w:lastColumn="0" w:lastRow="0" w:noHBand="0" w:noVBand="1" w:val="04A0"/>
      </w:tblPr>
      <w:tblGrid>
        <w:gridCol w:w="10080"/>
      </w:tblGrid>
      <w:tr>
        <w:tc>
          <w:tcPr>
            <w:tcW w:type="dxa" w:w="10080"/>
            <w:shd w:val="clear" w:color="auto" w:fill="F3EEFF"/>
          </w:tcPr>
          <w:p>
            <w:r>
              <w:rPr>
                <w:b/>
                <w:color w:val="6D28D9"/>
              </w:rPr>
              <w:t xml:space="preserve">RULE   </w:t>
            </w:r>
            <w:r>
              <w:rPr>
                <w:b/>
                <w:i w:val="0"/>
              </w:rPr>
              <w:t>FRE 702 (as amended 2023):</w:t>
            </w:r>
            <w:r>
              <w:rPr>
                <w:b w:val="0"/>
                <w:i w:val="0"/>
              </w:rPr>
              <w:t xml:space="preserve"> a witness qualified by knowledge, skill, experience, training, or education may testify in the form of an opinion or otherwise if the proponent demonstrates to the court that it is more likely than not that </w:t>
            </w:r>
            <w:r>
              <w:rPr>
                <w:b w:val="0"/>
                <w:i w:val="0"/>
                <w:color w:val="B91C1C"/>
              </w:rPr>
              <w:t xml:space="preserve">(a) the expert's specialized knowledge will help the trier of fact; </w:t>
            </w:r>
            <w:r>
              <w:rPr>
                <w:b w:val="0"/>
                <w:i w:val="0"/>
                <w:color w:val="C2410C"/>
              </w:rPr>
              <w:t xml:space="preserve">(b) the testimony is based on sufficient facts or data; </w:t>
            </w:r>
            <w:r>
              <w:rPr>
                <w:b w:val="0"/>
                <w:i w:val="0"/>
                <w:color w:val="854D0E"/>
              </w:rPr>
              <w:t xml:space="preserve">(c) it is the product of reliable principles and methods; and </w:t>
            </w:r>
            <w:r>
              <w:rPr>
                <w:b w:val="0"/>
                <w:i w:val="0"/>
                <w:color w:val="15803D"/>
              </w:rPr>
              <w:t xml:space="preserve">(d) the opinion reflects a reliable application of the principles and methods to the facts. </w:t>
            </w:r>
            <w:r>
              <w:rPr>
                <w:b/>
                <w:i w:val="0"/>
                <w:color w:val="15803D"/>
              </w:rPr>
              <w:t>704(a):</w:t>
            </w:r>
            <w:r>
              <w:rPr>
                <w:b w:val="0"/>
                <w:i w:val="0"/>
                <w:color w:val="15803D"/>
              </w:rPr>
              <w:t xml:space="preserve"> an opinion is not objectionable just because it embraces an ultimate issue. </w:t>
            </w:r>
            <w:r>
              <w:rPr>
                <w:b/>
                <w:i w:val="0"/>
                <w:color w:val="15803D"/>
              </w:rPr>
              <w:t>704(b):</w:t>
            </w:r>
            <w:r>
              <w:rPr>
                <w:b w:val="0"/>
                <w:i w:val="0"/>
                <w:color w:val="15803D"/>
              </w:rPr>
              <w:t xml:space="preserve"> in a criminal case, an expert may not state an opinion about whether the defendant had a mental state or condition that is an element of the crime or a defense.</w:t>
            </w:r>
          </w:p>
        </w:tc>
      </w:tr>
    </w:tbl>
    <w:p/>
    <w:p>
      <w:pPr>
        <w:pStyle w:val="ListBullet"/>
      </w:pPr>
      <w:r>
        <w:rPr>
          <w:b w:val="0"/>
          <w:i w:val="0"/>
        </w:rPr>
        <w:t xml:space="preserve">Qualification is </w:t>
      </w:r>
      <w:r>
        <w:rPr>
          <w:b/>
          <w:i w:val="0"/>
        </w:rPr>
        <w:t>topic-specific</w:t>
      </w:r>
      <w:r>
        <w:rPr>
          <w:b w:val="0"/>
          <w:i w:val="0"/>
        </w:rPr>
        <w:t>, and experience can qualify. Helpfulness fails on matters of common knowledge (whether "Match" and "Macho" sound alike) but not on technical ones (the slip resistance of wet tile; how all-white ads communicate to Black viewers).</w:t>
      </w:r>
    </w:p>
    <w:p>
      <w:pPr>
        <w:pStyle w:val="ListBullet"/>
      </w:pPr>
      <w:r>
        <w:rPr>
          <w:b w:val="0"/>
          <w:i w:val="0"/>
        </w:rPr>
        <w:t xml:space="preserve">Experts may not instruct on the law or tell the jury what result to reach (Hygh); may not opine on a criminal defendant's own mens rea (704(b); </w:t>
      </w:r>
      <w:r>
        <w:rPr>
          <w:b w:val="0"/>
          <w:i/>
          <w:color w:val="64748B"/>
        </w:rPr>
        <w:t>Diaz v. United States</w:t>
      </w:r>
      <w:r>
        <w:rPr>
          <w:b w:val="0"/>
          <w:i/>
          <w:color w:val="64748B"/>
        </w:rPr>
        <w:t>, 2024, allows opinions about most people in the defendant's position</w:t>
      </w:r>
      <w:r>
        <w:rPr>
          <w:b w:val="0"/>
          <w:i w:val="0"/>
        </w:rPr>
        <w:t>); and may not vouch for a witness's credibility, though they may explain behavior that seems inconsistent with abuse (Batangan; Nimely).</w:t>
      </w:r>
    </w:p>
    <w:p>
      <w:pPr>
        <w:spacing w:before="160"/>
      </w:pPr>
      <w:r>
        <w:rPr>
          <w:b/>
          <w:i w:val="0"/>
          <w:color w:val="B91C1C"/>
        </w:rPr>
        <w:t>Hygh v. Jacobs, 961 F.2d 359 (2d Cir. 1992)</w:t>
      </w:r>
      <w:r>
        <w:rPr>
          <w:color w:val="B91C1C"/>
        </w:rPr>
        <w:t xml:space="preserve">   </w:t>
      </w:r>
      <w:r>
        <w:rPr>
          <w:b/>
          <w:color w:val="FFFFFF"/>
          <w:shd w:val="clear" w:color="auto" w:fill="B91C1C"/>
        </w:rPr>
        <w:t xml:space="preserve"> MAIN CASE · WEEK 10 </w:t>
      </w:r>
    </w:p>
    <w:p>
      <w:r>
        <w:rPr>
          <w:b/>
          <w:i w:val="0"/>
          <w:color w:val="1D4ED8"/>
        </w:rPr>
        <w:t xml:space="preserve">Facts:   </w:t>
      </w:r>
      <w:r>
        <w:rPr>
          <w:b w:val="0"/>
          <w:i w:val="0"/>
        </w:rPr>
        <w:t>In an excessive-force suit, the plaintiff's police-practices expert said a flashlight blow to the head was "deadly physical force" that was "not justified," "not warranted," and "totally improper," and defined deadly force himself.</w:t>
      </w:r>
    </w:p>
    <w:p>
      <w:r>
        <w:rPr>
          <w:b/>
          <w:i w:val="0"/>
          <w:color w:val="15803D"/>
        </w:rPr>
        <w:t xml:space="preserve">Held:   </w:t>
      </w:r>
      <w:r>
        <w:rPr>
          <w:b w:val="0"/>
          <w:i w:val="0"/>
        </w:rPr>
        <w:t>Expert testimony stating legal conclusions must be excluded: it instructs the jury on law and tells it what result to reach. Harmless here. (The Class 19 slide misprints the citation as "916 F.2d.")</w:t>
      </w:r>
    </w:p>
    <w:p>
      <w:r>
        <w:rPr>
          <w:b/>
          <w:i w:val="0"/>
          <w:color w:val="8A6100"/>
        </w:rPr>
        <w:t xml:space="preserve">Why it matters:   </w:t>
      </w:r>
      <w:r>
        <w:rPr>
          <w:b w:val="0"/>
          <w:i w:val="0"/>
        </w:rPr>
        <w:t>704(a) does not admit opinions that merely announce the verdict.</w:t>
      </w:r>
    </w:p>
    <w:p>
      <w:pPr>
        <w:spacing w:before="160"/>
      </w:pPr>
      <w:r>
        <w:rPr>
          <w:b/>
          <w:i w:val="0"/>
          <w:color w:val="B91C1C"/>
        </w:rPr>
        <w:t>State v. Batangan, 71 Haw. 552 (1990)</w:t>
      </w:r>
      <w:r>
        <w:rPr>
          <w:color w:val="B91C1C"/>
        </w:rPr>
        <w:t xml:space="preserve">   </w:t>
      </w:r>
      <w:r>
        <w:rPr>
          <w:b/>
          <w:color w:val="FFFFFF"/>
          <w:shd w:val="clear" w:color="auto" w:fill="B91C1C"/>
        </w:rPr>
        <w:t xml:space="preserve"> MAIN CASE · WEEK 10 </w:t>
      </w:r>
    </w:p>
    <w:p>
      <w:r>
        <w:rPr>
          <w:b/>
          <w:i w:val="0"/>
          <w:color w:val="1D4ED8"/>
        </w:rPr>
        <w:t xml:space="preserve">Facts:   </w:t>
      </w:r>
      <w:r>
        <w:rPr>
          <w:b w:val="0"/>
          <w:i w:val="0"/>
        </w:rPr>
        <w:t>A psychologist who met a child complainant once implicitly told the jury she was truthful and had been abused.</w:t>
      </w:r>
    </w:p>
    <w:p>
      <w:r>
        <w:rPr>
          <w:b/>
          <w:i w:val="0"/>
          <w:color w:val="15803D"/>
        </w:rPr>
        <w:t xml:space="preserve">Held:   </w:t>
      </w:r>
      <w:r>
        <w:rPr>
          <w:b w:val="0"/>
          <w:i w:val="0"/>
        </w:rPr>
        <w:t>Inadmissible: jurors judge credibility. An expert may explain "seemingly bizarre" behavior such as delayed reporting and recantation, but may not give a conclusory opinion that abuse occurred or that the child is believable.</w:t>
      </w:r>
    </w:p>
    <w:p>
      <w:r>
        <w:rPr>
          <w:b/>
          <w:i w:val="0"/>
          <w:color w:val="8A6100"/>
        </w:rPr>
        <w:t xml:space="preserve">Why it matters:   </w:t>
      </w:r>
      <w:r>
        <w:rPr>
          <w:b w:val="0"/>
          <w:i w:val="0"/>
        </w:rPr>
        <w:t>The line between behavioral context and vouching.</w:t>
      </w:r>
    </w:p>
    <w:tbl>
      <w:tblPr>
        <w:tblW w:type="auto" w:w="0"/>
        <w:jc w:val="center"/>
        <w:tblLook w:firstColumn="1" w:firstRow="1" w:lastColumn="0" w:lastRow="0" w:noHBand="0" w:noVBand="1" w:val="04A0"/>
      </w:tblPr>
      <w:tblGrid>
        <w:gridCol w:w="10080"/>
      </w:tblGrid>
      <w:tr>
        <w:tc>
          <w:tcPr>
            <w:tcW w:type="dxa" w:w="10080"/>
            <w:shd w:val="clear" w:color="auto" w:fill="FDEFF6"/>
          </w:tcPr>
          <w:p>
            <w:r>
              <w:rPr>
                <w:b/>
                <w:color w:val="9D174D"/>
              </w:rPr>
              <w:t xml:space="preserve">TIP   </w:t>
            </w:r>
            <w:r>
              <w:rPr>
                <w:b w:val="0"/>
                <w:i w:val="0"/>
              </w:rPr>
              <w:t>Opinion steps: (1) lay or expert (is it specialized?); (2) lay: perception, helpfulness, not specialized; (3) expert: qualified for this opinion, helpful, no legal conclusions, no 704(b) mental-state opinion, no vouching; (4) basis and reliability (Rules 702(b)–(d) and 703; Week 11); (5) 403.</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33415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Wilmington University Corner</dc:creator>
  <cp:keywords/>
  <dc:description>generated by python-docx</dc:description>
  <cp:lastModifiedBy/>
  <cp:revision>1</cp:revision>
  <dcterms:created xsi:type="dcterms:W3CDTF">2013-12-23T23:15:00Z</dcterms:created>
  <dcterms:modified xsi:type="dcterms:W3CDTF">2013-12-23T23:15:00Z</dcterms:modified>
  <cp:category/>
</cp:coreProperties>
</file>