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Georgia" w:hAnsi="Georgia"/>
          <w:b/>
          <w:color w:val="1F3864"/>
          <w:sz w:val="60"/>
        </w:rPr>
        <w:t>CIVIL PROCEDURE</w:t>
      </w:r>
    </w:p>
    <w:p>
      <w:pPr>
        <w:pBdr>
          <w:bottom w:val="single" w:sz="18" w:space="6" w:color="C55A11"/>
        </w:pBdr>
      </w:pPr>
      <w:r>
        <w:rPr>
          <w:rFonts w:ascii="Georgia" w:hAnsi="Georgia"/>
          <w:color w:val="2E75B6"/>
          <w:sz w:val="32"/>
        </w:rPr>
        <w:t xml:space="preserve">Condensed Exam Outline  ·  Weeks 1–9</w:t>
      </w:r>
    </w:p>
    <w:p>
      <w:pPr>
        <w:spacing w:before="200"/>
      </w:pPr>
      <w:r>
        <w:rPr>
          <w:color w:val="595959"/>
          <w:sz w:val="22"/>
        </w:rPr>
        <w:t>Civil Procedure (40039) · Prof. Lisa D. Sparks · Wilmington University</w:t>
      </w:r>
    </w:p>
    <w:p>
      <w:pPr>
        <w:spacing w:before="120"/>
      </w:pPr>
      <w:r>
        <w:rPr>
          <w:i/>
          <w:color w:val="64748B"/>
        </w:rPr>
        <w:t>◆ Gray italic text</w:t>
      </w:r>
      <w:r>
        <w:t xml:space="preserve"> = general legal knowledge from outside the class materials (not in the syllabus readings, the rules supplement, the class slides, or your case files). Verify before relying on it.</w:t>
      </w:r>
    </w:p>
    <w:p>
      <w:pPr>
        <w:spacing w:before="60"/>
      </w:pPr>
      <w:r>
        <w:rPr>
          <w:color w:val="334155"/>
          <w:sz w:val="17"/>
        </w:rPr>
        <w:t xml:space="preserve">Case tags:  </w:t>
      </w:r>
      <w:r>
        <w:rPr>
          <w:b/>
          <w:color w:val="FFFFFF"/>
          <w:sz w:val="15"/>
          <w:shd w:val="clear" w:color="auto" w:fill="DC2626"/>
        </w:rPr>
        <w:t xml:space="preserve"> MAIN CASE </w:t>
      </w:r>
      <w:r>
        <w:rPr>
          <w:color w:val="334155"/>
          <w:sz w:val="17"/>
        </w:rPr>
        <w:t xml:space="preserve">  assigned on the syllabus    </w:t>
      </w:r>
      <w:r>
        <w:rPr>
          <w:b/>
          <w:color w:val="FFFFFF"/>
          <w:sz w:val="15"/>
          <w:shd w:val="clear" w:color="auto" w:fill="16A34A"/>
        </w:rPr>
        <w:t xml:space="preserve"> SLIDE REFERENCE </w:t>
      </w:r>
      <w:r>
        <w:rPr>
          <w:color w:val="334155"/>
          <w:sz w:val="17"/>
        </w:rPr>
        <w:t xml:space="preserve">  from the class slides    </w:t>
      </w:r>
      <w:r>
        <w:rPr>
          <w:b/>
          <w:color w:val="FFFFFF"/>
          <w:sz w:val="15"/>
          <w:shd w:val="clear" w:color="auto" w:fill="EA580C"/>
        </w:rPr>
        <w:t xml:space="preserve"> SUPPLEMENTAL READING </w:t>
      </w:r>
      <w:r>
        <w:rPr>
          <w:color w:val="334155"/>
          <w:sz w:val="17"/>
        </w:rPr>
        <w:t xml:space="preserve">  from your case files or the case law the assigned cases rely on    </w:t>
      </w:r>
    </w:p>
    <w:p>
      <w:pPr>
        <w:pStyle w:val="Heading1"/>
        <w:shd w:val="clear" w:color="auto" w:fill="1F3864"/>
      </w:pPr>
      <w:bookmarkStart w:id="0" w:name="_Toc900000"/>
      <w:r>
        <w:rPr>
          <w:b w:val="0"/>
        </w:rPr>
        <w:t>PART I — THE CIVIL JUSTICE SYSTEM</w:t>
      </w:r>
      <w:bookmarkEnd w:id="0"/>
    </w:p>
    <w:p>
      <w:pPr>
        <w:pStyle w:val="Heading2"/>
        <w:pBdr>
          <w:bottom w:val="single" w:sz="8" w:space="2" w:color="C55A11"/>
        </w:pBdr>
      </w:pPr>
      <w:bookmarkStart w:id="1" w:name="_Toc900001"/>
      <w:r>
        <w:rPr>
          <w:b w:val="0"/>
        </w:rPr>
        <w:t>1. Courts, Sources of Procedural Law, and the Life of a Lawsuit</w:t>
      </w:r>
      <w:bookmarkEnd w:id="1"/>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Federal courts are courts of </w:t>
            </w:r>
            <w:r>
              <w:rPr>
                <w:b/>
              </w:rPr>
              <w:t>limited</w:t>
            </w:r>
            <w:r>
              <w:t xml:space="preserve"> jurisdiction. A federal court may hear a case only if it falls within </w:t>
            </w:r>
            <w:r>
              <w:rPr>
                <w:color w:val="B91C1C"/>
                <w:shd w:val="clear" w:color="auto" w:fill="FDE2E2"/>
              </w:rPr>
              <w:t xml:space="preserve">(1) a category of the judicial power in Article III, § 2 </w:t>
            </w:r>
            <w:r>
              <w:rPr>
                <w:b/>
                <w:color w:val="B91C1C"/>
                <w:shd w:val="clear" w:color="auto" w:fill="FDE2E2"/>
              </w:rPr>
              <w:t xml:space="preserve">and</w:t>
            </w:r>
            <w:r>
              <w:rPr>
                <w:color w:val="B91C1C"/>
                <w:shd w:val="clear" w:color="auto" w:fill="FDE2E2"/>
              </w:rPr>
              <w:t xml:space="preserve"> </w:t>
            </w:r>
            <w:r>
              <w:rPr>
                <w:color w:val="C2410C"/>
                <w:shd w:val="clear" w:color="auto" w:fill="FFE7D1"/>
              </w:rPr>
              <w:t xml:space="preserve">(2) a statute in which Congress grants that jurisdiction to the lower courts.</w:t>
            </w:r>
            <w:r>
              <w:t xml:space="preserve"> State trial courts are courts of </w:t>
            </w:r>
            <w:r>
              <w:rPr>
                <w:b/>
              </w:rPr>
              <w:t>general</w:t>
            </w:r>
            <w:r>
              <w:t xml:space="preserve"> jurisdiction.</w:t>
            </w:r>
          </w:p>
        </w:tc>
      </w:tr>
    </w:tbl>
    <w:p>
      <w:pPr>
        <w:spacing w:after="0" w:line="100" w:lineRule="exact"/>
      </w:pPr>
    </w:p>
    <w:p>
      <w:pPr>
        <w:pStyle w:val="Heading3"/>
      </w:pPr>
      <w:r>
        <w:rPr>
          <w:b w:val="0"/>
        </w:rPr>
        <w:t>Two court systems</w:t>
      </w:r>
    </w:p>
    <w:p>
      <w:pPr>
        <w:pStyle w:val="ListBullet"/>
      </w:pPr>
      <w:r>
        <w:rPr>
          <w:b/>
        </w:rPr>
        <w:t>State systems</w:t>
      </w:r>
      <w:r>
        <w:t xml:space="preserve"> existed before the Constitution: trial courts of original jurisdiction, usually an intermediate appellate court (first appeal usually as of right), and a high court (further review usually discretionary).</w:t>
      </w:r>
    </w:p>
    <w:p>
      <w:pPr>
        <w:pStyle w:val="ListBullet"/>
      </w:pPr>
      <w:r>
        <w:rPr>
          <w:b/>
        </w:rPr>
        <w:t>Federal system:</w:t>
      </w:r>
      <w:r>
        <w:t xml:space="preserve"> Article III, § 1 creates the Supreme Court and lets Congress "ordain and establish" inferior courts, which it first did in the Judiciary Act of 1789. Today there are district courts (trial), circuit courts of appeals, and the Supreme Court, whose review is usually discretionary.</w:t>
      </w:r>
    </w:p>
    <w:p>
      <w:pPr>
        <w:pStyle w:val="ListBullet"/>
      </w:pPr>
      <w:r>
        <w:rPr>
          <w:b/>
        </w:rPr>
        <w:t>Supreme Court review of state courts:</w:t>
      </w:r>
      <w:r>
        <w:t xml:space="preserve"> when a state case turns on federal law, the Supreme Court is the court of last resort for both systems. This keeps federal law uniform (the slides' example: two state high courts reading the same federal felon-in-possession statute in opposite ways).</w:t>
      </w:r>
    </w:p>
    <w:p>
      <w:pPr>
        <w:pStyle w:val="ListBullet"/>
      </w:pPr>
      <w:r>
        <w:rPr>
          <w:b/>
        </w:rPr>
        <w:t>Concurrent jurisdiction is the default:</w:t>
      </w:r>
      <w:r>
        <w:t xml:space="preserve"> state courts may hear most federal claims. The plaintiff chooses the forum first, and the defendant may remove a case that could have been filed in federal court. Some claims are </w:t>
      </w:r>
      <w:r>
        <w:rPr>
          <w:b/>
        </w:rPr>
        <w:t>exclusively</w:t>
      </w:r>
      <w:r>
        <w:t xml:space="preserve"> federal (e.g., patent cases, 28 United States Code (U.S.C.) § 1338(a), as in Gunn).</w:t>
      </w:r>
    </w:p>
    <w:p>
      <w:pPr>
        <w:pStyle w:val="ListBullet"/>
      </w:pPr>
      <w:r>
        <w:rPr>
          <w:b/>
        </w:rPr>
        <w:t>Why limit federal jurisdiction (slides):</w:t>
      </w:r>
      <w:r>
        <w:t xml:space="preserve"> federal courts are better suited to interpret federal law, out-of-state litigants may face local bias, and the federal government has a direct interest in some cases.</w:t>
      </w:r>
    </w:p>
    <w:p>
      <w:pPr>
        <w:pStyle w:val="ListBullet"/>
      </w:pPr>
      <w:r>
        <w:rPr>
          <w:b/>
        </w:rPr>
        <w:t>Tactical reasons to prefer one system (slides):</w:t>
      </w:r>
      <w:r>
        <w:t xml:space="preserve"> convenience and familiarity, jury pools, speed, assignment of one judge for the whole case, local "home cooking," and differences in evidence, discovery and other procedural rules.</w:t>
      </w:r>
    </w:p>
    <w:p>
      <w:pPr>
        <w:pStyle w:val="Heading3"/>
      </w:pPr>
      <w:r>
        <w:rPr>
          <w:b w:val="0"/>
        </w:rPr>
        <w:t>Sources of procedural law (highest first)</w:t>
      </w:r>
    </w:p>
    <w:p>
      <w:pPr>
        <w:pBdr>
          <w:left w:val="single" w:sz="24" w:space="4" w:color="EF4444"/>
        </w:pBdr>
        <w:shd w:val="clear" w:color="auto" w:fill="FDE2E2"/>
        <w:ind w:left="360" w:hanging="288"/>
      </w:pPr>
      <w:r>
        <w:rPr>
          <w:b/>
          <w:color w:val="B91C1C"/>
        </w:rPr>
        <w:t xml:space="preserve">1.  </w:t>
      </w:r>
      <w:r>
        <w:rPr>
          <w:b/>
        </w:rPr>
        <w:t>Constitution:</w:t>
      </w:r>
      <w:r>
        <w:t xml:space="preserve"> Article III; the Necessary and Proper Clause (Art. I, § 8, cl. 18), which lets Congress implement the judicial power; Due Process (5th and 14th Amendments); and the 7th Amendment civil jury right.</w:t>
      </w:r>
    </w:p>
    <w:p>
      <w:pPr>
        <w:pBdr>
          <w:left w:val="single" w:sz="24" w:space="4" w:color="F97316"/>
        </w:pBdr>
        <w:shd w:val="clear" w:color="auto" w:fill="FFE7D1"/>
        <w:ind w:left="360" w:hanging="288"/>
      </w:pPr>
      <w:r>
        <w:rPr>
          <w:b/>
          <w:color w:val="C2410C"/>
        </w:rPr>
        <w:t xml:space="preserve">2.  </w:t>
      </w:r>
      <w:r>
        <w:rPr>
          <w:b/>
        </w:rPr>
        <w:t>Federal statutes:</w:t>
      </w:r>
      <w:r>
        <w:t xml:space="preserve"> mainly Title 28 (e.g., §§ 1331, 1332, 1367, 1391, 1404, 1406, 1441, 1446).</w:t>
      </w:r>
    </w:p>
    <w:p>
      <w:pPr>
        <w:pBdr>
          <w:left w:val="single" w:sz="24" w:space="4" w:color="EAB308"/>
        </w:pBdr>
        <w:shd w:val="clear" w:color="auto" w:fill="FDF1A8"/>
        <w:ind w:left="360" w:hanging="288"/>
      </w:pPr>
      <w:r>
        <w:rPr>
          <w:b/>
          <w:color w:val="854D0E"/>
        </w:rPr>
        <w:t xml:space="preserve">3.  </w:t>
      </w:r>
      <w:r>
        <w:rPr>
          <w:b/>
        </w:rPr>
        <w:t>Federal Rules of Civil Procedure (FRCP):</w:t>
      </w:r>
      <w:r>
        <w:t xml:space="preserve"> promulgated by the Supreme Court under the Rules Enabling Act (REA), 28 U.S.C. §§ 2071–2077, through the Judicial Conference and its Advisory Committee. The modern Rules took effect in 1938 and are amended over time.</w:t>
      </w:r>
    </w:p>
    <w:p>
      <w:pPr>
        <w:pBdr>
          <w:left w:val="single" w:sz="24" w:space="4" w:color="22C55E"/>
        </w:pBdr>
        <w:shd w:val="clear" w:color="auto" w:fill="D7F5E1"/>
        <w:ind w:left="360" w:hanging="288"/>
      </w:pPr>
      <w:r>
        <w:rPr>
          <w:b/>
          <w:color w:val="15803D"/>
        </w:rPr>
        <w:t xml:space="preserve">4.  </w:t>
      </w:r>
      <w:r>
        <w:rPr>
          <w:b/>
        </w:rPr>
        <w:t>Local rules</w:t>
      </w:r>
      <w:r>
        <w:t xml:space="preserve"> of each district court (Rule 83) and </w:t>
      </w:r>
      <w:r>
        <w:rPr>
          <w:b/>
        </w:rPr>
        <w:t>judges' standing orders.</w:t>
      </w:r>
    </w:p>
    <w:p>
      <w:pPr>
        <w:pStyle w:val="ListBullet"/>
      </w:pPr>
      <w:r>
        <w:t xml:space="preserve">Each lower source must be consistent with every higher one. Procedure governs </w:t>
      </w:r>
      <w:r>
        <w:rPr>
          <w:b/>
        </w:rPr>
        <w:t>how</w:t>
      </w:r>
      <w:r>
        <w:t xml:space="preserve"> rights are enforced, not </w:t>
      </w:r>
      <w:r>
        <w:rPr>
          <w:b/>
        </w:rPr>
        <w:t>who should win</w:t>
      </w:r>
      <w:r>
        <w:t>; that is substantive law.</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Rule 1:</w:t>
            </w:r>
            <w:r>
              <w:t xml:space="preserve"> the Rules govern all civil actions and proceedings in the United States district courts (except as stated in Rule 81) and "should be construed, administered, and employed by the court and the parties to secure the just, speedy, and inexpensive determination of every action and proceeding." </w:t>
            </w:r>
            <w:r>
              <w:rPr>
                <w:b/>
              </w:rPr>
              <w:t>Rule 2:</w:t>
            </w:r>
            <w:r>
              <w:t xml:space="preserve"> there is one form of action, the civil action. </w:t>
            </w:r>
            <w:r>
              <w:rPr>
                <w:b/>
              </w:rPr>
              <w:t>Rule 3:</w:t>
            </w:r>
            <w:r>
              <w:t xml:space="preserve"> a civil action is commenced by filing a complaint with the court.</w:t>
            </w:r>
          </w:p>
        </w:tc>
      </w:tr>
    </w:tbl>
    <w:p>
      <w:pPr>
        <w:spacing w:after="0" w:line="100" w:lineRule="exact"/>
      </w:pPr>
    </w:p>
    <w:p>
      <w:pPr>
        <w:pStyle w:val="Heading3"/>
      </w:pPr>
      <w:r>
        <w:rPr>
          <w:b w:val="0"/>
        </w:rPr>
        <w:t>The life cycle of a lawsuit (slides)</w:t>
      </w:r>
    </w:p>
    <w:p>
      <w:pPr>
        <w:pBdr>
          <w:left w:val="single" w:sz="24" w:space="4" w:color="EF4444"/>
        </w:pBdr>
        <w:shd w:val="clear" w:color="auto" w:fill="FDE2E2"/>
        <w:ind w:left="360" w:hanging="288"/>
      </w:pPr>
      <w:r>
        <w:rPr>
          <w:b/>
          <w:color w:val="B91C1C"/>
        </w:rPr>
        <w:t xml:space="preserve">1.  </w:t>
      </w:r>
      <w:r>
        <w:rPr>
          <w:b/>
        </w:rPr>
        <w:t>Pleadings:</w:t>
      </w:r>
      <w:r>
        <w:t xml:space="preserve"> the complaint (Rule 8(a)) and the answer or a pre-answer motion (Rule 12). Rule 7(a) lists the only pleadings allowed.</w:t>
      </w:r>
    </w:p>
    <w:p>
      <w:pPr>
        <w:pBdr>
          <w:left w:val="single" w:sz="24" w:space="4" w:color="F97316"/>
        </w:pBdr>
        <w:shd w:val="clear" w:color="auto" w:fill="FFE7D1"/>
        <w:ind w:left="360" w:hanging="288"/>
      </w:pPr>
      <w:r>
        <w:rPr>
          <w:b/>
          <w:color w:val="C2410C"/>
        </w:rPr>
        <w:t xml:space="preserve">2.  </w:t>
      </w:r>
      <w:r>
        <w:rPr>
          <w:b/>
        </w:rPr>
        <w:t>Service:</w:t>
      </w:r>
      <w:r>
        <w:t xml:space="preserve"> the summons and complaint must be delivered to the defendant (Rule 4). Proper service lets the case proceed and exposes a non-responding defendant to default.</w:t>
      </w:r>
    </w:p>
    <w:p>
      <w:pPr>
        <w:pBdr>
          <w:left w:val="single" w:sz="24" w:space="4" w:color="EAB308"/>
        </w:pBdr>
        <w:shd w:val="clear" w:color="auto" w:fill="FDF1A8"/>
        <w:ind w:left="360" w:hanging="288"/>
      </w:pPr>
      <w:r>
        <w:rPr>
          <w:b/>
          <w:color w:val="854D0E"/>
        </w:rPr>
        <w:t xml:space="preserve">3.  </w:t>
      </w:r>
      <w:r>
        <w:rPr>
          <w:b/>
        </w:rPr>
        <w:t>Early motions:</w:t>
      </w:r>
      <w:r>
        <w:t xml:space="preserve"> some defects are incurable (no subject-matter jurisdiction; a claim filed after the statute of limitations ran), others are curable by amendment or re-service (defective service; a complaint that omits an element). Rule 15(a) allows amendment once as a matter of course and otherwise with consent or leave, which the court "should freely give when justice so requires."</w:t>
      </w:r>
    </w:p>
    <w:p>
      <w:pPr>
        <w:pBdr>
          <w:left w:val="single" w:sz="24" w:space="4" w:color="22C55E"/>
        </w:pBdr>
        <w:shd w:val="clear" w:color="auto" w:fill="D7F5E1"/>
        <w:ind w:left="360" w:hanging="288"/>
      </w:pPr>
      <w:r>
        <w:rPr>
          <w:b/>
          <w:color w:val="15803D"/>
        </w:rPr>
        <w:t xml:space="preserve">4.  </w:t>
      </w:r>
      <w:r>
        <w:rPr>
          <w:b/>
        </w:rPr>
        <w:t>Discovery:</w:t>
      </w:r>
      <w:r>
        <w:t xml:space="preserve"> the most expensive and time-consuming stage. Rule 26(b)(1) allows discovery of any nonprivileged matter relevant to a claim or defense and proportional to the needs of the case, through interrogatories, requests for production and inspection, depositions, and requests for admission.</w:t>
      </w:r>
    </w:p>
    <w:p>
      <w:pPr>
        <w:pBdr>
          <w:left w:val="single" w:sz="24" w:space="4" w:color="3B82F6"/>
        </w:pBdr>
        <w:shd w:val="clear" w:color="auto" w:fill="DCE8FE"/>
        <w:ind w:left="360" w:hanging="288"/>
      </w:pPr>
      <w:r>
        <w:rPr>
          <w:b/>
          <w:color w:val="1D4ED8"/>
        </w:rPr>
        <w:t xml:space="preserve">5.  </w:t>
      </w:r>
      <w:r>
        <w:rPr>
          <w:b/>
        </w:rPr>
        <w:t>Pretrial management:</w:t>
      </w:r>
      <w:r>
        <w:t xml:space="preserve"> scheduling and pretrial conferences and orders (Rule 16).</w:t>
      </w:r>
    </w:p>
    <w:p>
      <w:pPr>
        <w:pBdr>
          <w:left w:val="single" w:sz="24" w:space="4" w:color="A855F7"/>
        </w:pBdr>
        <w:shd w:val="clear" w:color="auto" w:fill="EFE2FF"/>
        <w:ind w:left="360" w:hanging="288"/>
      </w:pPr>
      <w:r>
        <w:rPr>
          <w:b/>
          <w:color w:val="7E22CE"/>
        </w:rPr>
        <w:t xml:space="preserve">6.  </w:t>
      </w:r>
      <w:r>
        <w:rPr>
          <w:b/>
        </w:rPr>
        <w:t>Summary judgment (Rule 56):</w:t>
      </w:r>
      <w:r>
        <w:t xml:space="preserve"> granted if there is no genuine dispute as to any material fact and the movant is entitled to judgment as a matter of law.</w:t>
      </w:r>
    </w:p>
    <w:p>
      <w:pPr>
        <w:pBdr>
          <w:left w:val="single" w:sz="24" w:space="4" w:color="EF4444"/>
        </w:pBdr>
        <w:shd w:val="clear" w:color="auto" w:fill="FDE2E2"/>
        <w:ind w:left="360" w:hanging="288"/>
      </w:pPr>
      <w:r>
        <w:rPr>
          <w:b/>
          <w:color w:val="B91C1C"/>
        </w:rPr>
        <w:t xml:space="preserve">7.  </w:t>
      </w:r>
      <w:r>
        <w:rPr>
          <w:b/>
        </w:rPr>
        <w:t>Trial</w:t>
      </w:r>
      <w:r>
        <w:t xml:space="preserve"> (jury or bench), </w:t>
      </w:r>
      <w:r>
        <w:rPr>
          <w:b/>
        </w:rPr>
        <w:t>post-trial motions</w:t>
      </w:r>
      <w:r>
        <w:t xml:space="preserve">, </w:t>
      </w:r>
      <w:r>
        <w:rPr>
          <w:b/>
        </w:rPr>
        <w:t>judgment</w:t>
      </w:r>
      <w:r>
        <w:t xml:space="preserve">, and </w:t>
      </w:r>
      <w:r>
        <w:rPr>
          <w:b/>
        </w:rPr>
        <w:t>appeal</w:t>
      </w:r>
      <w:r>
        <w:t>, which reviews only claimed errors in the record below.</w:t>
      </w:r>
    </w:p>
    <w:p>
      <w:pPr>
        <w:pBdr>
          <w:left w:val="single" w:sz="24" w:space="4" w:color="F97316"/>
        </w:pBdr>
        <w:shd w:val="clear" w:color="auto" w:fill="FFE7D1"/>
        <w:ind w:left="360" w:hanging="288"/>
      </w:pPr>
      <w:r>
        <w:rPr>
          <w:b/>
          <w:color w:val="C2410C"/>
        </w:rPr>
        <w:t xml:space="preserve">8.  </w:t>
      </w:r>
      <w:r>
        <w:rPr>
          <w:b/>
        </w:rPr>
        <w:t>Preclusion:</w:t>
      </w:r>
      <w:r>
        <w:t xml:space="preserve"> a claim decided on the merits can't be relitigated (claim preclusion, or res judicata); an issue actually decided can't be relitigated (issue preclusion, or collateral estoppel).</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Every essay starts with the threshold questions in this order: (1) subject-matter jurisdiction (SMJ), the court's power over this type of case; (2) personal jurisdiction (PJ), the court's power over this defendant; (3) notice and service of process; and (4) venue, the right district. Then ask which law applies (Erie), and only then turn to pleading.</w:t>
            </w:r>
          </w:p>
        </w:tc>
      </w:tr>
    </w:tbl>
    <w:p>
      <w:pPr>
        <w:spacing w:after="0" w:line="100" w:lineRule="exact"/>
      </w:pPr>
    </w:p>
    <w:p>
      <w:pPr>
        <w:keepNext/>
        <w:pBdr>
          <w:left w:val="single" w:sz="18" w:space="6" w:color="16A34A"/>
        </w:pBdr>
        <w:spacing w:before="100" w:after="20"/>
        <w:ind w:left="173"/>
      </w:pPr>
      <w:r>
        <w:rPr>
          <w:b/>
          <w:color w:val="15803D"/>
          <w:sz w:val="21"/>
        </w:rPr>
        <w:t>Rannels v. S.E. Nichols, Inc., 591 F.2d 242 (3d Cir. 1979)</w:t>
      </w:r>
      <w:r>
        <w:rPr>
          <w:color w:val="15803D"/>
          <w:sz w:val="15"/>
        </w:rPr>
        <w:t xml:space="preserve">  </w:t>
      </w:r>
      <w:r>
        <w:rPr>
          <w:b/>
          <w:color w:val="FFFFFF"/>
          <w:sz w:val="15"/>
          <w:shd w:val="clear" w:color="auto" w:fill="16A34A"/>
        </w:rPr>
        <w:t xml:space="preserve"> SLIDE REFERENCE · CLASS 2 SLIDES </w:t>
      </w:r>
    </w:p>
    <w:p>
      <w:pPr>
        <w:keepNext/>
        <w:pBdr>
          <w:left w:val="single" w:sz="18" w:space="6" w:color="16A34A"/>
        </w:pBdr>
        <w:shd w:val="clear" w:color="auto" w:fill="EAF2FF"/>
        <w:spacing w:after="30"/>
        <w:ind w:left="173"/>
      </w:pPr>
      <w:r>
        <w:rPr>
          <w:b/>
          <w:color w:val="1D4ED8"/>
        </w:rPr>
        <w:t xml:space="preserve">Facts:  </w:t>
      </w:r>
      <w:r>
        <w:t>In a dispute over $2, a customer stopped payment on her check for $8 blue jeans she found defective. The store's assistant manager filed a bad-check criminal charge, and she was acquitted. She then sued the store in federal court (diversity) for malicious prosecution and defamation, alleging that the store's employees knew she had stopped payment over defective merchandise and had committed no crime. The district court dismissed for lack of "factual allegations" of no probable cause.</w:t>
      </w:r>
    </w:p>
    <w:p>
      <w:pPr>
        <w:keepNext/>
        <w:pBdr>
          <w:left w:val="single" w:sz="18" w:space="6" w:color="16A34A"/>
        </w:pBdr>
        <w:shd w:val="clear" w:color="auto" w:fill="E7F8EE"/>
        <w:spacing w:after="30"/>
        <w:ind w:left="173"/>
      </w:pPr>
      <w:r>
        <w:rPr>
          <w:b/>
          <w:color w:val="15803D"/>
        </w:rPr>
        <w:t xml:space="preserve">Held:  </w:t>
      </w:r>
      <w:r>
        <w:t>Reversed. Under Conley's notice pleading the complaint gave fair notice of the claim, Rule 9(b) lets malice be alleged generally, and the Rules abolished code pleading's distinction among "facts," "evidence," and "conclusions."</w:t>
      </w:r>
    </w:p>
    <w:p>
      <w:pPr>
        <w:pBdr>
          <w:left w:val="single" w:sz="18" w:space="6" w:color="16A34A"/>
        </w:pBdr>
        <w:shd w:val="clear" w:color="auto" w:fill="FEF6C2"/>
        <w:spacing w:after="80"/>
        <w:ind w:left="173"/>
      </w:pPr>
      <w:r>
        <w:rPr>
          <w:b/>
          <w:color w:val="8A6100"/>
        </w:rPr>
        <w:t xml:space="preserve">Why it matters:  </w:t>
      </w:r>
      <w:r>
        <w:t>Notice pleading at its most generous. Compare Twombly and Iqbal (Topic 19), which revived the line between factual allegations and legal conclusions.</w:t>
      </w:r>
    </w:p>
    <w:p>
      <w:pPr>
        <w:pStyle w:val="Heading1"/>
        <w:shd w:val="clear" w:color="auto" w:fill="1F3864"/>
      </w:pPr>
      <w:bookmarkStart w:id="2" w:name="_Toc900002"/>
      <w:r>
        <w:rPr>
          <w:b w:val="0"/>
        </w:rPr>
        <w:t>PART II — PERSONAL JURISDICTION</w:t>
      </w:r>
      <w:bookmarkEnd w:id="2"/>
    </w:p>
    <w:p>
      <w:pPr>
        <w:pStyle w:val="Heading2"/>
        <w:pBdr>
          <w:bottom w:val="single" w:sz="8" w:space="2" w:color="C55A11"/>
        </w:pBdr>
      </w:pPr>
      <w:bookmarkStart w:id="3" w:name="_Toc900003"/>
      <w:r>
        <w:rPr>
          <w:b w:val="0"/>
        </w:rPr>
        <w:t>2. The Personal Jurisdiction Framework</w:t>
      </w:r>
      <w:bookmarkEnd w:id="3"/>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 court may exercise personal jurisdiction over a defendant only if </w:t>
            </w:r>
            <w:r>
              <w:rPr>
                <w:color w:val="B91C1C"/>
                <w:shd w:val="clear" w:color="auto" w:fill="FDE2E2"/>
              </w:rPr>
              <w:t xml:space="preserve">(1) a statute or rule </w:t>
            </w:r>
            <w:r>
              <w:rPr>
                <w:b/>
                <w:color w:val="B91C1C"/>
                <w:shd w:val="clear" w:color="auto" w:fill="FDE2E2"/>
              </w:rPr>
              <w:t xml:space="preserve">authorizes</w:t>
            </w:r>
            <w:r>
              <w:rPr>
                <w:color w:val="B91C1C"/>
                <w:shd w:val="clear" w:color="auto" w:fill="FDE2E2"/>
              </w:rPr>
              <w:t xml:space="preserve"> it (the forum state's long-arm statute or, in federal court, Rule 4(k)) </w:t>
            </w:r>
            <w:r>
              <w:rPr>
                <w:b/>
                <w:color w:val="B91C1C"/>
                <w:shd w:val="clear" w:color="auto" w:fill="FDE2E2"/>
              </w:rPr>
              <w:t xml:space="preserve">and</w:t>
            </w:r>
            <w:r>
              <w:rPr>
                <w:color w:val="B91C1C"/>
                <w:shd w:val="clear" w:color="auto" w:fill="FDE2E2"/>
              </w:rPr>
              <w:t xml:space="preserve"> </w:t>
            </w:r>
            <w:r>
              <w:rPr>
                <w:color w:val="C2410C"/>
                <w:shd w:val="clear" w:color="auto" w:fill="FFE7D1"/>
              </w:rPr>
              <w:t xml:space="preserve">(2) exercising it is consistent with </w:t>
            </w:r>
            <w:r>
              <w:rPr>
                <w:b/>
                <w:color w:val="C2410C"/>
                <w:shd w:val="clear" w:color="auto" w:fill="FFE7D1"/>
              </w:rPr>
              <w:t xml:space="preserve">Due Process</w:t>
            </w:r>
            <w:r>
              <w:rPr>
                <w:color w:val="C2410C"/>
                <w:shd w:val="clear" w:color="auto" w:fill="FFE7D1"/>
              </w:rPr>
              <w:t xml:space="preserve"> (the 14th Amendment for state courts and for federal courts borrowing state reach; the 5th Amendment where a federal statute or Rule 4(k)(2) supplies nationwide reach).</w:t>
            </w:r>
            <w:r>
              <w:t xml:space="preserve"> Personal jurisdiction protects the defendant, so it can be </w:t>
            </w:r>
            <w:r>
              <w:rPr>
                <w:b/>
              </w:rPr>
              <w:t>waived</w:t>
            </w:r>
            <w:r>
              <w:t xml:space="preserve"> or </w:t>
            </w:r>
            <w:r>
              <w:rPr>
                <w:b/>
              </w:rPr>
              <w:t>consented to</w:t>
            </w:r>
            <w:r>
              <w:t>.</w:t>
            </w:r>
          </w:p>
        </w:tc>
      </w:tr>
    </w:tbl>
    <w:p>
      <w:pPr>
        <w:spacing w:after="0" w:line="100" w:lineRule="exact"/>
      </w:pPr>
    </w:p>
    <w:p>
      <w:pPr>
        <w:pStyle w:val="Heading3"/>
      </w:pPr>
      <w:r>
        <w:rPr>
          <w:b w:val="0"/>
        </w:rPr>
        <w:t>Order of analysis (PJ checklist)</w:t>
      </w:r>
    </w:p>
    <w:p>
      <w:pPr>
        <w:pBdr>
          <w:left w:val="single" w:sz="24" w:space="4" w:color="EF4444"/>
        </w:pBdr>
        <w:shd w:val="clear" w:color="auto" w:fill="FDE2E2"/>
        <w:ind w:left="360" w:hanging="288"/>
      </w:pPr>
      <w:r>
        <w:rPr>
          <w:b/>
          <w:color w:val="B91C1C"/>
        </w:rPr>
        <w:t xml:space="preserve">1.  </w:t>
      </w:r>
      <w:r>
        <w:rPr>
          <w:b/>
        </w:rPr>
        <w:t>Waiver or consent.</w:t>
      </w:r>
      <w:r>
        <w:t xml:space="preserve"> A defendant waives a PJ objection by leaving it out of its first Rule 12 motion or, if it makes no motion, its answer (Rule 12(g)(2), (h)(1)); by a general appearance; or by consenting (a forum-selection clause, Carnival Cruise Lines v. Shute (1991); a registration statute, Mallory v. Norfolk Southern Railway (2023)). A plaintiff consents to jurisdiction in the forum it chose (Adam v. Saenger (1938)).</w:t>
      </w:r>
    </w:p>
    <w:p>
      <w:pPr>
        <w:pBdr>
          <w:left w:val="single" w:sz="24" w:space="4" w:color="F97316"/>
        </w:pBdr>
        <w:shd w:val="clear" w:color="auto" w:fill="FFE7D1"/>
        <w:ind w:left="360" w:hanging="288"/>
      </w:pPr>
      <w:r>
        <w:rPr>
          <w:b/>
          <w:color w:val="C2410C"/>
        </w:rPr>
        <w:t xml:space="preserve">2.  </w:t>
      </w:r>
      <w:r>
        <w:rPr>
          <w:b/>
        </w:rPr>
        <w:t>Statutory authority in federal court, Rule 4(k).</w:t>
      </w:r>
      <w:r>
        <w:t xml:space="preserve"> 4(k)(1)(A), the default: the federal court reaches whoever a state court of general jurisdiction where it sits could reach. 4(k)(1)(B), the </w:t>
      </w:r>
      <w:r>
        <w:rPr>
          <w:b/>
        </w:rPr>
        <w:t>100-mile bulge</w:t>
      </w:r>
      <w:r>
        <w:t xml:space="preserve">: a party joined under Rule 14 or 19 and served within the United States not more than 100 miles from where the summons issued. 4(k)(1)(C): a federal statute authorizes service. 4(k)(2): a </w:t>
      </w:r>
      <w:r>
        <w:rPr>
          <w:b/>
        </w:rPr>
        <w:t>federal-law</w:t>
      </w:r>
      <w:r>
        <w:t xml:space="preserve"> claim against a defendant not subject to jurisdiction in any state's courts, if consistent with the Constitution and laws of the United States (contacts with the nation as a whole).</w:t>
      </w:r>
    </w:p>
    <w:p>
      <w:pPr>
        <w:pBdr>
          <w:left w:val="single" w:sz="24" w:space="4" w:color="EAB308"/>
        </w:pBdr>
        <w:shd w:val="clear" w:color="auto" w:fill="FDF1A8"/>
        <w:ind w:left="360" w:hanging="288"/>
      </w:pPr>
      <w:r>
        <w:rPr>
          <w:b/>
          <w:color w:val="854D0E"/>
        </w:rPr>
        <w:t xml:space="preserve">3.  </w:t>
      </w:r>
      <w:r>
        <w:rPr>
          <w:b/>
        </w:rPr>
        <w:t>Long-arm statute.</w:t>
      </w:r>
      <w:r>
        <w:t xml:space="preserve"> A statute that reaches to the constitutional limit (California) collapses into the due process analysis. An </w:t>
      </w:r>
      <w:r>
        <w:rPr>
          <w:b/>
        </w:rPr>
        <w:t>enumerated-acts</w:t>
      </w:r>
      <w:r>
        <w:t xml:space="preserve"> statute (New York's, in Bensusan) requires the facts to fit a listed act before you reach due process.</w:t>
      </w:r>
    </w:p>
    <w:p>
      <w:pPr>
        <w:pBdr>
          <w:left w:val="single" w:sz="24" w:space="4" w:color="22C55E"/>
        </w:pBdr>
        <w:shd w:val="clear" w:color="auto" w:fill="D7F5E1"/>
        <w:ind w:left="360" w:hanging="288"/>
      </w:pPr>
      <w:r>
        <w:rPr>
          <w:b/>
          <w:color w:val="15803D"/>
        </w:rPr>
        <w:t xml:space="preserve">4.  </w:t>
      </w:r>
      <w:r>
        <w:rPr>
          <w:b/>
        </w:rPr>
        <w:t>Due process.</w:t>
      </w:r>
      <w:r>
        <w:t xml:space="preserve"> Either a traditional basis (in-state service on an individual, domicile, consent, waiver or appearance) or International Shoe minimum contacts, through general or specific jurisdiction, plus fairness.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Keep PJ, SMJ, venue, and service separate. A court can have SMJ but no PJ. Technically perfect service doesn't create jurisdiction over a defendant without contacts. A PJ objection is waivable; an SMJ objection never is.</w:t>
            </w:r>
          </w:p>
        </w:tc>
      </w:tr>
    </w:tbl>
    <w:p>
      <w:pPr>
        <w:spacing w:after="0" w:line="100" w:lineRule="exact"/>
      </w:pPr>
    </w:p>
    <w:p>
      <w:pPr>
        <w:keepNext/>
        <w:pBdr>
          <w:left w:val="single" w:sz="18" w:space="6" w:color="EA580C"/>
        </w:pBdr>
        <w:spacing w:before="100" w:after="20"/>
        <w:ind w:left="173"/>
      </w:pPr>
      <w:r>
        <w:rPr>
          <w:b/>
          <w:color w:val="C2410C"/>
          <w:sz w:val="21"/>
        </w:rPr>
        <w:t>Bensusan Restaurant Corp. v. King, 126 F.3d 25 (2d Cir. 1997)</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The owner of the famous New York jazz club "The Blue Note" sued the owner of a small Missouri club of the same name for trademark infringement in New York over a website, created in Missouri, that described the Missouri club and listed a Missouri box-office number.</w:t>
      </w:r>
    </w:p>
    <w:p>
      <w:pPr>
        <w:keepNext/>
        <w:pBdr>
          <w:left w:val="single" w:sz="18" w:space="6" w:color="EA580C"/>
        </w:pBdr>
        <w:shd w:val="clear" w:color="auto" w:fill="E7F8EE"/>
        <w:spacing w:after="30"/>
        <w:ind w:left="173"/>
      </w:pPr>
      <w:r>
        <w:rPr>
          <w:b/>
          <w:color w:val="15803D"/>
        </w:rPr>
        <w:t xml:space="preserve">Held:  </w:t>
      </w:r>
      <w:r>
        <w:t>No jurisdiction under New York's long-arm statute. Committing a tort "within the state" requires the defendant's physical presence in New York, and any injury (customer confusion) occurred in Missouri, not New York. The court never reached due process.</w:t>
      </w:r>
    </w:p>
    <w:p>
      <w:pPr>
        <w:pBdr>
          <w:left w:val="single" w:sz="18" w:space="6" w:color="EA580C"/>
        </w:pBdr>
        <w:shd w:val="clear" w:color="auto" w:fill="FEF6C2"/>
        <w:spacing w:after="80"/>
        <w:ind w:left="173"/>
      </w:pPr>
      <w:r>
        <w:rPr>
          <w:b/>
          <w:color w:val="8A6100"/>
        </w:rPr>
        <w:t xml:space="preserve">Why it matters:  </w:t>
      </w:r>
      <w:r>
        <w:t>The statutory step can end the case: an enumerated-acts long-arm statute may be narrower than due process.</w:t>
      </w:r>
    </w:p>
    <w:p>
      <w:pPr>
        <w:pStyle w:val="Heading2"/>
        <w:pBdr>
          <w:bottom w:val="single" w:sz="8" w:space="2" w:color="C55A11"/>
        </w:pBdr>
      </w:pPr>
      <w:bookmarkStart w:id="4" w:name="_Toc900004"/>
      <w:r>
        <w:rPr>
          <w:b w:val="0"/>
        </w:rPr>
        <w:t>3. The Territorial Era</w:t>
      </w:r>
      <w:bookmarkEnd w:id="4"/>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Pennoyer:</w:t>
            </w:r>
            <w:r>
              <w:t xml:space="preserve"> each state has exclusive power over persons and property within its borders and none beyond them. </w:t>
            </w:r>
            <w:r>
              <w:rPr>
                <w:b/>
              </w:rPr>
              <w:t>In personam</w:t>
            </w:r>
            <w:r>
              <w:t xml:space="preserve"> jurisdiction over a nonresident requires </w:t>
            </w:r>
            <w:r>
              <w:rPr>
                <w:color w:val="B91C1C"/>
                <w:shd w:val="clear" w:color="auto" w:fill="FDE2E2"/>
              </w:rPr>
              <w:t xml:space="preserve">(1) personal service </w:t>
            </w:r>
            <w:r>
              <w:rPr>
                <w:b/>
                <w:color w:val="B91C1C"/>
                <w:shd w:val="clear" w:color="auto" w:fill="FDE2E2"/>
              </w:rPr>
              <w:t xml:space="preserve">within the state</w:t>
            </w:r>
            <w:r>
              <w:rPr>
                <w:color w:val="B91C1C"/>
                <w:shd w:val="clear" w:color="auto" w:fill="FDE2E2"/>
              </w:rPr>
              <w:t xml:space="preserve"> or </w:t>
            </w:r>
            <w:r>
              <w:rPr>
                <w:color w:val="C2410C"/>
                <w:shd w:val="clear" w:color="auto" w:fill="FFE7D1"/>
              </w:rPr>
              <w:t xml:space="preserve">(2) the defendant's </w:t>
            </w:r>
            <w:r>
              <w:rPr>
                <w:b/>
                <w:color w:val="C2410C"/>
                <w:shd w:val="clear" w:color="auto" w:fill="FFE7D1"/>
              </w:rPr>
              <w:t xml:space="preserve">voluntary appearance</w:t>
            </w:r>
            <w:r>
              <w:rPr>
                <w:color w:val="C2410C"/>
                <w:shd w:val="clear" w:color="auto" w:fill="FFE7D1"/>
              </w:rPr>
              <w:t xml:space="preserve">.</w:t>
            </w:r>
            <w:r>
              <w:t xml:space="preserve"> </w:t>
            </w:r>
            <w:r>
              <w:rPr>
                <w:b/>
              </w:rPr>
              <w:t>In rem</w:t>
            </w:r>
            <w:r>
              <w:t xml:space="preserve"> and </w:t>
            </w:r>
            <w:r>
              <w:rPr>
                <w:b/>
              </w:rPr>
              <w:t>quasi in rem</w:t>
            </w:r>
            <w:r>
              <w:t xml:space="preserve"> jurisdiction require that the property be </w:t>
            </w:r>
            <w:r>
              <w:rPr>
                <w:b/>
              </w:rPr>
              <w:t>attached at the outset</w:t>
            </w:r>
            <w:r>
              <w:t xml:space="preserve"> of the suit. A judgment entered without jurisdiction violates Due Process and is void; it can be attacked collaterally and isn't entitled to full faith and credit.</w:t>
            </w:r>
          </w:p>
        </w:tc>
      </w:tr>
    </w:tbl>
    <w:p>
      <w:pPr>
        <w:spacing w:after="0" w:line="100" w:lineRule="exact"/>
      </w:pPr>
    </w:p>
    <w:p>
      <w:pPr>
        <w:pStyle w:val="ListBullet"/>
      </w:pPr>
      <w:r>
        <w:rPr>
          <w:b/>
        </w:rPr>
        <w:t>Types of jurisdiction:</w:t>
      </w:r>
      <w:r>
        <w:t xml:space="preserve"> in personam (a personal judgment, enforceable in other states through full faith and credit); in rem (rights to the property itself, binding on everyone); quasi in rem (rights of particular persons in the property, or an unrelated claim collected only up to the value of property seized in the state).</w:t>
      </w:r>
    </w:p>
    <w:p>
      <w:pPr>
        <w:pStyle w:val="ListBullet"/>
      </w:pPr>
      <w:r>
        <w:rPr>
          <w:b/>
        </w:rPr>
        <w:t>Fictions that stretched Pennoyer:</w:t>
      </w:r>
      <w:r>
        <w:t xml:space="preserve"> implied consent (Hess), corporate "presence" through "doing business," and registration to do business treated as consent. International Shoe replaced them with a functional test.</w:t>
      </w:r>
    </w:p>
    <w:p>
      <w:pPr>
        <w:pStyle w:val="ListBullet"/>
      </w:pPr>
      <w:r>
        <w:rPr>
          <w:b/>
        </w:rPr>
        <w:t>Property today:</w:t>
      </w:r>
      <w:r>
        <w:t xml:space="preserve"> Shaffer v. Heitner (1977) held that "all assertions of state-court jurisdiction must be evaluated according to the standards set forth in International Shoe." Property in the state is one contact. It suffices when the suit is about the property itself, but not when the property is unrelated to the claim.</w:t>
      </w:r>
    </w:p>
    <w:p>
      <w:pPr>
        <w:pStyle w:val="Heading3"/>
      </w:pPr>
      <w:r>
        <w:rPr>
          <w:b w:val="0"/>
        </w:rPr>
        <w:t>Cases</w:t>
      </w:r>
    </w:p>
    <w:p>
      <w:pPr>
        <w:keepNext/>
        <w:pBdr>
          <w:left w:val="single" w:sz="18" w:space="6" w:color="DC2626"/>
        </w:pBdr>
        <w:spacing w:before="100" w:after="20"/>
        <w:ind w:left="173"/>
      </w:pPr>
      <w:r>
        <w:rPr>
          <w:b/>
          <w:color w:val="B91C1C"/>
          <w:sz w:val="21"/>
        </w:rPr>
        <w:t>Pennoyer v. Neff, 95 U.S. 714 (1878)</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Mitchell, an Oregon lawyer, sued Neff, a nonresident, in Oregon state court for unpaid fees and served him only by publication in a newspaper. Neff never appeared. Mitchell won a default judgment, and Neff's Oregon land, which had not been attached when the suit began, was later sold at a sheriff's sale to satisfy it and ended up with Pennoyer. Neff sued Pennoyer to recover the land.</w:t>
      </w:r>
    </w:p>
    <w:p>
      <w:pPr>
        <w:keepNext/>
        <w:pBdr>
          <w:left w:val="single" w:sz="18" w:space="6" w:color="DC2626"/>
        </w:pBdr>
        <w:shd w:val="clear" w:color="auto" w:fill="E7F8EE"/>
        <w:spacing w:after="30"/>
        <w:ind w:left="173"/>
      </w:pPr>
      <w:r>
        <w:rPr>
          <w:b/>
          <w:color w:val="15803D"/>
        </w:rPr>
        <w:t xml:space="preserve">Held:  </w:t>
      </w:r>
      <w:r>
        <w:t>For Neff. The Oregon judgment was void: there was no in-state service or appearance for in personam jurisdiction, and the land was not attached at the outset, so there was no in rem or quasi in rem jurisdiction. Publication can't support a personal judgment against a nonresident.</w:t>
      </w:r>
    </w:p>
    <w:p>
      <w:pPr>
        <w:pBdr>
          <w:left w:val="single" w:sz="18" w:space="6" w:color="DC2626"/>
        </w:pBdr>
        <w:shd w:val="clear" w:color="auto" w:fill="FEF6C2"/>
        <w:spacing w:after="80"/>
        <w:ind w:left="173"/>
      </w:pPr>
      <w:r>
        <w:rPr>
          <w:b/>
          <w:color w:val="8A6100"/>
        </w:rPr>
        <w:t xml:space="preserve">Why it matters:  </w:t>
      </w:r>
      <w:r>
        <w:t>The territorial foundation of PJ, and the first link between PJ and the 14th Amendment's Due Process Clause. International Shoe later replaced the presence test for absent defendants.</w:t>
      </w:r>
    </w:p>
    <w:p>
      <w:pPr>
        <w:keepNext/>
        <w:pBdr>
          <w:left w:val="single" w:sz="18" w:space="6" w:color="DC2626"/>
        </w:pBdr>
        <w:spacing w:before="100" w:after="20"/>
        <w:ind w:left="173"/>
      </w:pPr>
      <w:r>
        <w:rPr>
          <w:b/>
          <w:color w:val="B91C1C"/>
          <w:sz w:val="21"/>
        </w:rPr>
        <w:t>Hess v. Pawloski, 274 U.S. 352 (1927)</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Hess, a Pennsylvania resident, injured Pawloski while driving on a Massachusetts highway. A Massachusetts statute said a nonresident's use of its roads appointed the state Registrar of Motor Vehicles as the driver's agent for service in suits arising from accidents there, and it required that notice and a copy of the process be mailed to the defendant.</w:t>
      </w:r>
    </w:p>
    <w:p>
      <w:pPr>
        <w:keepNext/>
        <w:pBdr>
          <w:left w:val="single" w:sz="18" w:space="6" w:color="DC2626"/>
        </w:pBdr>
        <w:shd w:val="clear" w:color="auto" w:fill="E7F8EE"/>
        <w:spacing w:after="30"/>
        <w:ind w:left="173"/>
      </w:pPr>
      <w:r>
        <w:rPr>
          <w:b/>
          <w:color w:val="15803D"/>
        </w:rPr>
        <w:t xml:space="preserve">Held:  </w:t>
      </w:r>
      <w:r>
        <w:t xml:space="preserve">Valid. Because a state may regulate dangerous motor vehicles on its roads, it may treat a nonresident's driving as </w:t>
      </w:r>
      <w:r>
        <w:rPr>
          <w:b/>
        </w:rPr>
        <w:t>implied consent</w:t>
      </w:r>
      <w:r>
        <w:t xml:space="preserve"> to service on a state official, so long as the statute gives the defendant actual notice and a chance to defend.</w:t>
      </w:r>
    </w:p>
    <w:p>
      <w:pPr>
        <w:pBdr>
          <w:left w:val="single" w:sz="18" w:space="6" w:color="DC2626"/>
        </w:pBdr>
        <w:shd w:val="clear" w:color="auto" w:fill="FEF6C2"/>
        <w:spacing w:after="80"/>
        <w:ind w:left="173"/>
      </w:pPr>
      <w:r>
        <w:rPr>
          <w:b/>
          <w:color w:val="8A6100"/>
        </w:rPr>
        <w:t xml:space="preserve">Why it matters:  </w:t>
      </w:r>
      <w:r>
        <w:t>Shows Pennoyer bending through legal fictions. Under the modern test, driving into the state and causing an accident there is purposeful availment with a related claim.</w:t>
      </w:r>
    </w:p>
    <w:p>
      <w:pPr>
        <w:pStyle w:val="Heading2"/>
        <w:pBdr>
          <w:bottom w:val="single" w:sz="8" w:space="2" w:color="C55A11"/>
        </w:pBdr>
      </w:pPr>
      <w:bookmarkStart w:id="5" w:name="_Toc900005"/>
      <w:r>
        <w:rPr>
          <w:b w:val="0"/>
        </w:rPr>
        <w:t>4. The Shift to Minimum Contacts</w:t>
      </w:r>
      <w:bookmarkEnd w:id="5"/>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International Shoe:</w:t>
            </w:r>
            <w:r>
              <w:t xml:space="preserve"> if the defendant is not present in the forum, Due Process requires that it have </w:t>
            </w:r>
            <w:r>
              <w:rPr>
                <w:color w:val="B91C1C"/>
                <w:shd w:val="clear" w:color="auto" w:fill="FDE2E2"/>
              </w:rPr>
              <w:t xml:space="preserve">(1) </w:t>
            </w:r>
            <w:r>
              <w:rPr>
                <w:b/>
                <w:color w:val="B91C1C"/>
                <w:shd w:val="clear" w:color="auto" w:fill="FDE2E2"/>
              </w:rPr>
              <w:t xml:space="preserve">certain minimum contacts</w:t>
            </w:r>
            <w:r>
              <w:rPr>
                <w:color w:val="B91C1C"/>
                <w:shd w:val="clear" w:color="auto" w:fill="FDE2E2"/>
              </w:rPr>
              <w:t xml:space="preserve"> with the forum </w:t>
            </w:r>
            <w:r>
              <w:rPr>
                <w:color w:val="C2410C"/>
                <w:shd w:val="clear" w:color="auto" w:fill="FFE7D1"/>
              </w:rPr>
              <w:t xml:space="preserve">(2) such that maintaining the suit does not offend </w:t>
            </w:r>
            <w:r>
              <w:rPr>
                <w:b/>
                <w:color w:val="C2410C"/>
                <w:shd w:val="clear" w:color="auto" w:fill="FFE7D1"/>
              </w:rPr>
              <w:t xml:space="preserve">"traditional notions of fair play and substantial justice."</w:t>
            </w:r>
          </w:p>
        </w:tc>
      </w:tr>
    </w:tbl>
    <w:p>
      <w:pPr>
        <w:spacing w:after="0" w:line="100" w:lineRule="exact"/>
      </w:pPr>
    </w:p>
    <w:p>
      <w:pPr>
        <w:pStyle w:val="ListBullet"/>
      </w:pPr>
      <w:r>
        <w:rPr>
          <w:b/>
        </w:rPr>
        <w:t>The Shoe grid:</w:t>
      </w:r>
      <w:r>
        <w:t xml:space="preserve"> continuous and systematic activity plus a related claim supports jurisdiction; isolated activity plus an unrelated claim does not. A single or occasional act can support a </w:t>
      </w:r>
      <w:r>
        <w:rPr>
          <w:b/>
        </w:rPr>
        <w:t>related</w:t>
      </w:r>
      <w:r>
        <w:t xml:space="preserve"> claim (McGee). Continuous activity supports </w:t>
      </w:r>
      <w:r>
        <w:rPr>
          <w:b/>
        </w:rPr>
        <w:t>unrelated</w:t>
      </w:r>
      <w:r>
        <w:t xml:space="preserve"> claims only where it makes the defendant "at home" (Daimler, Topic 6).</w:t>
      </w:r>
    </w:p>
    <w:p>
      <w:pPr>
        <w:pStyle w:val="ListBullet"/>
      </w:pPr>
      <w:r>
        <w:rPr>
          <w:b/>
        </w:rPr>
        <w:t>Specific jurisdiction:</w:t>
      </w:r>
      <w:r>
        <w:t xml:space="preserve"> the claim arises out of or relates to the defendant's forum contacts (Topic 5). </w:t>
      </w:r>
      <w:r>
        <w:rPr>
          <w:b/>
        </w:rPr>
        <w:t>General jurisdiction:</w:t>
      </w:r>
      <w:r>
        <w:t xml:space="preserve"> any claim, because the defendant is at home in the forum (Topic 6).</w:t>
      </w:r>
    </w:p>
    <w:p>
      <w:pPr>
        <w:pStyle w:val="Heading3"/>
      </w:pPr>
      <w:r>
        <w:rPr>
          <w:b w:val="0"/>
        </w:rPr>
        <w:t>Cases</w:t>
      </w:r>
    </w:p>
    <w:p>
      <w:pPr>
        <w:keepNext/>
        <w:pBdr>
          <w:left w:val="single" w:sz="18" w:space="6" w:color="DC2626"/>
        </w:pBdr>
        <w:spacing w:before="100" w:after="20"/>
        <w:ind w:left="173"/>
      </w:pPr>
      <w:r>
        <w:rPr>
          <w:b/>
          <w:color w:val="B91C1C"/>
          <w:sz w:val="21"/>
        </w:rPr>
        <w:t>International Shoe Co. v. Washington, 326 U.S. 310 (1945)</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International Shoe, a Delaware corporation based in St. Louis, had no office or inventory in Washington. It employed 11 to 13 Washington-resident salesmen who showed samples and took orders there, which were filled from out of state, and it paid them over $31,000 a year in commissions. Washington sued for unpaid unemployment-fund contributions on those salesmen, serving one salesman in the state and mailing notice to headquarters.</w:t>
      </w:r>
    </w:p>
    <w:p>
      <w:pPr>
        <w:keepNext/>
        <w:pBdr>
          <w:left w:val="single" w:sz="18" w:space="6" w:color="DC2626"/>
        </w:pBdr>
        <w:shd w:val="clear" w:color="auto" w:fill="E7F8EE"/>
        <w:spacing w:after="30"/>
        <w:ind w:left="173"/>
      </w:pPr>
      <w:r>
        <w:rPr>
          <w:b/>
          <w:color w:val="15803D"/>
        </w:rPr>
        <w:t xml:space="preserve">Held:  </w:t>
      </w:r>
      <w:r>
        <w:t>Jurisdiction was proper. The company's systematic and continuous activity in Washington gave rise to the very obligation sued on, so the suit did not offend fair play and substantial justice.</w:t>
      </w:r>
    </w:p>
    <w:p>
      <w:pPr>
        <w:pBdr>
          <w:left w:val="single" w:sz="18" w:space="6" w:color="DC2626"/>
        </w:pBdr>
        <w:shd w:val="clear" w:color="auto" w:fill="FEF6C2"/>
        <w:spacing w:after="80"/>
        <w:ind w:left="173"/>
      </w:pPr>
      <w:r>
        <w:rPr>
          <w:b/>
          <w:color w:val="8A6100"/>
        </w:rPr>
        <w:t xml:space="preserve">Why it matters:  </w:t>
      </w:r>
      <w:r>
        <w:t>Replaced Pennoyer's physical-presence test for absent defendants with minimum contacts plus fairness, the test that governs every later case.</w:t>
      </w:r>
    </w:p>
    <w:p>
      <w:pPr>
        <w:keepNext/>
        <w:pBdr>
          <w:left w:val="single" w:sz="18" w:space="6" w:color="DC2626"/>
        </w:pBdr>
        <w:spacing w:before="100" w:after="20"/>
        <w:ind w:left="173"/>
      </w:pPr>
      <w:r>
        <w:rPr>
          <w:b/>
          <w:color w:val="B91C1C"/>
          <w:sz w:val="21"/>
        </w:rPr>
        <w:t>McGee v. International Life Insurance Co., 355 U.S. 220 (1957)</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A Texas insurer that took over a California resident's life policy mailed him a reinsurance offer in California. He accepted and mailed premiums from California until he died. The insurer had no office or agents in California and no other known business there. When it refused to pay, his beneficiary won a default judgment in California and sued on it in Texas.</w:t>
      </w:r>
    </w:p>
    <w:p>
      <w:pPr>
        <w:keepNext/>
        <w:pBdr>
          <w:left w:val="single" w:sz="18" w:space="6" w:color="DC2626"/>
        </w:pBdr>
        <w:shd w:val="clear" w:color="auto" w:fill="E7F8EE"/>
        <w:spacing w:after="30"/>
        <w:ind w:left="173"/>
      </w:pPr>
      <w:r>
        <w:rPr>
          <w:b/>
          <w:color w:val="15803D"/>
        </w:rPr>
        <w:t xml:space="preserve">Held:  </w:t>
      </w:r>
      <w:r>
        <w:t>California had jurisdiction, so Texas had to enforce the judgment. A suit "based on a contract which had substantial connection with" the forum satisfies due process.</w:t>
      </w:r>
    </w:p>
    <w:p>
      <w:pPr>
        <w:pBdr>
          <w:left w:val="single" w:sz="18" w:space="6" w:color="DC2626"/>
        </w:pBdr>
        <w:shd w:val="clear" w:color="auto" w:fill="FEF6C2"/>
        <w:spacing w:after="80"/>
        <w:ind w:left="173"/>
      </w:pPr>
      <w:r>
        <w:rPr>
          <w:b/>
          <w:color w:val="8A6100"/>
        </w:rPr>
        <w:t xml:space="preserve">Why it matters:  </w:t>
      </w:r>
      <w:r>
        <w:t>One deliberate contact can support specific jurisdiction over a related claim. The forum's "manifest interest" in giving its residents a way to sue insurers weighs heavily.</w:t>
      </w:r>
    </w:p>
    <w:p>
      <w:pPr>
        <w:keepNext/>
        <w:pBdr>
          <w:left w:val="single" w:sz="18" w:space="6" w:color="DC2626"/>
        </w:pBdr>
        <w:spacing w:before="100" w:after="20"/>
        <w:ind w:left="173"/>
      </w:pPr>
      <w:r>
        <w:rPr>
          <w:b/>
          <w:color w:val="B91C1C"/>
          <w:sz w:val="21"/>
        </w:rPr>
        <w:t>Hanson v. Denckla, 357 U.S. 235 (1958)</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A Pennsylvania domiciliary created a trust with a Delaware trustee and later moved to Florida, where she exercised a power of appointment and received trust income. After she died, her heirs fought over the trust, and the Florida courts asserted jurisdiction over the Delaware trustee, an indispensable party.</w:t>
      </w:r>
    </w:p>
    <w:p>
      <w:pPr>
        <w:keepNext/>
        <w:pBdr>
          <w:left w:val="single" w:sz="18" w:space="6" w:color="DC2626"/>
        </w:pBdr>
        <w:shd w:val="clear" w:color="auto" w:fill="E7F8EE"/>
        <w:spacing w:after="30"/>
        <w:ind w:left="173"/>
      </w:pPr>
      <w:r>
        <w:rPr>
          <w:b/>
          <w:color w:val="15803D"/>
        </w:rPr>
        <w:t xml:space="preserve">Held:  </w:t>
      </w:r>
      <w:r>
        <w:t>Florida lacked jurisdiction over the trustee. Its only Florida contacts existed because the settlor chose to move there, so the Florida judgment was invalid and Delaware didn't have to honor it.</w:t>
      </w:r>
    </w:p>
    <w:p>
      <w:pPr>
        <w:pBdr>
          <w:left w:val="single" w:sz="18" w:space="6" w:color="DC2626"/>
        </w:pBdr>
        <w:shd w:val="clear" w:color="auto" w:fill="FEF6C2"/>
        <w:spacing w:after="80"/>
        <w:ind w:left="173"/>
      </w:pPr>
      <w:r>
        <w:rPr>
          <w:b/>
          <w:color w:val="8A6100"/>
        </w:rPr>
        <w:t xml:space="preserve">Why it matters:  </w:t>
      </w:r>
      <w:r>
        <w:t xml:space="preserve">The source of </w:t>
      </w:r>
      <w:r>
        <w:rPr>
          <w:b/>
        </w:rPr>
        <w:t>purposeful availment</w:t>
      </w:r>
      <w:r>
        <w:t>: "the unilateral activity of those who claim some relationship with a nonresident defendant cannot satisfy the requirement of contact with the forum State." The defendant's own deliberate acts must create the contact.</w:t>
      </w:r>
    </w:p>
    <w:p>
      <w:pPr>
        <w:pStyle w:val="Heading2"/>
        <w:pBdr>
          <w:bottom w:val="single" w:sz="8" w:space="2" w:color="C55A11"/>
        </w:pBdr>
      </w:pPr>
      <w:bookmarkStart w:id="6" w:name="_Toc900006"/>
      <w:r>
        <w:rPr>
          <w:b w:val="0"/>
        </w:rPr>
        <w:t>5. Specific Jurisdiction and the Stream of Commerce</w:t>
      </w:r>
      <w:bookmarkEnd w:id="6"/>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Specific jurisdiction requires </w:t>
            </w:r>
            <w:r>
              <w:rPr>
                <w:color w:val="B91C1C"/>
                <w:shd w:val="clear" w:color="auto" w:fill="FDE2E2"/>
              </w:rPr>
              <w:t xml:space="preserve">(1) </w:t>
            </w:r>
            <w:r>
              <w:rPr>
                <w:b/>
                <w:color w:val="B91C1C"/>
                <w:shd w:val="clear" w:color="auto" w:fill="FDE2E2"/>
              </w:rPr>
              <w:t xml:space="preserve">purposeful availment</w:t>
            </w:r>
            <w:r>
              <w:rPr>
                <w:color w:val="B91C1C"/>
                <w:shd w:val="clear" w:color="auto" w:fill="FDE2E2"/>
              </w:rPr>
              <w:t xml:space="preserve">: the defendant's </w:t>
            </w:r>
            <w:r>
              <w:rPr>
                <w:b/>
                <w:color w:val="B91C1C"/>
                <w:shd w:val="clear" w:color="auto" w:fill="FDE2E2"/>
              </w:rPr>
              <w:t xml:space="preserve">own</w:t>
            </w:r>
            <w:r>
              <w:rPr>
                <w:color w:val="B91C1C"/>
                <w:shd w:val="clear" w:color="auto" w:fill="FDE2E2"/>
              </w:rPr>
              <w:t xml:space="preserve"> contacts, deliberately directed at the forum, so that it should reasonably anticipate being haled into court there; </w:t>
            </w:r>
            <w:r>
              <w:rPr>
                <w:color w:val="C2410C"/>
                <w:shd w:val="clear" w:color="auto" w:fill="FFE7D1"/>
              </w:rPr>
              <w:t xml:space="preserve">(2) </w:t>
            </w:r>
            <w:r>
              <w:rPr>
                <w:b/>
                <w:color w:val="C2410C"/>
                <w:shd w:val="clear" w:color="auto" w:fill="FFE7D1"/>
              </w:rPr>
              <w:t xml:space="preserve">relatedness</w:t>
            </w:r>
            <w:r>
              <w:rPr>
                <w:color w:val="C2410C"/>
                <w:shd w:val="clear" w:color="auto" w:fill="FFE7D1"/>
              </w:rPr>
              <w:t xml:space="preserve">: the claim "arises out of or relates to" those contacts; and </w:t>
            </w:r>
            <w:r>
              <w:rPr>
                <w:color w:val="854D0E"/>
                <w:shd w:val="clear" w:color="auto" w:fill="FDF1A8"/>
              </w:rPr>
              <w:t xml:space="preserve">(3) </w:t>
            </w:r>
            <w:r>
              <w:rPr>
                <w:b/>
                <w:color w:val="854D0E"/>
                <w:shd w:val="clear" w:color="auto" w:fill="FDF1A8"/>
              </w:rPr>
              <w:t xml:space="preserve">reasonableness</w:t>
            </w:r>
            <w:r>
              <w:rPr>
                <w:color w:val="854D0E"/>
                <w:shd w:val="clear" w:color="auto" w:fill="FDF1A8"/>
              </w:rPr>
              <w:t xml:space="preserve">: exercising jurisdiction comports with fair play and substantial justice.</w:t>
            </w:r>
            <w:r>
              <w:t xml:space="preserve"> The plaintiff bears the burden on the first two. The defendant must then present a "compelling case" that jurisdiction would be unreasonable (Burger King).</w:t>
            </w:r>
          </w:p>
        </w:tc>
      </w:tr>
    </w:tbl>
    <w:p>
      <w:pPr>
        <w:spacing w:after="0" w:line="100" w:lineRule="exact"/>
      </w:pPr>
    </w:p>
    <w:p>
      <w:pPr>
        <w:pStyle w:val="Heading3"/>
      </w:pPr>
      <w:r>
        <w:rPr>
          <w:b w:val="0"/>
        </w:rPr>
        <w:t>Purposeful availment</w:t>
      </w:r>
    </w:p>
    <w:p>
      <w:pPr>
        <w:pStyle w:val="ListBullet"/>
      </w:pPr>
      <w:r>
        <w:rPr>
          <w:b/>
        </w:rPr>
        <w:t>The defendant's acts, not the plaintiff's or a third party's</w:t>
      </w:r>
      <w:r>
        <w:t xml:space="preserve"> (Hanson; World-Wide Volkswagen). The analysis looks to the defendant's contacts </w:t>
      </w:r>
      <w:r>
        <w:rPr>
          <w:b/>
        </w:rPr>
        <w:t>with the forum state itself</w:t>
      </w:r>
      <w:r>
        <w:t>, not with persons who live there: "the plaintiff cannot be the only link" (Walden).</w:t>
      </w:r>
    </w:p>
    <w:p>
      <w:pPr>
        <w:pStyle w:val="ListBullet"/>
      </w:pPr>
      <w:r>
        <w:rPr>
          <w:b/>
        </w:rPr>
        <w:t>Foreseeability alone is not enough.</w:t>
      </w:r>
      <w:r>
        <w:t xml:space="preserve"> The question is whether the defendant's conduct and connection with the forum are such that it should reasonably anticipate being haled into court there (World-Wide Volkswagen).</w:t>
      </w:r>
    </w:p>
    <w:p>
      <w:pPr>
        <w:pStyle w:val="ListBullet"/>
      </w:pPr>
      <w:r>
        <w:rPr>
          <w:b/>
        </w:rPr>
        <w:t>Contracts:</w:t>
      </w:r>
      <w:r>
        <w:t xml:space="preserve"> a contract with a forum resident isn't automatically enough. Weigh prior negotiations, contemplated future consequences, the contract's terms (such as a choice-of-law clause), and the actual course of dealing (Burger King).</w:t>
      </w:r>
    </w:p>
    <w:p>
      <w:pPr>
        <w:pStyle w:val="ListBullet"/>
      </w:pPr>
      <w:r>
        <w:rPr>
          <w:b/>
        </w:rPr>
        <w:t>Intentional torts, the "effects" test:</w:t>
      </w:r>
      <w:r>
        <w:t xml:space="preserve"> intentional conduct </w:t>
      </w:r>
      <w:r>
        <w:rPr>
          <w:b/>
        </w:rPr>
        <w:t>expressly aimed</w:t>
      </w:r>
      <w:r>
        <w:t xml:space="preserve"> at the forum, causing harm the defendant knows will be felt there (Calder). Injury to a forum resident, without conduct aimed at the forum, is not enough (Walden; Burdick).</w:t>
      </w:r>
    </w:p>
    <w:p>
      <w:pPr>
        <w:pStyle w:val="ListBullet"/>
      </w:pPr>
      <w:r>
        <w:rPr>
          <w:b/>
        </w:rPr>
        <w:t>Internet contacts:</w:t>
      </w:r>
      <w:r>
        <w:t xml:space="preserve"> being accessible everywhere is not targeting anywhere. Courts ask whether the defendant expressly aimed its online activity at the forum. The Zippo sliding scale (Zippo Manufacturing Co. v. Zippo Dot Com, Inc. (W.D. Pa. 1997)) runs from passive websites (no jurisdiction) through interactive sites (depends on the level of interactivity and commercial nature) to actively doing business online (jurisdiction). Targeted local advertising plus a website is purposeful direction (Rio Properties, Topic 7).</w:t>
      </w:r>
    </w:p>
    <w:p>
      <w:pPr>
        <w:pStyle w:val="Heading3"/>
      </w:pPr>
      <w:r>
        <w:rPr>
          <w:b w:val="0"/>
        </w:rPr>
        <w:t>Stream of commerce (no majority test)</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419"/>
        <w:gridCol w:w="4637"/>
        <w:gridCol w:w="3024"/>
      </w:tblGrid>
      <w:tr>
        <w:trPr>
          <w:cantSplit/>
          <w:tblHeader/>
          <w:jc w:val="center"/>
        </w:trPr>
        <w:tc>
          <w:tcPr>
            <w:tcW w:w="2419"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Opinion</w:t>
            </w:r>
          </w:p>
        </w:tc>
        <w:tc>
          <w:tcPr>
            <w:tcW w:w="4637"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Test</w:t>
            </w:r>
          </w:p>
        </w:tc>
        <w:tc>
          <w:tcPr>
            <w:tcW w:w="3024"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Use on the exam</w:t>
            </w:r>
          </w:p>
        </w:tc>
      </w:tr>
      <w:tr>
        <w:trPr>
          <w:cantSplit/>
          <w:jc w:val="center"/>
        </w:trPr>
        <w:tc>
          <w:tcPr>
            <w:tcW w:w="2419"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World-Wide Volkswagen (1980), dicta</w:t>
            </w:r>
          </w:p>
        </w:tc>
        <w:tc>
          <w:tcPr>
            <w:tcW w:w="4637"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A manufacturer or distributor that delivers products into the stream of commerce </w:t>
            </w:r>
            <w:r>
              <w:rPr>
                <w:b/>
                <w:sz w:val="17"/>
              </w:rPr>
              <w:t>with the expectation</w:t>
            </w:r>
            <w:r>
              <w:rPr>
                <w:sz w:val="17"/>
              </w:rPr>
              <w:t xml:space="preserve"> that forum consumers will buy them is subject to suit there.</w:t>
            </w:r>
          </w:p>
        </w:tc>
        <w:tc>
          <w:tcPr>
            <w:tcW w:w="3024"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The New York retailer and regional distributor were not; the manufacturer and importer didn't contest jurisdiction.</w:t>
            </w:r>
          </w:p>
        </w:tc>
      </w:tr>
      <w:tr>
        <w:trPr>
          <w:cantSplit/>
          <w:jc w:val="center"/>
        </w:trPr>
        <w:tc>
          <w:tcPr>
            <w:tcW w:w="2419"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Asahi (1987), O'Connor (4 Justices)</w:t>
            </w:r>
          </w:p>
        </w:tc>
        <w:tc>
          <w:tcPr>
            <w:tcW w:w="4637"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b/>
                <w:sz w:val="17"/>
              </w:rPr>
              <w:t>Stream of commerce "plus":</w:t>
            </w:r>
            <w:r>
              <w:rPr>
                <w:sz w:val="17"/>
              </w:rPr>
              <w:t xml:space="preserve"> awareness that goods will reach the forum is not enough. Add conduct aimed at the forum: designing for it, advertising there, customer-service channels there, or marketing through a distributor that agreed to serve it.</w:t>
            </w:r>
          </w:p>
        </w:tc>
        <w:tc>
          <w:tcPr>
            <w:tcW w:w="3024"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No majority on contacts.</w:t>
            </w:r>
          </w:p>
        </w:tc>
      </w:tr>
      <w:tr>
        <w:trPr>
          <w:cantSplit/>
          <w:jc w:val="center"/>
        </w:trPr>
        <w:tc>
          <w:tcPr>
            <w:tcW w:w="2419"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Asahi, Brennan (4 Justices)</w:t>
            </w:r>
          </w:p>
        </w:tc>
        <w:tc>
          <w:tcPr>
            <w:tcW w:w="4637"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b/>
                <w:sz w:val="17"/>
              </w:rPr>
              <w:t>Pure stream of commerce:</w:t>
            </w:r>
            <w:r>
              <w:rPr>
                <w:sz w:val="17"/>
              </w:rPr>
              <w:t xml:space="preserve"> awareness that the final product is marketed in the forum through the regular, anticipated flow of commerce is enough.</w:t>
            </w:r>
          </w:p>
        </w:tc>
        <w:tc>
          <w:tcPr>
            <w:tcW w:w="3024"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Would have found minimum contacts.</w:t>
            </w:r>
          </w:p>
        </w:tc>
      </w:tr>
      <w:tr>
        <w:trPr>
          <w:cantSplit/>
          <w:jc w:val="center"/>
        </w:trPr>
        <w:tc>
          <w:tcPr>
            <w:tcW w:w="2419" w:type="dxa"/>
            <w:tcBorders>
              <w:top w:val="single" w:sz="4" w:space="0" w:color="BFC9D9"/>
              <w:left w:val="single" w:sz="24" w:space="0" w:color="22C55E"/>
              <w:bottom w:val="single" w:sz="4" w:space="0" w:color="BFC9D9"/>
              <w:right w:val="single" w:sz="4" w:space="0" w:color="BFC9D9"/>
            </w:tcBorders>
            <w:shd w:val="clear" w:color="auto" w:fill="E8F8EE"/>
          </w:tcPr>
          <w:p>
            <w:pPr>
              <w:spacing w:after="0" w:line="240" w:lineRule="auto"/>
            </w:pPr>
            <w:r>
              <w:rPr>
                <w:b/>
                <w:sz w:val="17"/>
              </w:rPr>
              <w:t>Asahi, Stevens</w:t>
            </w:r>
          </w:p>
        </w:tc>
        <w:tc>
          <w:tcPr>
            <w:tcW w:w="4637"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sz w:val="17"/>
              </w:rPr>
              <w:t xml:space="preserve">Consider the </w:t>
            </w:r>
            <w:r>
              <w:rPr>
                <w:b/>
                <w:sz w:val="17"/>
              </w:rPr>
              <w:t>volume, value, and hazardous character</w:t>
            </w:r>
            <w:r>
              <w:rPr>
                <w:sz w:val="17"/>
              </w:rPr>
              <w:t xml:space="preserve"> of the goods; regular delivery of large volumes over years is likely purposeful availment.</w:t>
            </w:r>
          </w:p>
        </w:tc>
        <w:tc>
          <w:tcPr>
            <w:tcW w:w="3024"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sz w:val="17"/>
              </w:rPr>
              <w:t>Middle position.</w:t>
            </w:r>
          </w:p>
        </w:tc>
      </w:tr>
      <w:tr>
        <w:trPr>
          <w:cantSplit/>
          <w:jc w:val="center"/>
        </w:trPr>
        <w:tc>
          <w:tcPr>
            <w:tcW w:w="2419" w:type="dxa"/>
            <w:tcBorders>
              <w:top w:val="single" w:sz="4" w:space="0" w:color="BFC9D9"/>
              <w:left w:val="single" w:sz="24" w:space="0" w:color="3B82F6"/>
              <w:bottom w:val="single" w:sz="4" w:space="0" w:color="BFC9D9"/>
              <w:right w:val="single" w:sz="4" w:space="0" w:color="BFC9D9"/>
            </w:tcBorders>
            <w:shd w:val="clear" w:color="auto" w:fill="E8F0FE"/>
          </w:tcPr>
          <w:p>
            <w:pPr>
              <w:spacing w:after="0" w:line="240" w:lineRule="auto"/>
            </w:pPr>
            <w:r>
              <w:rPr>
                <w:b/>
                <w:sz w:val="17"/>
              </w:rPr>
              <w:t>J. McIntyre (2011), Kennedy (4 Justices)</w:t>
            </w:r>
          </w:p>
        </w:tc>
        <w:tc>
          <w:tcPr>
            <w:tcW w:w="4637"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sz w:val="17"/>
              </w:rPr>
              <w:t xml:space="preserve">The defendant must </w:t>
            </w:r>
            <w:r>
              <w:rPr>
                <w:b/>
                <w:sz w:val="17"/>
              </w:rPr>
              <w:t>target the forum state</w:t>
            </w:r>
            <w:r>
              <w:rPr>
                <w:sz w:val="17"/>
              </w:rPr>
              <w:t>, not just the United States as a whole; jurisdiction depends on submitting to a particular sovereign.</w:t>
            </w:r>
          </w:p>
        </w:tc>
        <w:tc>
          <w:tcPr>
            <w:tcW w:w="3024"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sz w:val="17"/>
              </w:rPr>
              <w:t>No New Jersey jurisdiction.</w:t>
            </w:r>
          </w:p>
        </w:tc>
      </w:tr>
      <w:tr>
        <w:trPr>
          <w:cantSplit/>
          <w:jc w:val="center"/>
        </w:trPr>
        <w:tc>
          <w:tcPr>
            <w:tcW w:w="2419" w:type="dxa"/>
            <w:tcBorders>
              <w:top w:val="single" w:sz="4" w:space="0" w:color="BFC9D9"/>
              <w:left w:val="single" w:sz="24" w:space="0" w:color="A855F7"/>
              <w:bottom w:val="single" w:sz="4" w:space="0" w:color="BFC9D9"/>
              <w:right w:val="single" w:sz="4" w:space="0" w:color="BFC9D9"/>
            </w:tcBorders>
            <w:shd w:val="clear" w:color="auto" w:fill="F4ECFF"/>
          </w:tcPr>
          <w:p>
            <w:pPr>
              <w:spacing w:after="0" w:line="240" w:lineRule="auto"/>
            </w:pPr>
            <w:r>
              <w:rPr>
                <w:b/>
                <w:sz w:val="17"/>
              </w:rPr>
              <w:t>J. McIntyre, Breyer (2 Justices)</w:t>
            </w:r>
          </w:p>
        </w:tc>
        <w:tc>
          <w:tcPr>
            <w:tcW w:w="4637" w:type="dxa"/>
            <w:tcBorders>
              <w:top w:val="single" w:sz="4" w:space="0" w:color="BFC9D9"/>
              <w:left w:val="single" w:sz="4" w:space="0" w:color="BFC9D9"/>
              <w:bottom w:val="single" w:sz="4" w:space="0" w:color="BFC9D9"/>
              <w:right w:val="single" w:sz="4" w:space="0" w:color="BFC9D9"/>
            </w:tcBorders>
            <w:shd w:val="clear" w:color="auto" w:fill="F4ECFF"/>
          </w:tcPr>
          <w:p>
            <w:pPr>
              <w:spacing w:after="0" w:line="240" w:lineRule="auto"/>
            </w:pPr>
            <w:r>
              <w:rPr>
                <w:sz w:val="17"/>
              </w:rPr>
              <w:t xml:space="preserve">Decide on precedent: a </w:t>
            </w:r>
            <w:r>
              <w:rPr>
                <w:b/>
                <w:sz w:val="17"/>
              </w:rPr>
              <w:t>single isolated sale</w:t>
            </w:r>
            <w:r>
              <w:rPr>
                <w:sz w:val="17"/>
              </w:rPr>
              <w:t xml:space="preserve"> has never been enough under any Asahi test.</w:t>
            </w:r>
          </w:p>
        </w:tc>
        <w:tc>
          <w:tcPr>
            <w:tcW w:w="3024" w:type="dxa"/>
            <w:tcBorders>
              <w:top w:val="single" w:sz="4" w:space="0" w:color="BFC9D9"/>
              <w:left w:val="single" w:sz="4" w:space="0" w:color="BFC9D9"/>
              <w:bottom w:val="single" w:sz="4" w:space="0" w:color="BFC9D9"/>
              <w:right w:val="single" w:sz="4" w:space="0" w:color="BFC9D9"/>
            </w:tcBorders>
            <w:shd w:val="clear" w:color="auto" w:fill="F4ECFF"/>
          </w:tcPr>
          <w:p>
            <w:pPr>
              <w:spacing w:after="0" w:line="240" w:lineRule="auto"/>
            </w:pPr>
            <w:r>
              <w:rPr>
                <w:sz w:val="17"/>
              </w:rPr>
              <w:t>The narrowest ground; Ginsburg (3) dissented.</w:t>
            </w:r>
          </w:p>
        </w:tc>
      </w:tr>
    </w:tbl>
    <w:p>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On a stream-of-commerce question, apply both the O'Connor "plus" test and the Brennan awareness test, reach a result under each, and note that neither Asahi nor McIntyre produced a majority. If the defendant advertised in, designed for, or sold directly into the forum, every test is met (compare Ford). A single sale through an independent distributor fails every test (McIntyre, Breyer).</w:t>
            </w:r>
          </w:p>
        </w:tc>
      </w:tr>
    </w:tbl>
    <w:p>
      <w:pPr>
        <w:spacing w:after="0" w:line="100" w:lineRule="exact"/>
      </w:pPr>
    </w:p>
    <w:p>
      <w:pPr>
        <w:pStyle w:val="Heading3"/>
      </w:pPr>
      <w:r>
        <w:rPr>
          <w:b w:val="0"/>
        </w:rPr>
        <w:t>Relatedness: "arise out of or relate to"</w:t>
      </w:r>
    </w:p>
    <w:p>
      <w:pPr>
        <w:pStyle w:val="ListBullet"/>
      </w:pPr>
      <w:r>
        <w:rPr>
          <w:b/>
        </w:rPr>
        <w:t>Claim by claim:</w:t>
      </w:r>
      <w:r>
        <w:t xml:space="preserve"> there must be "an affiliation between the forum and the underlying controversy," judged for </w:t>
      </w:r>
      <w:r>
        <w:rPr>
          <w:b/>
        </w:rPr>
        <w:t>each plaintiff's</w:t>
      </w:r>
      <w:r>
        <w:t xml:space="preserve"> claims. A defendant's unrelated forum activity, however large, doesn't count, and neither do other plaintiffs' similar in-state claims (Bristol-Myers Squibb).</w:t>
      </w:r>
    </w:p>
    <w:p>
      <w:pPr>
        <w:pStyle w:val="ListBullet"/>
      </w:pPr>
      <w:r>
        <w:rPr>
          <w:b/>
        </w:rPr>
        <w:t>Causation is not required:</w:t>
      </w:r>
      <w:r>
        <w:t xml:space="preserve"> "relate to" is satisfied when the defendant </w:t>
      </w:r>
      <w:r>
        <w:rPr>
          <w:b/>
        </w:rPr>
        <w:t>systematically serves a market in the forum for the very product</w:t>
      </w:r>
      <w:r>
        <w:t xml:space="preserve"> that malfunctioned there and injured a forum resident, even if that particular item was designed, made, and first sold elsewhere (Ford). "Relate to" still has real limits.</w:t>
      </w:r>
    </w:p>
    <w:p>
      <w:pPr>
        <w:pStyle w:val="ListBullet"/>
      </w:pPr>
      <w:r>
        <w:rPr>
          <w:b/>
        </w:rPr>
        <w:t>Synthesis:</w:t>
      </w:r>
      <w:r>
        <w:t xml:space="preserve"> relatedness is met by causation, or by a close affiliation (same product, marketed in the forum, used and causing injury there, resident plaintiff). It fails when the plaintiff, the purchase, and the injury are all elsewhere (Bristol-Myers Squibb).</w:t>
      </w:r>
    </w:p>
    <w:p>
      <w:pPr>
        <w:pStyle w:val="Heading3"/>
      </w:pPr>
      <w:r>
        <w:rPr>
          <w:b w:val="0"/>
        </w:rPr>
        <w:t>Reasonableness ("fair play and substantial justice")</w:t>
      </w:r>
    </w:p>
    <w:p>
      <w:pPr>
        <w:pBdr>
          <w:left w:val="single" w:sz="24" w:space="4" w:color="EF4444"/>
        </w:pBdr>
        <w:shd w:val="clear" w:color="auto" w:fill="FDE2E2"/>
        <w:ind w:left="360" w:hanging="288"/>
      </w:pPr>
      <w:r>
        <w:rPr>
          <w:b/>
          <w:color w:val="B91C1C"/>
        </w:rPr>
        <w:t xml:space="preserve">1.  </w:t>
      </w:r>
      <w:r>
        <w:t xml:space="preserve">The </w:t>
      </w:r>
      <w:r>
        <w:rPr>
          <w:b/>
        </w:rPr>
        <w:t>burden on the defendant</w:t>
      </w:r>
      <w:r>
        <w:t>, which is heaviest for a foreign defendant (Asahi).</w:t>
      </w:r>
    </w:p>
    <w:p>
      <w:pPr>
        <w:pBdr>
          <w:left w:val="single" w:sz="24" w:space="4" w:color="F97316"/>
        </w:pBdr>
        <w:shd w:val="clear" w:color="auto" w:fill="FFE7D1"/>
        <w:ind w:left="360" w:hanging="288"/>
      </w:pPr>
      <w:r>
        <w:rPr>
          <w:b/>
          <w:color w:val="C2410C"/>
        </w:rPr>
        <w:t xml:space="preserve">2.  </w:t>
      </w:r>
      <w:r>
        <w:t xml:space="preserve">The </w:t>
      </w:r>
      <w:r>
        <w:rPr>
          <w:b/>
        </w:rPr>
        <w:t>forum state's interest</w:t>
      </w:r>
      <w:r>
        <w:t xml:space="preserve"> in adjudicating, especially in protecting its residents (McGee).</w:t>
      </w:r>
    </w:p>
    <w:p>
      <w:pPr>
        <w:pBdr>
          <w:left w:val="single" w:sz="24" w:space="4" w:color="EAB308"/>
        </w:pBdr>
        <w:shd w:val="clear" w:color="auto" w:fill="FDF1A8"/>
        <w:ind w:left="360" w:hanging="288"/>
      </w:pPr>
      <w:r>
        <w:rPr>
          <w:b/>
          <w:color w:val="854D0E"/>
        </w:rPr>
        <w:t xml:space="preserve">3.  </w:t>
      </w:r>
      <w:r>
        <w:t xml:space="preserve">The </w:t>
      </w:r>
      <w:r>
        <w:rPr>
          <w:b/>
        </w:rPr>
        <w:t>plaintiff's interest</w:t>
      </w:r>
      <w:r>
        <w:t xml:space="preserve"> in convenient and effective relief.</w:t>
      </w:r>
    </w:p>
    <w:p>
      <w:pPr>
        <w:pBdr>
          <w:left w:val="single" w:sz="24" w:space="4" w:color="22C55E"/>
        </w:pBdr>
        <w:shd w:val="clear" w:color="auto" w:fill="D7F5E1"/>
        <w:ind w:left="360" w:hanging="288"/>
      </w:pPr>
      <w:r>
        <w:rPr>
          <w:b/>
          <w:color w:val="15803D"/>
        </w:rPr>
        <w:t xml:space="preserve">4.  </w:t>
      </w:r>
      <w:r>
        <w:t xml:space="preserve">The </w:t>
      </w:r>
      <w:r>
        <w:rPr>
          <w:b/>
        </w:rPr>
        <w:t>interstate judicial system's interest</w:t>
      </w:r>
      <w:r>
        <w:t xml:space="preserve"> in the most efficient resolution.</w:t>
      </w:r>
    </w:p>
    <w:p>
      <w:pPr>
        <w:pBdr>
          <w:left w:val="single" w:sz="24" w:space="4" w:color="3B82F6"/>
        </w:pBdr>
        <w:shd w:val="clear" w:color="auto" w:fill="DCE8FE"/>
        <w:ind w:left="360" w:hanging="288"/>
      </w:pPr>
      <w:r>
        <w:rPr>
          <w:b/>
          <w:color w:val="1D4ED8"/>
        </w:rPr>
        <w:t xml:space="preserve">5.  </w:t>
      </w:r>
      <w:r>
        <w:t xml:space="preserve">The </w:t>
      </w:r>
      <w:r>
        <w:rPr>
          <w:b/>
        </w:rPr>
        <w:t>shared interest of the states</w:t>
      </w:r>
      <w:r>
        <w:t xml:space="preserve"> in furthering fundamental substantive social policies (and, for foreign defendants, international comity, Asahi).</w:t>
      </w:r>
    </w:p>
    <w:p>
      <w:pPr>
        <w:pStyle w:val="ListBullet"/>
      </w:pPr>
      <w:r>
        <w:t xml:space="preserve">Reasonableness rarely defeats jurisdiction. With strong contacts, the defendant needs a </w:t>
      </w:r>
      <w:r>
        <w:rPr>
          <w:b/>
        </w:rPr>
        <w:t>compelling</w:t>
      </w:r>
      <w:r>
        <w:t xml:space="preserve"> case (Burger King). With weak contacts, strong fairness factors </w:t>
      </w:r>
      <w:r>
        <w:rPr>
          <w:b/>
        </w:rPr>
        <w:t>can't</w:t>
      </w:r>
      <w:r>
        <w:t xml:space="preserve"> make up the difference (World-Wide Volkswagen). Asahi is the Supreme Court's example of contacts (assumed) plus unreasonableness.</w:t>
      </w:r>
    </w:p>
    <w:p>
      <w:pPr>
        <w:pStyle w:val="Heading3"/>
      </w:pPr>
      <w:r>
        <w:rPr>
          <w:b w:val="0"/>
        </w:rPr>
        <w:t>Cases</w:t>
      </w:r>
    </w:p>
    <w:p>
      <w:pPr>
        <w:keepNext/>
        <w:pBdr>
          <w:left w:val="single" w:sz="18" w:space="6" w:color="DC2626"/>
        </w:pBdr>
        <w:spacing w:before="100" w:after="20"/>
        <w:ind w:left="173"/>
      </w:pPr>
      <w:r>
        <w:rPr>
          <w:b/>
          <w:color w:val="B91C1C"/>
          <w:sz w:val="21"/>
        </w:rPr>
        <w:t>World-Wide Volkswagen Corp. v. Woodson, 444 U.S. 286 (1980)</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The Robinsons, New York residents, bought an Audi from a New York dealer (Seaway). While driving to Arizona, they were rear-ended in Oklahoma, and the car caught fire, badly burning Kay Robinson and two children. They sued in Oklahoma state court, naming the manufacturer (Audi), the importer (Volkswagen of America), the regional distributor for New York, New Jersey and Connecticut (World-Wide), and the dealer. World-Wide and Seaway did no business of any kind in Oklahoma.</w:t>
      </w:r>
    </w:p>
    <w:p>
      <w:pPr>
        <w:keepNext/>
        <w:pBdr>
          <w:left w:val="single" w:sz="18" w:space="6" w:color="DC2626"/>
        </w:pBdr>
        <w:shd w:val="clear" w:color="auto" w:fill="E7F8EE"/>
        <w:spacing w:after="30"/>
        <w:ind w:left="173"/>
      </w:pPr>
      <w:r>
        <w:rPr>
          <w:b/>
          <w:color w:val="15803D"/>
        </w:rPr>
        <w:t xml:space="preserve">Held:  </w:t>
      </w:r>
      <w:r>
        <w:t>No jurisdiction over the distributor or the dealer. The Robinsons' decision to drive the car to Oklahoma was unilateral activity, and the mere foreseeability that a car might travel there isn't a contact.</w:t>
      </w:r>
    </w:p>
    <w:p>
      <w:pPr>
        <w:pBdr>
          <w:left w:val="single" w:sz="18" w:space="6" w:color="DC2626"/>
        </w:pBdr>
        <w:shd w:val="clear" w:color="auto" w:fill="FEF6C2"/>
        <w:spacing w:after="80"/>
        <w:ind w:left="173"/>
      </w:pPr>
      <w:r>
        <w:rPr>
          <w:b/>
          <w:color w:val="8A6100"/>
        </w:rPr>
        <w:t xml:space="preserve">Why it matters:  </w:t>
      </w:r>
      <w:r>
        <w:t>Foreseeability means the defendant should reasonably anticipate being haled into court in the forum. The case's dicta started the stream-of-commerce theory, and it holds that fairness factors can't substitute for missing contacts.</w:t>
      </w:r>
    </w:p>
    <w:p>
      <w:pPr>
        <w:keepNext/>
        <w:pBdr>
          <w:left w:val="single" w:sz="18" w:space="6" w:color="DC2626"/>
        </w:pBdr>
        <w:spacing w:before="100" w:after="20"/>
        <w:ind w:left="173"/>
      </w:pPr>
      <w:r>
        <w:rPr>
          <w:b/>
          <w:color w:val="B91C1C"/>
          <w:sz w:val="21"/>
        </w:rPr>
        <w:t>Asahi Metal Industry Co. v. Superior Court, 480 U.S. 102 (1987)</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A California motorcyclist was injured in a 1978 crash allegedly caused by a defective tire tube. He sued the Taiwanese tube maker, Cheng Shin, which cross-claimed for indemnity against Asahi, the Japanese maker of the tube's valve assembly. Asahi sold valves to Cheng Shin in Taiwan, knowing some finished tubes would be sold in California, but did no business in California itself. The plaintiff settled, leaving only the indemnity claim between the two foreign companies.</w:t>
      </w:r>
    </w:p>
    <w:p>
      <w:pPr>
        <w:keepNext/>
        <w:pBdr>
          <w:left w:val="single" w:sz="18" w:space="6" w:color="DC2626"/>
        </w:pBdr>
        <w:shd w:val="clear" w:color="auto" w:fill="E7F8EE"/>
        <w:spacing w:after="30"/>
        <w:ind w:left="173"/>
      </w:pPr>
      <w:r>
        <w:rPr>
          <w:b/>
          <w:color w:val="15803D"/>
        </w:rPr>
        <w:t xml:space="preserve">Held:  </w:t>
      </w:r>
      <w:r>
        <w:t xml:space="preserve">No jurisdiction. Eight Justices agreed that jurisdiction would be </w:t>
      </w:r>
      <w:r>
        <w:rPr>
          <w:b/>
        </w:rPr>
        <w:t>unreasonable</w:t>
      </w:r>
      <w:r>
        <w:t>: a heavy burden on a Japanese defendant, a slight California interest in an indemnity dispute between foreign companies, and international comity. No majority decided whether Asahi even had minimum contacts.</w:t>
      </w:r>
    </w:p>
    <w:p>
      <w:pPr>
        <w:pBdr>
          <w:left w:val="single" w:sz="18" w:space="6" w:color="DC2626"/>
        </w:pBdr>
        <w:shd w:val="clear" w:color="auto" w:fill="FEF6C2"/>
        <w:spacing w:after="80"/>
        <w:ind w:left="173"/>
      </w:pPr>
      <w:r>
        <w:rPr>
          <w:b/>
          <w:color w:val="8A6100"/>
        </w:rPr>
        <w:t xml:space="preserve">Why it matters:  </w:t>
      </w:r>
      <w:r>
        <w:t>The stream-of-commerce split (O'Connor's "plus" versus Brennan's awareness test) and the leading case in which the fairness factors alone defeated jurisdiction.</w:t>
      </w:r>
    </w:p>
    <w:p>
      <w:pPr>
        <w:keepNext/>
        <w:pBdr>
          <w:left w:val="single" w:sz="18" w:space="6" w:color="DC2626"/>
        </w:pBdr>
        <w:spacing w:before="100" w:after="20"/>
        <w:ind w:left="173"/>
      </w:pPr>
      <w:r>
        <w:rPr>
          <w:b/>
          <w:color w:val="B91C1C"/>
          <w:sz w:val="21"/>
        </w:rPr>
        <w:t>J. McIntyre Machinery, Ltd. v. Nicastro, 564 U.S. 873 (2011)</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Nicastro injured his hand in New Jersey on a metal-shearing machine made by J. McIntyre in England. McIntyre sold in the United States through an independent Ohio distributor and attended trade shows in other states. No more than four of its machines (perhaps only this one) ended up in New Jersey, and it had no office, employees, advertising, or property there.</w:t>
      </w:r>
    </w:p>
    <w:p>
      <w:pPr>
        <w:keepNext/>
        <w:pBdr>
          <w:left w:val="single" w:sz="18" w:space="6" w:color="DC2626"/>
        </w:pBdr>
        <w:shd w:val="clear" w:color="auto" w:fill="E7F8EE"/>
        <w:spacing w:after="30"/>
        <w:ind w:left="173"/>
      </w:pPr>
      <w:r>
        <w:rPr>
          <w:b/>
          <w:color w:val="15803D"/>
        </w:rPr>
        <w:t xml:space="preserve">Held:  </w:t>
      </w:r>
      <w:r>
        <w:t>No New Jersey jurisdiction (6–3, no majority opinion). The Kennedy plurality required targeting of New Jersey itself. Breyer's concurrence, the controlling narrower ground, held that a single isolated sale is insufficient under any existing test.</w:t>
      </w:r>
    </w:p>
    <w:p>
      <w:pPr>
        <w:pBdr>
          <w:left w:val="single" w:sz="18" w:space="6" w:color="DC2626"/>
        </w:pBdr>
        <w:shd w:val="clear" w:color="auto" w:fill="FEF6C2"/>
        <w:spacing w:after="80"/>
        <w:ind w:left="173"/>
      </w:pPr>
      <w:r>
        <w:rPr>
          <w:b/>
          <w:color w:val="8A6100"/>
        </w:rPr>
        <w:t xml:space="preserve">Why it matters:  </w:t>
      </w:r>
      <w:r>
        <w:t>The latest word on stream of commerce, and it still has no majority test. Targeting the United States as a whole is not targeting each state.</w:t>
      </w:r>
    </w:p>
    <w:p>
      <w:pPr>
        <w:keepNext/>
        <w:pBdr>
          <w:left w:val="single" w:sz="18" w:space="6" w:color="DC2626"/>
        </w:pBdr>
        <w:spacing w:before="100" w:after="20"/>
        <w:ind w:left="173"/>
      </w:pPr>
      <w:r>
        <w:rPr>
          <w:b/>
          <w:color w:val="B91C1C"/>
          <w:sz w:val="21"/>
        </w:rPr>
        <w:t>Bristol-Myers Squibb Co. v. Superior Court of California, 582 U.S. 255 (2017)</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About 600 plaintiffs, 86 from California and 592 from other states, sued Bristol-Myers Squibb (BMS), a Delaware corporation headquartered in New York, in California state court over the drug Plavix. BMS sold Plavix in California and had research staff there, but the nonresidents didn't buy, take, or get injured by Plavix in California.</w:t>
      </w:r>
    </w:p>
    <w:p>
      <w:pPr>
        <w:keepNext/>
        <w:pBdr>
          <w:left w:val="single" w:sz="18" w:space="6" w:color="DC2626"/>
        </w:pBdr>
        <w:shd w:val="clear" w:color="auto" w:fill="E7F8EE"/>
        <w:spacing w:after="30"/>
        <w:ind w:left="173"/>
      </w:pPr>
      <w:r>
        <w:rPr>
          <w:b/>
          <w:color w:val="15803D"/>
        </w:rPr>
        <w:t xml:space="preserve">Held:  </w:t>
      </w:r>
      <w:r>
        <w:t>No specific jurisdiction over the nonresidents' claims (8–1). Their claims had no connection to California. BMS's unrelated California activity, and the residents' similar claims, didn't supply one, and the California court's "sliding scale" approach was rejected.</w:t>
      </w:r>
    </w:p>
    <w:p>
      <w:pPr>
        <w:pBdr>
          <w:left w:val="single" w:sz="18" w:space="6" w:color="DC2626"/>
        </w:pBdr>
        <w:shd w:val="clear" w:color="auto" w:fill="FEF6C2"/>
        <w:spacing w:after="80"/>
        <w:ind w:left="173"/>
      </w:pPr>
      <w:r>
        <w:rPr>
          <w:b/>
          <w:color w:val="8A6100"/>
        </w:rPr>
        <w:t xml:space="preserve">Why it matters:  </w:t>
      </w:r>
      <w:r>
        <w:t>Relatedness is judged claim by claim and plaintiff by plaintiff; nonresident plaintiffs can't piggyback on residents in a mass action.</w:t>
      </w:r>
    </w:p>
    <w:p>
      <w:pPr>
        <w:keepNext/>
        <w:pBdr>
          <w:left w:val="single" w:sz="18" w:space="6" w:color="DC2626"/>
        </w:pBdr>
        <w:spacing w:before="100" w:after="20"/>
        <w:ind w:left="173"/>
      </w:pPr>
      <w:r>
        <w:rPr>
          <w:b/>
          <w:color w:val="B91C1C"/>
          <w:sz w:val="21"/>
        </w:rPr>
        <w:t>Ford Motor Co. v. Montana Eighth Judicial District Court, 592 U.S. 351 (2021)</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Two forum residents were hurt in their own states by older Ford vehicles: a Montana driver killed when an Explorer's tire tread separated, and a Minnesota passenger hurt when a Crown Victoria's airbag failed. Ford designed the cars in Michigan, built them elsewhere, and first sold them in other states, but it advertised, sold, serviced, and supplied parts for those very models in Montana and Minnesota.</w:t>
      </w:r>
    </w:p>
    <w:p>
      <w:pPr>
        <w:keepNext/>
        <w:pBdr>
          <w:left w:val="single" w:sz="18" w:space="6" w:color="DC2626"/>
        </w:pBdr>
        <w:shd w:val="clear" w:color="auto" w:fill="E7F8EE"/>
        <w:spacing w:after="30"/>
        <w:ind w:left="173"/>
      </w:pPr>
      <w:r>
        <w:rPr>
          <w:b/>
          <w:color w:val="15803D"/>
        </w:rPr>
        <w:t xml:space="preserve">Held:  </w:t>
      </w:r>
      <w:r>
        <w:t>Specific jurisdiction existed. "Relate to" doesn't require proof that Ford's forum activity caused the injury; Ford systematically served a market in the forum states for the very vehicles that malfunctioned and injured residents there.</w:t>
      </w:r>
    </w:p>
    <w:p>
      <w:pPr>
        <w:pBdr>
          <w:left w:val="single" w:sz="18" w:space="6" w:color="DC2626"/>
        </w:pBdr>
        <w:shd w:val="clear" w:color="auto" w:fill="FEF6C2"/>
        <w:spacing w:after="80"/>
        <w:ind w:left="173"/>
      </w:pPr>
      <w:r>
        <w:rPr>
          <w:b/>
          <w:color w:val="8A6100"/>
        </w:rPr>
        <w:t xml:space="preserve">Why it matters:  </w:t>
      </w:r>
      <w:r>
        <w:t>Pair with Bristol-Myers Squibb: resident plaintiffs injured in the forum by a product the defendant markets there means jurisdiction; nonresident plaintiffs injured elsewhere don't. Purposeful availment was conceded, so the case is about relatedness.</w:t>
      </w:r>
    </w:p>
    <w:p>
      <w:pPr>
        <w:keepNext/>
        <w:pBdr>
          <w:left w:val="single" w:sz="18" w:space="6" w:color="DC2626"/>
        </w:pBdr>
        <w:spacing w:before="100" w:after="20"/>
        <w:ind w:left="173"/>
      </w:pPr>
      <w:r>
        <w:rPr>
          <w:b/>
          <w:color w:val="B91C1C"/>
          <w:sz w:val="21"/>
        </w:rPr>
        <w:t>Young v. New Haven Advocate, 315 F.3d 256 (4th Cir. 2002)</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Two Connecticut newspapers published articles, also posted on their websites, criticizing conditions at a Virginia prison that housed Connecticut inmates and suggesting racism by its guards. The Virginia warden sued them for defamation in federal court in Virginia.</w:t>
      </w:r>
    </w:p>
    <w:p>
      <w:pPr>
        <w:keepNext/>
        <w:pBdr>
          <w:left w:val="single" w:sz="18" w:space="6" w:color="DC2626"/>
        </w:pBdr>
        <w:shd w:val="clear" w:color="auto" w:fill="E7F8EE"/>
        <w:spacing w:after="30"/>
        <w:ind w:left="173"/>
      </w:pPr>
      <w:r>
        <w:rPr>
          <w:b/>
          <w:color w:val="15803D"/>
        </w:rPr>
        <w:t xml:space="preserve">Held:  </w:t>
      </w:r>
      <w:r>
        <w:t>No jurisdiction. The websites and articles were aimed at a Connecticut audience and a Connecticut policy debate, not at Virginia readers. Knowing the warden lived in Virginia and would feel the harm there was not enough.</w:t>
      </w:r>
    </w:p>
    <w:p>
      <w:pPr>
        <w:pBdr>
          <w:left w:val="single" w:sz="18" w:space="6" w:color="DC2626"/>
        </w:pBdr>
        <w:shd w:val="clear" w:color="auto" w:fill="FEF6C2"/>
        <w:spacing w:after="80"/>
        <w:ind w:left="173"/>
      </w:pPr>
      <w:r>
        <w:rPr>
          <w:b/>
          <w:color w:val="8A6100"/>
        </w:rPr>
        <w:t xml:space="preserve">Why it matters:  </w:t>
      </w:r>
      <w:r>
        <w:t xml:space="preserve">Internet effects test: the defendant must </w:t>
      </w:r>
      <w:r>
        <w:rPr>
          <w:color w:val="B91C1C"/>
          <w:shd w:val="clear" w:color="auto" w:fill="FDE2E2"/>
        </w:rPr>
        <w:t xml:space="preserve">(1) direct electronic activity into the state </w:t>
      </w:r>
      <w:r>
        <w:rPr>
          <w:color w:val="C2410C"/>
          <w:shd w:val="clear" w:color="auto" w:fill="FFE7D1"/>
        </w:rPr>
        <w:t xml:space="preserve">(2) with the manifest intent of engaging in business or other interactions there, and </w:t>
      </w:r>
      <w:r>
        <w:rPr>
          <w:color w:val="854D0E"/>
          <w:shd w:val="clear" w:color="auto" w:fill="FDF1A8"/>
        </w:rPr>
        <w:t xml:space="preserve">(3) that activity must create the claim (the ALS Scan test).</w:t>
      </w:r>
      <w:r>
        <w:t xml:space="preserve"> It's about where the content is aimed, not where it can be read.</w:t>
      </w:r>
    </w:p>
    <w:p>
      <w:pPr>
        <w:keepNext/>
        <w:pBdr>
          <w:left w:val="single" w:sz="18" w:space="6" w:color="EA580C"/>
        </w:pBdr>
        <w:spacing w:before="100" w:after="20"/>
        <w:ind w:left="173"/>
      </w:pPr>
      <w:r>
        <w:rPr>
          <w:b/>
          <w:color w:val="C2410C"/>
          <w:sz w:val="21"/>
        </w:rPr>
        <w:t>Burger King Corp. v. Rudzewicz, 471 U.S. 462 (1985)</w:t>
      </w:r>
      <w:r>
        <w:rPr>
          <w:color w:val="C2410C"/>
          <w:sz w:val="15"/>
        </w:rPr>
        <w:t xml:space="preserve">  </w:t>
      </w:r>
      <w:r>
        <w:rPr>
          <w:b/>
          <w:color w:val="FFFFFF"/>
          <w:sz w:val="15"/>
          <w:shd w:val="clear" w:color="auto" w:fill="EA580C"/>
        </w:rPr>
        <w:t xml:space="preserve"> SUPPLEMENTAL READING · WEEK 3 </w:t>
      </w:r>
    </w:p>
    <w:p>
      <w:pPr>
        <w:keepNext/>
        <w:pBdr>
          <w:left w:val="single" w:sz="18" w:space="6" w:color="EA580C"/>
        </w:pBdr>
        <w:shd w:val="clear" w:color="auto" w:fill="EAF2FF"/>
        <w:spacing w:after="30"/>
        <w:ind w:left="173"/>
      </w:pPr>
      <w:r>
        <w:rPr>
          <w:b/>
          <w:color w:val="1D4ED8"/>
        </w:rPr>
        <w:t xml:space="preserve">Facts:  </w:t>
      </w:r>
      <w:r>
        <w:t>Two Michigan residents negotiated with Burger King's Michigan district office and its Miami headquarters for a 20-year franchise in Michigan. The contracts called for monthly payments and notices to Miami, said Florida law governed, and obligated Rudzewicz personally to over $1 million. When they stopped paying, Burger King sued in federal court in Florida.</w:t>
      </w:r>
    </w:p>
    <w:p>
      <w:pPr>
        <w:keepNext/>
        <w:pBdr>
          <w:left w:val="single" w:sz="18" w:space="6" w:color="EA580C"/>
        </w:pBdr>
        <w:shd w:val="clear" w:color="auto" w:fill="E7F8EE"/>
        <w:spacing w:after="30"/>
        <w:ind w:left="173"/>
      </w:pPr>
      <w:r>
        <w:rPr>
          <w:b/>
          <w:color w:val="15803D"/>
        </w:rPr>
        <w:t xml:space="preserve">Held:  </w:t>
      </w:r>
      <w:r>
        <w:t>Jurisdiction was proper. Rudzewicz deliberately reached out to Florida to create a long-term relationship with continuing obligations there, and he couldn't show it was unreasonable to sue him there.</w:t>
      </w:r>
    </w:p>
    <w:p>
      <w:pPr>
        <w:pBdr>
          <w:left w:val="single" w:sz="18" w:space="6" w:color="EA580C"/>
        </w:pBdr>
        <w:shd w:val="clear" w:color="auto" w:fill="FEF6C2"/>
        <w:spacing w:after="80"/>
        <w:ind w:left="173"/>
      </w:pPr>
      <w:r>
        <w:rPr>
          <w:b/>
          <w:color w:val="8A6100"/>
        </w:rPr>
        <w:t xml:space="preserve">Why it matters:  </w:t>
      </w:r>
      <w:r>
        <w:t>The contract-plus factors (negotiations, future consequences, terms, course of dealing) and the rule that, once contacts are shown, the defendant must make a "compelling case" of unreasonableness. A choice-of-law clause alone doesn't confer jurisdiction but reinforces it.</w:t>
      </w:r>
    </w:p>
    <w:p>
      <w:pPr>
        <w:keepNext/>
        <w:pBdr>
          <w:left w:val="single" w:sz="18" w:space="6" w:color="EA580C"/>
        </w:pBdr>
        <w:spacing w:before="100" w:after="20"/>
        <w:ind w:left="173"/>
      </w:pPr>
      <w:r>
        <w:rPr>
          <w:b/>
          <w:color w:val="C2410C"/>
          <w:sz w:val="21"/>
        </w:rPr>
        <w:t>Calder v. Jones, 465 U.S. 783 (1984)</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The actress Shirley Jones, a California resident, sued the Florida-based writer and editor of a National Enquirer article about her California activities. The Enquirer's largest circulation, about 600,000 copies, was in California.</w:t>
      </w:r>
    </w:p>
    <w:p>
      <w:pPr>
        <w:keepNext/>
        <w:pBdr>
          <w:left w:val="single" w:sz="18" w:space="6" w:color="EA580C"/>
        </w:pBdr>
        <w:shd w:val="clear" w:color="auto" w:fill="E7F8EE"/>
        <w:spacing w:after="30"/>
        <w:ind w:left="173"/>
      </w:pPr>
      <w:r>
        <w:rPr>
          <w:b/>
          <w:color w:val="15803D"/>
        </w:rPr>
        <w:t xml:space="preserve">Held:  </w:t>
      </w:r>
      <w:r>
        <w:t>Jurisdiction in California was proper. The defendants' intentional conduct was expressly aimed at California, which was the focal point of both the story and the harm they knew she would suffer.</w:t>
      </w:r>
    </w:p>
    <w:p>
      <w:pPr>
        <w:pBdr>
          <w:left w:val="single" w:sz="18" w:space="6" w:color="EA580C"/>
        </w:pBdr>
        <w:shd w:val="clear" w:color="auto" w:fill="FEF6C2"/>
        <w:spacing w:after="80"/>
        <w:ind w:left="173"/>
      </w:pPr>
      <w:r>
        <w:rPr>
          <w:b/>
          <w:color w:val="8A6100"/>
        </w:rPr>
        <w:t xml:space="preserve">Why it matters:  </w:t>
      </w:r>
      <w:r>
        <w:t>The "effects" test for intentional torts.</w:t>
      </w:r>
    </w:p>
    <w:p>
      <w:pPr>
        <w:keepNext/>
        <w:pBdr>
          <w:left w:val="single" w:sz="18" w:space="6" w:color="EA580C"/>
        </w:pBdr>
        <w:spacing w:before="100" w:after="20"/>
        <w:ind w:left="173"/>
      </w:pPr>
      <w:r>
        <w:rPr>
          <w:b/>
          <w:color w:val="C2410C"/>
          <w:sz w:val="21"/>
        </w:rPr>
        <w:t>Walden v. Fiore, 571 U.S. 277 (2014)</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A Georgia officer working with a federal drug task force seized about $97,000 from two professional gamblers at the Atlanta airport and allegedly drafted a false affidavit to support forfeiture. They sued him in Nevada, where they lived.</w:t>
      </w:r>
    </w:p>
    <w:p>
      <w:pPr>
        <w:keepNext/>
        <w:pBdr>
          <w:left w:val="single" w:sz="18" w:space="6" w:color="EA580C"/>
        </w:pBdr>
        <w:shd w:val="clear" w:color="auto" w:fill="E7F8EE"/>
        <w:spacing w:after="30"/>
        <w:ind w:left="173"/>
      </w:pPr>
      <w:r>
        <w:rPr>
          <w:b/>
          <w:color w:val="15803D"/>
        </w:rPr>
        <w:t xml:space="preserve">Held:  </w:t>
      </w:r>
      <w:r>
        <w:t>No jurisdiction. All of the officer's conduct occurred in Georgia, and the plaintiffs felt the loss in Nevada only because they lived there.</w:t>
      </w:r>
    </w:p>
    <w:p>
      <w:pPr>
        <w:pBdr>
          <w:left w:val="single" w:sz="18" w:space="6" w:color="EA580C"/>
        </w:pBdr>
        <w:shd w:val="clear" w:color="auto" w:fill="FEF6C2"/>
        <w:spacing w:after="80"/>
        <w:ind w:left="173"/>
      </w:pPr>
      <w:r>
        <w:rPr>
          <w:b/>
          <w:color w:val="8A6100"/>
        </w:rPr>
        <w:t xml:space="preserve">Why it matters:  </w:t>
      </w:r>
      <w:r>
        <w:t>The analysis looks to the defendant's own contacts with the forum, not the plaintiff's ties to it; this narrows Calder.</w:t>
      </w:r>
    </w:p>
    <w:p>
      <w:pPr>
        <w:keepNext/>
        <w:pBdr>
          <w:left w:val="single" w:sz="18" w:space="6" w:color="EA580C"/>
        </w:pBdr>
        <w:spacing w:before="100" w:after="20"/>
        <w:ind w:left="173"/>
      </w:pPr>
      <w:r>
        <w:rPr>
          <w:b/>
          <w:color w:val="C2410C"/>
          <w:sz w:val="21"/>
        </w:rPr>
        <w:t>Burdick v. Superior Court, 233 Cal. App. 4th 8 (2015)</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Burdick, an Illinois resident, posted allegedly defamatory statements about two California residents on his personal Facebook page from Illinois. He had no property, business, or other ties to California.</w:t>
      </w:r>
    </w:p>
    <w:p>
      <w:pPr>
        <w:keepNext/>
        <w:pBdr>
          <w:left w:val="single" w:sz="18" w:space="6" w:color="EA580C"/>
        </w:pBdr>
        <w:shd w:val="clear" w:color="auto" w:fill="E7F8EE"/>
        <w:spacing w:after="30"/>
        <w:ind w:left="173"/>
      </w:pPr>
      <w:r>
        <w:rPr>
          <w:b/>
          <w:color w:val="15803D"/>
        </w:rPr>
        <w:t xml:space="preserve">Held:  </w:t>
      </w:r>
      <w:r>
        <w:t>No jurisdiction. Knowing the plaintiffs lived in California and would feel the harm there wasn't express aiming; nothing showed the post targeted a California audience.</w:t>
      </w:r>
    </w:p>
    <w:p>
      <w:pPr>
        <w:pBdr>
          <w:left w:val="single" w:sz="18" w:space="6" w:color="EA580C"/>
        </w:pBdr>
        <w:shd w:val="clear" w:color="auto" w:fill="FEF6C2"/>
        <w:spacing w:after="80"/>
        <w:ind w:left="173"/>
      </w:pPr>
      <w:r>
        <w:rPr>
          <w:b/>
          <w:color w:val="8A6100"/>
        </w:rPr>
        <w:t xml:space="preserve">Why it matters:  </w:t>
      </w:r>
      <w:r>
        <w:t>Applies Calder and Walden to social media: a public post viewable everywhere isn't aimed at the forum without forum-specific content, audience, or distribution.</w:t>
      </w:r>
    </w:p>
    <w:p>
      <w:pPr>
        <w:pStyle w:val="Heading2"/>
        <w:pBdr>
          <w:bottom w:val="single" w:sz="8" w:space="2" w:color="C55A11"/>
        </w:pBdr>
      </w:pPr>
      <w:bookmarkStart w:id="7" w:name="_Toc900007"/>
      <w:r>
        <w:rPr>
          <w:b w:val="0"/>
        </w:rPr>
        <w:t>6. General Jurisdiction, Consent, and Transient Jurisdiction</w:t>
      </w:r>
      <w:bookmarkEnd w:id="7"/>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General (all-purpose) jurisdiction</w:t>
            </w:r>
            <w:r>
              <w:t xml:space="preserve"> lets a court hear </w:t>
            </w:r>
            <w:r>
              <w:rPr>
                <w:b/>
              </w:rPr>
              <w:t>any</w:t>
            </w:r>
            <w:r>
              <w:t xml:space="preserve"> claim against a defendant, even one unrelated to the forum, where the defendant is </w:t>
            </w:r>
            <w:r>
              <w:rPr>
                <w:b/>
              </w:rPr>
              <w:t>"essentially at home."</w:t>
            </w:r>
            <w:r>
              <w:t xml:space="preserve"> An individual is at home in the state of </w:t>
            </w:r>
            <w:r>
              <w:rPr>
                <w:b/>
              </w:rPr>
              <w:t>domicile</w:t>
            </w:r>
            <w:r>
              <w:t xml:space="preserve">. A corporation is at home in </w:t>
            </w:r>
            <w:r>
              <w:rPr>
                <w:color w:val="B91C1C"/>
                <w:shd w:val="clear" w:color="auto" w:fill="FDE2E2"/>
              </w:rPr>
              <w:t xml:space="preserve">(1) its </w:t>
            </w:r>
            <w:r>
              <w:rPr>
                <w:b/>
                <w:color w:val="B91C1C"/>
                <w:shd w:val="clear" w:color="auto" w:fill="FDE2E2"/>
              </w:rPr>
              <w:t xml:space="preserve">state of incorporation</w:t>
            </w:r>
            <w:r>
              <w:rPr>
                <w:color w:val="B91C1C"/>
                <w:shd w:val="clear" w:color="auto" w:fill="FDE2E2"/>
              </w:rPr>
              <w:t xml:space="preserve"> and </w:t>
            </w:r>
            <w:r>
              <w:rPr>
                <w:color w:val="C2410C"/>
                <w:shd w:val="clear" w:color="auto" w:fill="FFE7D1"/>
              </w:rPr>
              <w:t xml:space="preserve">(2) its </w:t>
            </w:r>
            <w:r>
              <w:rPr>
                <w:b/>
                <w:color w:val="C2410C"/>
                <w:shd w:val="clear" w:color="auto" w:fill="FFE7D1"/>
              </w:rPr>
              <w:t xml:space="preserve">principal place of business (PPB)</w:t>
            </w:r>
            <w:r>
              <w:rPr>
                <w:color w:val="C2410C"/>
                <w:shd w:val="clear" w:color="auto" w:fill="FFE7D1"/>
              </w:rPr>
              <w:t xml:space="preserve">.</w:t>
            </w:r>
            <w:r>
              <w:t xml:space="preserve"> Anywhere else requires an "exceptional case" (Goodyear and Daimler).</w:t>
            </w:r>
          </w:p>
        </w:tc>
      </w:tr>
    </w:tbl>
    <w:p>
      <w:pPr>
        <w:spacing w:after="0" w:line="100" w:lineRule="exact"/>
      </w:pPr>
    </w:p>
    <w:p>
      <w:pPr>
        <w:pStyle w:val="ListBullet"/>
      </w:pPr>
      <w:r>
        <w:rPr>
          <w:b/>
        </w:rPr>
        <w:t>Not enough for general jurisdiction:</w:t>
      </w:r>
      <w:r>
        <w:t xml:space="preserve"> substantial, continuous, and systematic sales (Daimler called that test "unacceptably grasping"); purchases and training trips in the forum (Helicopteros (1984)); stream-of-commerce sales, which support only specific jurisdiction (Goodyear); thousands of miles of track and employees in the forum (BNSF Railway Co. v. Tyrrell (2017)). Compare the defendant's forum activity with its activity everywhere.</w:t>
      </w:r>
    </w:p>
    <w:p>
      <w:pPr>
        <w:pStyle w:val="ListBullet"/>
      </w:pPr>
      <w:r>
        <w:rPr>
          <w:b/>
        </w:rPr>
        <w:t>The exceptional case:</w:t>
      </w:r>
      <w:r>
        <w:t xml:space="preserve"> Perkins v. Benguet (1952), where the company's wartime president ran it from Ohio, making Ohio its de facto headquarters.</w:t>
      </w:r>
    </w:p>
    <w:p>
      <w:pPr>
        <w:pStyle w:val="ListBullet"/>
      </w:pPr>
      <w:r>
        <w:rPr>
          <w:b/>
        </w:rPr>
        <w:t>Consent:</w:t>
      </w:r>
      <w:r>
        <w:t xml:space="preserve"> a forum-selection clause (Carnival Cruise); a registration statute that expressly makes registering to do business consent to general jurisdiction (Mallory, upholding Pennsylvania's statute); a stipulation.</w:t>
      </w:r>
    </w:p>
    <w:p>
      <w:pPr>
        <w:pStyle w:val="ListBullet"/>
      </w:pPr>
      <w:r>
        <w:rPr>
          <w:b/>
        </w:rPr>
        <w:t>Transient ("tag") jurisdiction:</w:t>
      </w:r>
      <w:r>
        <w:t xml:space="preserve"> in-state personal service on an </w:t>
      </w:r>
      <w:r>
        <w:rPr>
          <w:b/>
        </w:rPr>
        <w:t>individual</w:t>
      </w:r>
      <w:r>
        <w:t xml:space="preserve"> who is voluntarily present is enough, even for an unrelated claim (Burnham). Exceptions: presence obtained by fraud or force, and immunity for parties and witnesses attending court. </w:t>
      </w:r>
      <w:r>
        <w:rPr>
          <w:i/>
          <w:color w:val="64748B"/>
        </w:rPr>
        <w:t>◆ Most courts don't apply tag jurisdiction to corporations, so serving an officer who is passing through doesn't create general jurisdiction over the company.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Don't confuse "continuous and systematic" with "at home." After Daimler, a national retailer with 200 stores in the forum is still not subject to general jurisdiction there unless the forum is its state of incorporation or PPB. Move on to specific jurisdiction.</w:t>
            </w:r>
          </w:p>
        </w:tc>
      </w:tr>
    </w:tbl>
    <w:p>
      <w:pPr>
        <w:spacing w:after="0" w:line="100" w:lineRule="exact"/>
      </w:pPr>
    </w:p>
    <w:p>
      <w:pPr>
        <w:pStyle w:val="Heading3"/>
      </w:pPr>
      <w:r>
        <w:rPr>
          <w:b w:val="0"/>
        </w:rPr>
        <w:t>Cases</w:t>
      </w:r>
    </w:p>
    <w:p>
      <w:pPr>
        <w:keepNext/>
        <w:pBdr>
          <w:left w:val="single" w:sz="18" w:space="6" w:color="DC2626"/>
        </w:pBdr>
        <w:spacing w:before="100" w:after="20"/>
        <w:ind w:left="173"/>
      </w:pPr>
      <w:r>
        <w:rPr>
          <w:b/>
          <w:color w:val="B91C1C"/>
          <w:sz w:val="21"/>
        </w:rPr>
        <w:t>Daimler AG v. Bauman, 571 U.S. 117 (2014)</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Twenty-two Argentine residents sued Daimler, a German company, in federal court in California, alleging that its Argentine subsidiary collaborated in kidnappings, torture, and killings during Argentina's "Dirty War." No conduct occurred in the United States. They relied on general jurisdiction through Daimler's United States distributor, Mercedes-Benz USA, a Delaware company based in New Jersey whose California sales were about 2.4% of Daimler's worldwide sales.</w:t>
      </w:r>
    </w:p>
    <w:p>
      <w:pPr>
        <w:keepNext/>
        <w:pBdr>
          <w:left w:val="single" w:sz="18" w:space="6" w:color="DC2626"/>
        </w:pBdr>
        <w:shd w:val="clear" w:color="auto" w:fill="E7F8EE"/>
        <w:spacing w:after="30"/>
        <w:ind w:left="173"/>
      </w:pPr>
      <w:r>
        <w:rPr>
          <w:b/>
          <w:color w:val="15803D"/>
        </w:rPr>
        <w:t xml:space="preserve">Held:  </w:t>
      </w:r>
      <w:r>
        <w:t>No general jurisdiction. Even assuming the subsidiary's contacts could be attributed to Daimler, Daimler was not at home in California, which was neither its place of incorporation nor its PPB.</w:t>
      </w:r>
    </w:p>
    <w:p>
      <w:pPr>
        <w:pBdr>
          <w:left w:val="single" w:sz="18" w:space="6" w:color="DC2626"/>
        </w:pBdr>
        <w:shd w:val="clear" w:color="auto" w:fill="FEF6C2"/>
        <w:spacing w:after="80"/>
        <w:ind w:left="173"/>
      </w:pPr>
      <w:r>
        <w:rPr>
          <w:b/>
          <w:color w:val="8A6100"/>
        </w:rPr>
        <w:t xml:space="preserve">Why it matters:  </w:t>
      </w:r>
      <w:r>
        <w:t>General jurisdiction over a corporation is essentially limited to its place of incorporation and PPB; large in-state sales are not enough.</w:t>
      </w:r>
    </w:p>
    <w:p>
      <w:pPr>
        <w:keepNext/>
        <w:pBdr>
          <w:left w:val="single" w:sz="18" w:space="6" w:color="EA580C"/>
        </w:pBdr>
        <w:spacing w:before="100" w:after="20"/>
        <w:ind w:left="173"/>
      </w:pPr>
      <w:r>
        <w:rPr>
          <w:b/>
          <w:color w:val="C2410C"/>
          <w:sz w:val="21"/>
        </w:rPr>
        <w:t>Goodyear Dunlop Tires Operations, S.A. v. Brown, 564 U.S. 915 (2011)</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Two North Carolina boys died in a bus accident outside Paris. Their families sued Goodyear's Turkish, French, and Luxembourg subsidiaries in North Carolina, where some of the subsidiaries' tires had reached the market through other Goodyear affiliates.</w:t>
      </w:r>
    </w:p>
    <w:p>
      <w:pPr>
        <w:keepNext/>
        <w:pBdr>
          <w:left w:val="single" w:sz="18" w:space="6" w:color="EA580C"/>
        </w:pBdr>
        <w:shd w:val="clear" w:color="auto" w:fill="E7F8EE"/>
        <w:spacing w:after="30"/>
        <w:ind w:left="173"/>
      </w:pPr>
      <w:r>
        <w:rPr>
          <w:b/>
          <w:color w:val="15803D"/>
        </w:rPr>
        <w:t xml:space="preserve">Held:  </w:t>
      </w:r>
      <w:r>
        <w:t>No general jurisdiction over the foreign subsidiaries. Occasional sales of their tires in North Carolina through the stream of commerce didn't make them at home there.</w:t>
      </w:r>
    </w:p>
    <w:p>
      <w:pPr>
        <w:pBdr>
          <w:left w:val="single" w:sz="18" w:space="6" w:color="EA580C"/>
        </w:pBdr>
        <w:shd w:val="clear" w:color="auto" w:fill="FEF6C2"/>
        <w:spacing w:after="80"/>
        <w:ind w:left="173"/>
      </w:pPr>
      <w:r>
        <w:rPr>
          <w:b/>
          <w:color w:val="8A6100"/>
        </w:rPr>
        <w:t xml:space="preserve">Why it matters:  </w:t>
      </w:r>
      <w:r>
        <w:t>Coined the "essentially at home" test and held that stream-of-commerce sales can support only specific, not general, jurisdiction.</w:t>
      </w:r>
    </w:p>
    <w:p>
      <w:pPr>
        <w:keepNext/>
        <w:pBdr>
          <w:left w:val="single" w:sz="18" w:space="6" w:color="EA580C"/>
        </w:pBdr>
        <w:spacing w:before="100" w:after="20"/>
        <w:ind w:left="173"/>
      </w:pPr>
      <w:r>
        <w:rPr>
          <w:b/>
          <w:color w:val="C2410C"/>
          <w:sz w:val="21"/>
        </w:rPr>
        <w:t>Burnham v. Superior Court, 495 U.S. 604 (1990)</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Dennis Burnham, a New Jersey resident, made a brief trip to California for business and to visit his children. While there, he was personally served with his estranged wife's California divorce suit.</w:t>
      </w:r>
    </w:p>
    <w:p>
      <w:pPr>
        <w:keepNext/>
        <w:pBdr>
          <w:left w:val="single" w:sz="18" w:space="6" w:color="EA580C"/>
        </w:pBdr>
        <w:shd w:val="clear" w:color="auto" w:fill="E7F8EE"/>
        <w:spacing w:after="30"/>
        <w:ind w:left="173"/>
      </w:pPr>
      <w:r>
        <w:rPr>
          <w:b/>
          <w:color w:val="15803D"/>
        </w:rPr>
        <w:t xml:space="preserve">Held:  </w:t>
      </w:r>
      <w:r>
        <w:t>Jurisdiction proper (unanimous result, no majority opinion). Scalia (4 Justices): in-state service on a voluntarily present individual satisfies due process because of its unbroken tradition. Brennan (4 Justices): it usually satisfies International Shoe fairness, because a voluntary visitor enjoys the state's benefits, has notice, and bears a modest burden.</w:t>
      </w:r>
    </w:p>
    <w:p>
      <w:pPr>
        <w:pBdr>
          <w:left w:val="single" w:sz="18" w:space="6" w:color="EA580C"/>
        </w:pBdr>
        <w:shd w:val="clear" w:color="auto" w:fill="FEF6C2"/>
        <w:spacing w:after="80"/>
        <w:ind w:left="173"/>
      </w:pPr>
      <w:r>
        <w:rPr>
          <w:b/>
          <w:color w:val="8A6100"/>
        </w:rPr>
        <w:t xml:space="preserve">Why it matters:  </w:t>
      </w:r>
      <w:r>
        <w:t>The transient ("tag") jurisdiction rule. Minimum contacts is a substitute for physical presence, not a limit on it.</w:t>
      </w:r>
    </w:p>
    <w:p>
      <w:pPr>
        <w:keepNext/>
        <w:pBdr>
          <w:left w:val="single" w:sz="18" w:space="6" w:color="EA580C"/>
        </w:pBdr>
        <w:spacing w:before="100" w:after="20"/>
        <w:ind w:left="173"/>
      </w:pPr>
      <w:r>
        <w:rPr>
          <w:b/>
          <w:color w:val="C2410C"/>
          <w:sz w:val="21"/>
        </w:rPr>
        <w:t>Mallory v. Norfolk Southern Railway Co., 600 U.S. 122 (2023)</w:t>
      </w:r>
      <w:r>
        <w:rPr>
          <w:color w:val="C2410C"/>
          <w:sz w:val="15"/>
        </w:rPr>
        <w:t xml:space="preserve">  </w:t>
      </w:r>
      <w:r>
        <w:rPr>
          <w:b/>
          <w:color w:val="FFFFFF"/>
          <w:sz w:val="15"/>
          <w:shd w:val="clear" w:color="auto" w:fill="EA580C"/>
        </w:rPr>
        <w:t xml:space="preserve"> SUPPLEMENTAL READING · WEEK 4 </w:t>
      </w:r>
    </w:p>
    <w:p>
      <w:pPr>
        <w:keepNext/>
        <w:pBdr>
          <w:left w:val="single" w:sz="18" w:space="6" w:color="EA580C"/>
        </w:pBdr>
        <w:shd w:val="clear" w:color="auto" w:fill="EAF2FF"/>
        <w:spacing w:after="30"/>
        <w:ind w:left="173"/>
      </w:pPr>
      <w:r>
        <w:rPr>
          <w:b/>
          <w:color w:val="1D4ED8"/>
        </w:rPr>
        <w:t xml:space="preserve">Facts:  </w:t>
      </w:r>
      <w:r>
        <w:t>A former railroad worker who lived in Virginia sued Norfolk Southern, a Virginia corporation, in Pennsylvania over an illness he attributed to his work in Ohio and Virginia. Pennsylvania law treats a foreign corporation's registration to do business in the state as consent to general jurisdiction.</w:t>
      </w:r>
    </w:p>
    <w:p>
      <w:pPr>
        <w:keepNext/>
        <w:pBdr>
          <w:left w:val="single" w:sz="18" w:space="6" w:color="EA580C"/>
        </w:pBdr>
        <w:shd w:val="clear" w:color="auto" w:fill="E7F8EE"/>
        <w:spacing w:after="30"/>
        <w:ind w:left="173"/>
      </w:pPr>
      <w:r>
        <w:rPr>
          <w:b/>
          <w:color w:val="15803D"/>
        </w:rPr>
        <w:t xml:space="preserve">Held:  </w:t>
      </w:r>
      <w:r>
        <w:t>The consent-by-registration statute is consistent with Due Process.</w:t>
      </w:r>
    </w:p>
    <w:p>
      <w:pPr>
        <w:pBdr>
          <w:left w:val="single" w:sz="18" w:space="6" w:color="EA580C"/>
        </w:pBdr>
        <w:shd w:val="clear" w:color="auto" w:fill="FEF6C2"/>
        <w:spacing w:after="80"/>
        <w:ind w:left="173"/>
      </w:pPr>
      <w:r>
        <w:rPr>
          <w:b/>
          <w:color w:val="8A6100"/>
        </w:rPr>
        <w:t xml:space="preserve">Why it matters:  </w:t>
      </w:r>
      <w:r>
        <w:t>Registration is a route to general jurisdiction only where the state's statute expressly provides it.</w:t>
      </w:r>
    </w:p>
    <w:p>
      <w:pPr>
        <w:pStyle w:val="Heading1"/>
        <w:shd w:val="clear" w:color="auto" w:fill="1F3864"/>
      </w:pPr>
      <w:bookmarkStart w:id="8" w:name="_Toc900008"/>
      <w:r>
        <w:rPr>
          <w:b w:val="0"/>
        </w:rPr>
        <w:t>PART III — NOTICE AND SERVICE OF PROCESS</w:t>
      </w:r>
      <w:bookmarkEnd w:id="8"/>
    </w:p>
    <w:p>
      <w:pPr>
        <w:pStyle w:val="Heading2"/>
        <w:pBdr>
          <w:bottom w:val="single" w:sz="8" w:space="2" w:color="C55A11"/>
        </w:pBdr>
      </w:pPr>
      <w:bookmarkStart w:id="9" w:name="_Toc900009"/>
      <w:r>
        <w:rPr>
          <w:b w:val="0"/>
        </w:rPr>
        <w:t>7. Notice and Due Process; Rule 4</w:t>
      </w:r>
      <w:bookmarkEnd w:id="9"/>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Due Process requires </w:t>
            </w:r>
            <w:r>
              <w:rPr>
                <w:b/>
              </w:rPr>
              <w:t>notice "reasonably calculated, under all the circumstances, to apprise interested parties of the pendency of the action and afford them an opportunity to present their objections."</w:t>
            </w:r>
            <w:r>
              <w:t xml:space="preserve"> The means must be ones that someone "desirous of actually informing" the absent party might reasonably adopt (Mullane).</w:t>
            </w:r>
          </w:p>
        </w:tc>
      </w:tr>
    </w:tbl>
    <w:p>
      <w:pPr>
        <w:spacing w:after="0" w:line="100" w:lineRule="exact"/>
      </w:pPr>
    </w:p>
    <w:p>
      <w:pPr>
        <w:pStyle w:val="ListBullet"/>
      </w:pPr>
      <w:r>
        <w:rPr>
          <w:b/>
        </w:rPr>
        <w:t>Known address:</w:t>
      </w:r>
      <w:r>
        <w:t xml:space="preserve"> use mail or better. Publication is enough only for parties whose interests or whereabouts are </w:t>
      </w:r>
      <w:r>
        <w:rPr>
          <w:b/>
        </w:rPr>
        <w:t>unknown or can't be found with due diligence</w:t>
      </w:r>
      <w:r>
        <w:t xml:space="preserve"> (Mullane).</w:t>
      </w:r>
    </w:p>
    <w:p>
      <w:pPr>
        <w:pStyle w:val="ListBullet"/>
      </w:pPr>
      <w:r>
        <w:rPr>
          <w:b/>
        </w:rPr>
        <w:t>Known failure:</w:t>
      </w:r>
      <w:r>
        <w:t xml:space="preserve"> if the sender learns notice failed before acting, it must take </w:t>
      </w:r>
      <w:r>
        <w:rPr>
          <w:b/>
        </w:rPr>
        <w:t>additional reasonable steps</w:t>
      </w:r>
      <w:r>
        <w:t xml:space="preserve"> if practicable. Actual receipt is not required (Jones v. Flowers).</w:t>
      </w:r>
    </w:p>
    <w:p>
      <w:pPr>
        <w:pStyle w:val="ListBullet"/>
      </w:pPr>
      <w:r>
        <w:rPr>
          <w:b/>
        </w:rPr>
        <w:t>New methods:</w:t>
      </w:r>
      <w:r>
        <w:t xml:space="preserve"> court-ordered </w:t>
      </w:r>
      <w:r>
        <w:rPr>
          <w:b/>
        </w:rPr>
        <w:t>email</w:t>
      </w:r>
      <w:r>
        <w:t xml:space="preserve"> service on a foreign defendant can satisfy Rule 4(f)(3) and Mullane (Rio Properties).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Notice (due process), service (compliance with Rule 4), and PJ are three separate requirements. A defendant who actually received the papers can still win a Rule 12(b)(5) dismissal if service didn't follow Rule 4, and perfect service on a defendant without contacts creates no jurisdiction.</w:t>
            </w:r>
          </w:p>
        </w:tc>
      </w:tr>
    </w:tbl>
    <w:p>
      <w:pPr>
        <w:spacing w:after="0" w:line="100" w:lineRule="exact"/>
      </w:pPr>
    </w:p>
    <w:p>
      <w:pPr>
        <w:pStyle w:val="Heading3"/>
      </w:pPr>
      <w:r>
        <w:rPr>
          <w:b w:val="0"/>
        </w:rPr>
        <w:t>Rule 4 mechanics</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218"/>
        <w:gridCol w:w="7862"/>
      </w:tblGrid>
      <w:tr>
        <w:trPr>
          <w:cantSplit/>
          <w:tblHeader/>
          <w:jc w:val="center"/>
        </w:trPr>
        <w:tc>
          <w:tcPr>
            <w:tcW w:w="2218"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Rule</w:t>
            </w:r>
          </w:p>
        </w:tc>
        <w:tc>
          <w:tcPr>
            <w:tcW w:w="7862"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Content</w:t>
            </w:r>
          </w:p>
        </w:tc>
      </w:tr>
      <w:tr>
        <w:trPr>
          <w:cantSplit/>
          <w:jc w:val="center"/>
        </w:trPr>
        <w:tc>
          <w:tcPr>
            <w:tcW w:w="2218"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4(a)–(b)</w:t>
            </w:r>
          </w:p>
        </w:tc>
        <w:tc>
          <w:tcPr>
            <w:tcW w:w="7862"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The summons names the court and parties, is directed to the defendant, gives the plaintiff's lawyer's name and address, states the time to appear and defend, warns that failing to do so means a default judgment, and is signed by the clerk and bears the court's seal.</w:t>
            </w:r>
          </w:p>
        </w:tc>
      </w:tr>
      <w:tr>
        <w:trPr>
          <w:cantSplit/>
          <w:jc w:val="center"/>
        </w:trPr>
        <w:tc>
          <w:tcPr>
            <w:tcW w:w="2218"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4(c)</w:t>
            </w:r>
          </w:p>
        </w:tc>
        <w:tc>
          <w:tcPr>
            <w:tcW w:w="7862"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The summons is served </w:t>
            </w:r>
            <w:r>
              <w:rPr>
                <w:b/>
                <w:sz w:val="17"/>
              </w:rPr>
              <w:t>with a copy of the complaint</w:t>
            </w:r>
            <w:r>
              <w:rPr>
                <w:sz w:val="17"/>
              </w:rPr>
              <w:t xml:space="preserve">, and the plaintiff is responsible for timely service. Any person </w:t>
            </w:r>
            <w:r>
              <w:rPr>
                <w:b/>
                <w:sz w:val="17"/>
              </w:rPr>
              <w:t>at least 18 years old and not a party</w:t>
            </w:r>
            <w:r>
              <w:rPr>
                <w:sz w:val="17"/>
              </w:rPr>
              <w:t xml:space="preserve"> may serve. The court may order service by a United States marshal at the plaintiff's request, and must do so for a plaintiff proceeding in forma pauperis.</w:t>
            </w:r>
          </w:p>
        </w:tc>
      </w:tr>
      <w:tr>
        <w:trPr>
          <w:cantSplit/>
          <w:jc w:val="center"/>
        </w:trPr>
        <w:tc>
          <w:tcPr>
            <w:tcW w:w="2218"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4(d) waiver</w:t>
            </w:r>
          </w:p>
        </w:tc>
        <w:tc>
          <w:tcPr>
            <w:tcW w:w="7862"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 xml:space="preserve">The plaintiff may mail a request to waive service. The defendant gets at least </w:t>
            </w:r>
            <w:r>
              <w:rPr>
                <w:b/>
                <w:sz w:val="17"/>
              </w:rPr>
              <w:t>30 days</w:t>
            </w:r>
            <w:r>
              <w:rPr>
                <w:sz w:val="17"/>
              </w:rPr>
              <w:t xml:space="preserve"> to return it (60 if outside the United States). A defendant who waives has </w:t>
            </w:r>
            <w:r>
              <w:rPr>
                <w:b/>
                <w:sz w:val="17"/>
              </w:rPr>
              <w:t>60 days</w:t>
            </w:r>
            <w:r>
              <w:rPr>
                <w:sz w:val="17"/>
              </w:rPr>
              <w:t xml:space="preserve"> from when the request was sent to answer (90 if outside the United States). A defendant in the United States who refuses without good cause </w:t>
            </w:r>
            <w:r>
              <w:rPr>
                <w:b/>
                <w:sz w:val="17"/>
              </w:rPr>
              <w:t>pays the costs</w:t>
            </w:r>
            <w:r>
              <w:rPr>
                <w:sz w:val="17"/>
              </w:rPr>
              <w:t xml:space="preserve"> of formal service and of any motion to collect them. Waiving service doesn't waive PJ or venue objections.</w:t>
            </w:r>
          </w:p>
        </w:tc>
      </w:tr>
      <w:tr>
        <w:trPr>
          <w:cantSplit/>
          <w:jc w:val="center"/>
        </w:trPr>
        <w:tc>
          <w:tcPr>
            <w:tcW w:w="2218" w:type="dxa"/>
            <w:tcBorders>
              <w:top w:val="single" w:sz="4" w:space="0" w:color="BFC9D9"/>
              <w:left w:val="single" w:sz="24" w:space="0" w:color="22C55E"/>
              <w:bottom w:val="single" w:sz="4" w:space="0" w:color="BFC9D9"/>
              <w:right w:val="single" w:sz="4" w:space="0" w:color="BFC9D9"/>
            </w:tcBorders>
            <w:shd w:val="clear" w:color="auto" w:fill="E8F8EE"/>
          </w:tcPr>
          <w:p>
            <w:pPr>
              <w:spacing w:after="0" w:line="240" w:lineRule="auto"/>
            </w:pPr>
            <w:r>
              <w:rPr>
                <w:b/>
                <w:sz w:val="17"/>
              </w:rPr>
              <w:t>4(e) individuals in the United States</w:t>
            </w:r>
          </w:p>
        </w:tc>
        <w:tc>
          <w:tcPr>
            <w:tcW w:w="7862"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sz w:val="17"/>
              </w:rPr>
              <w:t xml:space="preserve">(1) Follow the law of the state where the district court sits </w:t>
            </w:r>
            <w:r>
              <w:rPr>
                <w:b/>
                <w:sz w:val="17"/>
              </w:rPr>
              <w:t>or</w:t>
            </w:r>
            <w:r>
              <w:rPr>
                <w:sz w:val="17"/>
              </w:rPr>
              <w:t xml:space="preserve"> where service is made; or (2) deliver to the individual personally, </w:t>
            </w:r>
            <w:r>
              <w:rPr>
                <w:b/>
                <w:sz w:val="17"/>
              </w:rPr>
              <w:t>leave copies at the individual's dwelling or usual place of abode with someone of suitable age and discretion who resides there</w:t>
            </w:r>
            <w:r>
              <w:rPr>
                <w:sz w:val="17"/>
              </w:rPr>
              <w:t>, or deliver to an agent authorized by appointment or law.</w:t>
            </w:r>
          </w:p>
        </w:tc>
      </w:tr>
      <w:tr>
        <w:trPr>
          <w:cantSplit/>
          <w:jc w:val="center"/>
        </w:trPr>
        <w:tc>
          <w:tcPr>
            <w:tcW w:w="2218" w:type="dxa"/>
            <w:tcBorders>
              <w:top w:val="single" w:sz="4" w:space="0" w:color="BFC9D9"/>
              <w:left w:val="single" w:sz="24" w:space="0" w:color="3B82F6"/>
              <w:bottom w:val="single" w:sz="4" w:space="0" w:color="BFC9D9"/>
              <w:right w:val="single" w:sz="4" w:space="0" w:color="BFC9D9"/>
            </w:tcBorders>
            <w:shd w:val="clear" w:color="auto" w:fill="E8F0FE"/>
          </w:tcPr>
          <w:p>
            <w:pPr>
              <w:spacing w:after="0" w:line="240" w:lineRule="auto"/>
            </w:pPr>
            <w:r>
              <w:rPr>
                <w:b/>
                <w:sz w:val="17"/>
              </w:rPr>
              <w:t>4(f) individuals abroad</w:t>
            </w:r>
          </w:p>
        </w:tc>
        <w:tc>
          <w:tcPr>
            <w:tcW w:w="7862"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sz w:val="17"/>
              </w:rPr>
              <w:t xml:space="preserve">(1) Internationally agreed means, such as the Hague Service Convention; (2) if none, methods reasonably calculated to give notice; (3) </w:t>
            </w:r>
            <w:r>
              <w:rPr>
                <w:b/>
                <w:sz w:val="17"/>
              </w:rPr>
              <w:t>other means not prohibited by international agreement, as the court orders</w:t>
            </w:r>
            <w:r>
              <w:rPr>
                <w:sz w:val="17"/>
              </w:rPr>
              <w:t xml:space="preserve"> (Rio Properties: email).</w:t>
            </w:r>
          </w:p>
        </w:tc>
      </w:tr>
      <w:tr>
        <w:trPr>
          <w:cantSplit/>
          <w:jc w:val="center"/>
        </w:trPr>
        <w:tc>
          <w:tcPr>
            <w:tcW w:w="2218" w:type="dxa"/>
            <w:tcBorders>
              <w:top w:val="single" w:sz="4" w:space="0" w:color="BFC9D9"/>
              <w:left w:val="single" w:sz="24" w:space="0" w:color="A855F7"/>
              <w:bottom w:val="single" w:sz="4" w:space="0" w:color="BFC9D9"/>
              <w:right w:val="single" w:sz="4" w:space="0" w:color="BFC9D9"/>
            </w:tcBorders>
            <w:shd w:val="clear" w:color="auto" w:fill="F4ECFF"/>
          </w:tcPr>
          <w:p>
            <w:pPr>
              <w:spacing w:after="0" w:line="240" w:lineRule="auto"/>
            </w:pPr>
            <w:r>
              <w:rPr>
                <w:b/>
                <w:sz w:val="17"/>
              </w:rPr>
              <w:t>4(g)</w:t>
            </w:r>
          </w:p>
        </w:tc>
        <w:tc>
          <w:tcPr>
            <w:tcW w:w="7862" w:type="dxa"/>
            <w:tcBorders>
              <w:top w:val="single" w:sz="4" w:space="0" w:color="BFC9D9"/>
              <w:left w:val="single" w:sz="4" w:space="0" w:color="BFC9D9"/>
              <w:bottom w:val="single" w:sz="4" w:space="0" w:color="BFC9D9"/>
              <w:right w:val="single" w:sz="4" w:space="0" w:color="BFC9D9"/>
            </w:tcBorders>
            <w:shd w:val="clear" w:color="auto" w:fill="F4ECFF"/>
          </w:tcPr>
          <w:p>
            <w:pPr>
              <w:spacing w:after="0" w:line="240" w:lineRule="auto"/>
            </w:pPr>
            <w:r>
              <w:rPr>
                <w:sz w:val="17"/>
              </w:rPr>
              <w:t>Minors and incompetent persons: follow the law of the state where service is made.</w:t>
            </w:r>
          </w:p>
        </w:tc>
      </w:tr>
      <w:tr>
        <w:trPr>
          <w:cantSplit/>
          <w:jc w:val="center"/>
        </w:trPr>
        <w:tc>
          <w:tcPr>
            <w:tcW w:w="2218"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4(h) corporations and associations</w:t>
            </w:r>
          </w:p>
        </w:tc>
        <w:tc>
          <w:tcPr>
            <w:tcW w:w="7862"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In the United States: the 4(e)(1) state-law method, </w:t>
            </w:r>
            <w:r>
              <w:rPr>
                <w:b/>
                <w:sz w:val="17"/>
              </w:rPr>
              <w:t>or</w:t>
            </w:r>
            <w:r>
              <w:rPr>
                <w:sz w:val="17"/>
              </w:rPr>
              <w:t xml:space="preserve"> delivery to an </w:t>
            </w:r>
            <w:r>
              <w:rPr>
                <w:b/>
                <w:sz w:val="17"/>
              </w:rPr>
              <w:t>officer, a managing or general agent, or an agent authorized by appointment or law</w:t>
            </w:r>
            <w:r>
              <w:rPr>
                <w:sz w:val="17"/>
              </w:rPr>
              <w:t xml:space="preserve"> (plus mailing if a statute requires it). Abroad: any 4(f) method except personal delivery.</w:t>
            </w:r>
          </w:p>
        </w:tc>
      </w:tr>
      <w:tr>
        <w:trPr>
          <w:cantSplit/>
          <w:jc w:val="center"/>
        </w:trPr>
        <w:tc>
          <w:tcPr>
            <w:tcW w:w="2218"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4(i) United States</w:t>
            </w:r>
          </w:p>
        </w:tc>
        <w:tc>
          <w:tcPr>
            <w:tcW w:w="7862"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Deliver to the United States attorney for the district (or mail to the civil-process clerk) </w:t>
            </w:r>
            <w:r>
              <w:rPr>
                <w:b/>
                <w:sz w:val="17"/>
              </w:rPr>
              <w:t>and</w:t>
            </w:r>
            <w:r>
              <w:rPr>
                <w:sz w:val="17"/>
              </w:rPr>
              <w:t xml:space="preserve"> mail to the Attorney General in Washington, D.C.; also mail to any agency or officer whose order is challenged.</w:t>
            </w:r>
          </w:p>
        </w:tc>
      </w:tr>
      <w:tr>
        <w:trPr>
          <w:cantSplit/>
          <w:jc w:val="center"/>
        </w:trPr>
        <w:tc>
          <w:tcPr>
            <w:tcW w:w="2218"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4(k)</w:t>
            </w:r>
          </w:p>
        </w:tc>
        <w:tc>
          <w:tcPr>
            <w:tcW w:w="7862"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Territorial reach and PJ (see Topic 2).</w:t>
            </w:r>
          </w:p>
        </w:tc>
      </w:tr>
      <w:tr>
        <w:trPr>
          <w:cantSplit/>
          <w:jc w:val="center"/>
        </w:trPr>
        <w:tc>
          <w:tcPr>
            <w:tcW w:w="2218" w:type="dxa"/>
            <w:tcBorders>
              <w:top w:val="single" w:sz="4" w:space="0" w:color="BFC9D9"/>
              <w:left w:val="single" w:sz="24" w:space="0" w:color="22C55E"/>
              <w:bottom w:val="single" w:sz="4" w:space="0" w:color="BFC9D9"/>
              <w:right w:val="single" w:sz="4" w:space="0" w:color="BFC9D9"/>
            </w:tcBorders>
            <w:shd w:val="clear" w:color="auto" w:fill="E8F8EE"/>
          </w:tcPr>
          <w:p>
            <w:pPr>
              <w:spacing w:after="0" w:line="240" w:lineRule="auto"/>
            </w:pPr>
            <w:r>
              <w:rPr>
                <w:b/>
                <w:sz w:val="17"/>
              </w:rPr>
              <w:t>4(l)</w:t>
            </w:r>
          </w:p>
        </w:tc>
        <w:tc>
          <w:tcPr>
            <w:tcW w:w="7862"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sz w:val="17"/>
              </w:rPr>
              <w:t>Proof of service by the server's affidavit unless service is waived. Failing to prove service doesn't affect its validity.</w:t>
            </w:r>
          </w:p>
        </w:tc>
      </w:tr>
      <w:tr>
        <w:trPr>
          <w:cantSplit/>
          <w:jc w:val="center"/>
        </w:trPr>
        <w:tc>
          <w:tcPr>
            <w:tcW w:w="2218" w:type="dxa"/>
            <w:tcBorders>
              <w:top w:val="single" w:sz="4" w:space="0" w:color="BFC9D9"/>
              <w:left w:val="single" w:sz="24" w:space="0" w:color="3B82F6"/>
              <w:bottom w:val="single" w:sz="4" w:space="0" w:color="BFC9D9"/>
              <w:right w:val="single" w:sz="4" w:space="0" w:color="BFC9D9"/>
            </w:tcBorders>
            <w:shd w:val="clear" w:color="auto" w:fill="E8F0FE"/>
          </w:tcPr>
          <w:p>
            <w:pPr>
              <w:spacing w:after="0" w:line="240" w:lineRule="auto"/>
            </w:pPr>
            <w:r>
              <w:rPr>
                <w:b/>
                <w:sz w:val="17"/>
              </w:rPr>
              <w:t>4(m)</w:t>
            </w:r>
          </w:p>
        </w:tc>
        <w:tc>
          <w:tcPr>
            <w:tcW w:w="7862"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sz w:val="17"/>
              </w:rPr>
              <w:t xml:space="preserve">Serve within </w:t>
            </w:r>
            <w:r>
              <w:rPr>
                <w:b/>
                <w:sz w:val="17"/>
              </w:rPr>
              <w:t>90 days</w:t>
            </w:r>
            <w:r>
              <w:rPr>
                <w:sz w:val="17"/>
              </w:rPr>
              <w:t xml:space="preserve"> after the complaint is filed, or the court must dismiss without prejudice or order service within a set time. On </w:t>
            </w:r>
            <w:r>
              <w:rPr>
                <w:b/>
                <w:sz w:val="17"/>
              </w:rPr>
              <w:t>good cause</w:t>
            </w:r>
            <w:r>
              <w:rPr>
                <w:sz w:val="17"/>
              </w:rPr>
              <w:t xml:space="preserve"> the court </w:t>
            </w:r>
            <w:r>
              <w:rPr>
                <w:b/>
                <w:sz w:val="17"/>
              </w:rPr>
              <w:t>must</w:t>
            </w:r>
            <w:r>
              <w:rPr>
                <w:sz w:val="17"/>
              </w:rPr>
              <w:t xml:space="preserve"> extend the time. It doesn't apply to service in a foreign country.</w:t>
            </w:r>
          </w:p>
        </w:tc>
      </w:tr>
    </w:tbl>
    <w:p>
      <w:pPr>
        <w:spacing w:after="0" w:line="100" w:lineRule="exact"/>
      </w:pPr>
    </w:p>
    <w:p>
      <w:pPr>
        <w:pStyle w:val="Heading3"/>
      </w:pPr>
      <w:r>
        <w:rPr>
          <w:b w:val="0"/>
        </w:rPr>
        <w:t>Cases</w:t>
      </w:r>
    </w:p>
    <w:p>
      <w:pPr>
        <w:keepNext/>
        <w:pBdr>
          <w:left w:val="single" w:sz="18" w:space="6" w:color="DC2626"/>
        </w:pBdr>
        <w:spacing w:before="100" w:after="20"/>
        <w:ind w:left="173"/>
      </w:pPr>
      <w:r>
        <w:rPr>
          <w:b/>
          <w:color w:val="B91C1C"/>
          <w:sz w:val="21"/>
        </w:rPr>
        <w:t>Mullane v. Central Hanover Bank &amp; Trust Co., 339 U.S. 306 (1950)</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Under New York law, a bank pooled 113 small trusts into a common trust fund and asked a New York court to settle its accounts, which would cut off the beneficiaries' claims of mismanagement. The only notice to the beneficiaries, many of them out of state, was newspaper publication as the statute required. Mullane, appointed to represent some beneficiaries, objected.</w:t>
      </w:r>
    </w:p>
    <w:p>
      <w:pPr>
        <w:keepNext/>
        <w:pBdr>
          <w:left w:val="single" w:sz="18" w:space="6" w:color="DC2626"/>
        </w:pBdr>
        <w:shd w:val="clear" w:color="auto" w:fill="E7F8EE"/>
        <w:spacing w:after="30"/>
        <w:ind w:left="173"/>
      </w:pPr>
      <w:r>
        <w:rPr>
          <w:b/>
          <w:color w:val="15803D"/>
        </w:rPr>
        <w:t xml:space="preserve">Held:  </w:t>
      </w:r>
      <w:r>
        <w:t xml:space="preserve">Publication was </w:t>
      </w:r>
      <w:r>
        <w:rPr>
          <w:b/>
        </w:rPr>
        <w:t>inadequate for known beneficiaries with known addresses</w:t>
      </w:r>
      <w:r>
        <w:t>, who must at least get notice by ordinary mail. It was adequate for beneficiaries whose interests or whereabouts were unknown or not reasonably ascertainable.</w:t>
      </w:r>
    </w:p>
    <w:p>
      <w:pPr>
        <w:pBdr>
          <w:left w:val="single" w:sz="18" w:space="6" w:color="DC2626"/>
        </w:pBdr>
        <w:shd w:val="clear" w:color="auto" w:fill="FEF6C2"/>
        <w:spacing w:after="80"/>
        <w:ind w:left="173"/>
      </w:pPr>
      <w:r>
        <w:rPr>
          <w:b/>
          <w:color w:val="8A6100"/>
        </w:rPr>
        <w:t xml:space="preserve">Why it matters:  </w:t>
      </w:r>
      <w:r>
        <w:rPr>
          <w:b/>
        </w:rPr>
        <w:t>The</w:t>
      </w:r>
      <w:r>
        <w:t xml:space="preserve"> constitutional notice standard, and it applies whether a proceeding is labeled in rem or in personam.</w:t>
      </w:r>
    </w:p>
    <w:p>
      <w:pPr>
        <w:keepNext/>
        <w:pBdr>
          <w:left w:val="single" w:sz="18" w:space="6" w:color="DC2626"/>
        </w:pBdr>
        <w:spacing w:before="100" w:after="20"/>
        <w:ind w:left="173"/>
      </w:pPr>
      <w:r>
        <w:rPr>
          <w:b/>
          <w:color w:val="B91C1C"/>
          <w:sz w:val="21"/>
        </w:rPr>
        <w:t>Jones v. Flowers, 547 U.S. 220 (2006)</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Jones moved out of his Arkansas house but kept paying the mortgage; once it was paid off, the property taxes went unpaid. The state mailed certified letters to the house warning of a tax sale, and both came back "unclaimed." The state published notice, then sold the house to Flowers. Jones learned of it only when his daughter received an eviction notice.</w:t>
      </w:r>
    </w:p>
    <w:p>
      <w:pPr>
        <w:keepNext/>
        <w:pBdr>
          <w:left w:val="single" w:sz="18" w:space="6" w:color="DC2626"/>
        </w:pBdr>
        <w:shd w:val="clear" w:color="auto" w:fill="E7F8EE"/>
        <w:spacing w:after="30"/>
        <w:ind w:left="173"/>
      </w:pPr>
      <w:r>
        <w:rPr>
          <w:b/>
          <w:color w:val="15803D"/>
        </w:rPr>
        <w:t xml:space="preserve">Held:  </w:t>
      </w:r>
      <w:r>
        <w:t xml:space="preserve">Notice was inadequate. When the government learns its attempt at notice has failed before it takes the property, it must take </w:t>
      </w:r>
      <w:r>
        <w:rPr>
          <w:b/>
        </w:rPr>
        <w:t>additional reasonable steps</w:t>
      </w:r>
      <w:r>
        <w:t xml:space="preserve"> if practicable, such as resending by regular mail, posting notice on the door, or addressing mail to "occupant."</w:t>
      </w:r>
    </w:p>
    <w:p>
      <w:pPr>
        <w:pBdr>
          <w:left w:val="single" w:sz="18" w:space="6" w:color="DC2626"/>
        </w:pBdr>
        <w:shd w:val="clear" w:color="auto" w:fill="FEF6C2"/>
        <w:spacing w:after="80"/>
        <w:ind w:left="173"/>
      </w:pPr>
      <w:r>
        <w:rPr>
          <w:b/>
          <w:color w:val="8A6100"/>
        </w:rPr>
        <w:t xml:space="preserve">Why it matters:  </w:t>
      </w:r>
      <w:r>
        <w:t>Refines Mullane: ignoring a known failure of notice is unreasonable, even though actual receipt isn't required.</w:t>
      </w:r>
    </w:p>
    <w:p>
      <w:pPr>
        <w:keepNext/>
        <w:pBdr>
          <w:left w:val="single" w:sz="18" w:space="6" w:color="DC2626"/>
        </w:pBdr>
        <w:spacing w:before="100" w:after="20"/>
        <w:ind w:left="173"/>
      </w:pPr>
      <w:r>
        <w:rPr>
          <w:b/>
          <w:color w:val="B91C1C"/>
          <w:sz w:val="21"/>
        </w:rPr>
        <w:t>Rio Properties, Inc. v. Rio International Interlink, 284 F.3d 1007 (9th Cir. 2002)</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The owner of the Rio casino in Las Vegas sued a Costa Rican internet sports-betting business over its "Rio" websites. The defendant advertised in Las Vegas by print and radio, couldn't be served at its only United States address (an international courier not authorized to accept service), and preferred to be contacted by email. The district court ordered email service, and later entered a default judgment as a sanction for discovery violations.</w:t>
      </w:r>
    </w:p>
    <w:p>
      <w:pPr>
        <w:keepNext/>
        <w:pBdr>
          <w:left w:val="single" w:sz="18" w:space="6" w:color="DC2626"/>
        </w:pBdr>
        <w:shd w:val="clear" w:color="auto" w:fill="E7F8EE"/>
        <w:spacing w:after="30"/>
        <w:ind w:left="173"/>
      </w:pPr>
      <w:r>
        <w:rPr>
          <w:b/>
          <w:color w:val="15803D"/>
        </w:rPr>
        <w:t xml:space="preserve">Held:  </w:t>
      </w:r>
      <w:r>
        <w:t xml:space="preserve">Affirmed. Rule 4(f)(3) is </w:t>
      </w:r>
      <w:r>
        <w:rPr>
          <w:b/>
        </w:rPr>
        <w:t>not a last resort</w:t>
      </w:r>
      <w:r>
        <w:t xml:space="preserve"> and needs no prior attempt at other methods: it requires only a court order and a method not prohibited by international agreement that satisfies Mullane. Email was the method most likely to reach a business that operated by email. The targeted Las Vegas advertising plus the website also supported PJ.</w:t>
      </w:r>
    </w:p>
    <w:p>
      <w:pPr>
        <w:pBdr>
          <w:left w:val="single" w:sz="18" w:space="6" w:color="DC2626"/>
        </w:pBdr>
        <w:shd w:val="clear" w:color="auto" w:fill="FEF6C2"/>
        <w:spacing w:after="80"/>
        <w:ind w:left="173"/>
      </w:pPr>
      <w:r>
        <w:rPr>
          <w:b/>
          <w:color w:val="8A6100"/>
        </w:rPr>
        <w:t xml:space="preserve">Why it matters:  </w:t>
      </w:r>
      <w:r>
        <w:t>Authorizes court-ordered electronic service on foreign defendants. Rule 4(f)(3) applies only to service abroad.</w:t>
      </w:r>
    </w:p>
    <w:p>
      <w:pPr>
        <w:pStyle w:val="Heading1"/>
        <w:shd w:val="clear" w:color="auto" w:fill="1F3864"/>
      </w:pPr>
      <w:bookmarkStart w:id="10" w:name="_Toc900010"/>
      <w:r>
        <w:rPr>
          <w:b w:val="0"/>
        </w:rPr>
        <w:t>PART IV — SUBJECT-MATTER JURISDICTION</w:t>
      </w:r>
      <w:bookmarkEnd w:id="10"/>
    </w:p>
    <w:p>
      <w:pPr>
        <w:pStyle w:val="Heading2"/>
        <w:pBdr>
          <w:bottom w:val="single" w:sz="8" w:space="2" w:color="C55A11"/>
        </w:pBdr>
      </w:pPr>
      <w:bookmarkStart w:id="11" w:name="_Toc900011"/>
      <w:r>
        <w:rPr>
          <w:b w:val="0"/>
        </w:rPr>
        <w:t>8. Subject-Matter Jurisdiction Basics</w:t>
      </w:r>
      <w:bookmarkEnd w:id="11"/>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The party invoking federal jurisdiction bears the burden of establishing it. SMJ </w:t>
            </w:r>
            <w:r>
              <w:rPr>
                <w:b/>
              </w:rPr>
              <w:t>cannot be waived, forfeited, or created by consent</w:t>
            </w:r>
            <w:r>
              <w:t xml:space="preserve">. Any party may raise its absence, or the court must raise it on its own, </w:t>
            </w:r>
            <w:r>
              <w:rPr>
                <w:b/>
              </w:rPr>
              <w:t>at any time</w:t>
            </w:r>
            <w:r>
              <w:t>, even for the first time on appeal, and the court must dismiss the action (Rule 12(h)(3); Mottley).</w:t>
            </w:r>
          </w:p>
        </w:tc>
      </w:tr>
    </w:tbl>
    <w:p>
      <w:pPr>
        <w:spacing w:after="0" w:line="100" w:lineRule="exact"/>
      </w:pPr>
    </w:p>
    <w:p>
      <w:pPr>
        <w:pStyle w:val="ListBullet"/>
      </w:pPr>
      <w:r>
        <w:t>The complaint must contain a short and plain statement of the grounds for the court's jurisdiction (Rule 8(a)(1)).</w:t>
      </w:r>
    </w:p>
    <w:p>
      <w:pPr>
        <w:pStyle w:val="ListBullet"/>
      </w:pPr>
      <w:r>
        <w:t xml:space="preserve">The common grants are </w:t>
      </w:r>
      <w:r>
        <w:rPr>
          <w:b/>
        </w:rPr>
        <w:t>federal question</w:t>
      </w:r>
      <w:r>
        <w:t xml:space="preserve"> (§ 1331), </w:t>
      </w:r>
      <w:r>
        <w:rPr>
          <w:b/>
        </w:rPr>
        <w:t>diversity and alienage</w:t>
      </w:r>
      <w:r>
        <w:t xml:space="preserve"> (§ 1332), and </w:t>
      </w:r>
      <w:r>
        <w:rPr>
          <w:b/>
        </w:rPr>
        <w:t>supplemental jurisdiction</w:t>
      </w:r>
      <w:r>
        <w:t xml:space="preserve"> (§ 1367), and removal (§ 1441) depends on them.</w:t>
      </w:r>
    </w:p>
    <w:p>
      <w:pPr>
        <w:pStyle w:val="Heading2"/>
        <w:pBdr>
          <w:bottom w:val="single" w:sz="8" w:space="2" w:color="C55A11"/>
        </w:pBdr>
      </w:pPr>
      <w:bookmarkStart w:id="12" w:name="_Toc900012"/>
      <w:r>
        <w:rPr>
          <w:b w:val="0"/>
        </w:rPr>
        <w:t>9. Federal Question Jurisdiction</w:t>
      </w:r>
      <w:bookmarkEnd w:id="12"/>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28 U.S.C. § 1331:</w:t>
            </w:r>
            <w:r>
              <w:t xml:space="preserve"> the district courts have original jurisdiction of "all civil actions arising under the Constitution, laws, or treaties of the United States." There is no amount-in-controversy requirement.</w:t>
            </w:r>
          </w:p>
        </w:tc>
      </w:tr>
    </w:tbl>
    <w:p>
      <w:pPr>
        <w:spacing w:after="0" w:line="100" w:lineRule="exact"/>
      </w:pPr>
    </w:p>
    <w:p>
      <w:pPr>
        <w:pStyle w:val="Heading3"/>
      </w:pPr>
      <w:r>
        <w:rPr>
          <w:b w:val="0"/>
        </w:rPr>
        <w:t>Step 1: the well-pleaded complaint rule</w:t>
      </w:r>
    </w:p>
    <w:p>
      <w:pPr>
        <w:pStyle w:val="ListBullet"/>
      </w:pPr>
      <w:r>
        <w:t xml:space="preserve">The federal question must appear on the face of the plaintiff's </w:t>
      </w:r>
      <w:r>
        <w:rPr>
          <w:b/>
        </w:rPr>
        <w:t>properly pleaded claim</w:t>
      </w:r>
      <w:r>
        <w:t xml:space="preserve">. A federal </w:t>
      </w:r>
      <w:r>
        <w:rPr>
          <w:b/>
        </w:rPr>
        <w:t>defense</w:t>
      </w:r>
      <w:r>
        <w:t xml:space="preserve">, even an anticipated one the plaintiff mentions in the complaint, doesn't count (Mottley). </w:t>
      </w:r>
      <w:r>
        <w:rPr>
          <w:i/>
          <w:color w:val="64748B"/>
        </w:rPr>
        <w:t>◆ Neither does a federal counterclaim (Holmes Group v. Vornado (2002)), and a declaratory-judgment action is judged by the coercive suit it anticipates (Skelly Oil (1950)).</w:t>
      </w:r>
    </w:p>
    <w:p>
      <w:pPr>
        <w:pStyle w:val="ListBullet"/>
      </w:pPr>
      <w:r>
        <w:t xml:space="preserve">The plaintiff is the </w:t>
      </w:r>
      <w:r>
        <w:rPr>
          <w:b/>
        </w:rPr>
        <w:t>master of the complaint</w:t>
      </w:r>
      <w:r>
        <w:t xml:space="preserve"> and may stay out of federal court by pleading only state claims. A vague reference to "federal law" doesn't plead a federal claim (Avitts, Topic 12).</w:t>
      </w:r>
    </w:p>
    <w:p>
      <w:pPr>
        <w:pStyle w:val="Heading3"/>
      </w:pPr>
      <w:r>
        <w:rPr>
          <w:b w:val="0"/>
        </w:rPr>
        <w:t>Step 2: does federal law create the cause of action?</w:t>
      </w:r>
    </w:p>
    <w:p>
      <w:pPr>
        <w:pStyle w:val="ListBullet"/>
      </w:pPr>
      <w:r>
        <w:rPr>
          <w:b/>
        </w:rPr>
        <w:t>The creation test:</w:t>
      </w:r>
      <w:r>
        <w:t xml:space="preserve"> "a suit arises under the law that creates the cause of action" (Holmes, J., in American Well Works (1916)). Claims under federal statutes (civil rights, Title VII, the Lanham Act) or directly under the Constitution satisfy § 1331. This covers the vast majority of cases.</w:t>
      </w:r>
    </w:p>
    <w:p>
      <w:pPr>
        <w:pStyle w:val="ListBullet"/>
      </w:pPr>
      <w:r>
        <w:rPr>
          <w:i/>
          <w:color w:val="64748B"/>
        </w:rPr>
        <w:t>◆ A federal claim that is so insubstantial it is frivolous fails for lack of jurisdiction; any other federal claim that fails on the merits is dismissed under Rule 12(b)(6) (Bell v. Hood (1946)).</w:t>
      </w:r>
    </w:p>
    <w:p>
      <w:pPr>
        <w:pStyle w:val="Heading3"/>
      </w:pPr>
      <w:r>
        <w:rPr>
          <w:b w:val="0"/>
        </w:rPr>
        <w:t>Step 3: a state-law claim with an embedded federal issue (narrow)</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 state-law claim arises under federal law if the federal issue is </w:t>
            </w:r>
            <w:r>
              <w:rPr>
                <w:color w:val="B91C1C"/>
                <w:shd w:val="clear" w:color="auto" w:fill="FDE2E2"/>
              </w:rPr>
              <w:t xml:space="preserve">(1) </w:t>
            </w:r>
            <w:r>
              <w:rPr>
                <w:b/>
                <w:color w:val="B91C1C"/>
                <w:shd w:val="clear" w:color="auto" w:fill="FDE2E2"/>
              </w:rPr>
              <w:t xml:space="preserve">necessarily raised</w:t>
            </w:r>
            <w:r>
              <w:rPr>
                <w:color w:val="B91C1C"/>
                <w:shd w:val="clear" w:color="auto" w:fill="FDE2E2"/>
              </w:rPr>
              <w:t xml:space="preserve">, </w:t>
            </w:r>
            <w:r>
              <w:rPr>
                <w:color w:val="C2410C"/>
                <w:shd w:val="clear" w:color="auto" w:fill="FFE7D1"/>
              </w:rPr>
              <w:t xml:space="preserve">(2) </w:t>
            </w:r>
            <w:r>
              <w:rPr>
                <w:b/>
                <w:color w:val="C2410C"/>
                <w:shd w:val="clear" w:color="auto" w:fill="FFE7D1"/>
              </w:rPr>
              <w:t xml:space="preserve">actually disputed</w:t>
            </w:r>
            <w:r>
              <w:rPr>
                <w:color w:val="C2410C"/>
                <w:shd w:val="clear" w:color="auto" w:fill="FFE7D1"/>
              </w:rPr>
              <w:t xml:space="preserve">, </w:t>
            </w:r>
            <w:r>
              <w:rPr>
                <w:color w:val="854D0E"/>
                <w:shd w:val="clear" w:color="auto" w:fill="FDF1A8"/>
              </w:rPr>
              <w:t xml:space="preserve">(3) </w:t>
            </w:r>
            <w:r>
              <w:rPr>
                <w:b/>
                <w:color w:val="854D0E"/>
                <w:shd w:val="clear" w:color="auto" w:fill="FDF1A8"/>
              </w:rPr>
              <w:t xml:space="preserve">substantial</w:t>
            </w:r>
            <w:r>
              <w:rPr>
                <w:color w:val="854D0E"/>
                <w:shd w:val="clear" w:color="auto" w:fill="FDF1A8"/>
              </w:rPr>
              <w:t xml:space="preserve">, and </w:t>
            </w:r>
            <w:r>
              <w:rPr>
                <w:color w:val="15803D"/>
                <w:shd w:val="clear" w:color="auto" w:fill="D7F5E1"/>
              </w:rPr>
              <w:t xml:space="preserve">(4) </w:t>
            </w:r>
            <w:r>
              <w:rPr>
                <w:b/>
                <w:color w:val="15803D"/>
                <w:shd w:val="clear" w:color="auto" w:fill="D7F5E1"/>
              </w:rPr>
              <w:t xml:space="preserve">capable of resolution in federal court without disrupting the federal-state balance</w:t>
            </w:r>
            <w:r>
              <w:rPr>
                <w:color w:val="15803D"/>
                <w:shd w:val="clear" w:color="auto" w:fill="D7F5E1"/>
              </w:rPr>
              <w:t xml:space="preserve"> approved by Congress (Grable and Gunn).</w:t>
            </w:r>
          </w:p>
        </w:tc>
      </w:tr>
    </w:tbl>
    <w:p>
      <w:pPr>
        <w:spacing w:after="0" w:line="100" w:lineRule="exact"/>
      </w:pPr>
    </w:p>
    <w:p>
      <w:pPr>
        <w:pStyle w:val="ListBullet"/>
      </w:pPr>
      <w:r>
        <w:rPr>
          <w:b/>
        </w:rPr>
        <w:t>"Substantial"</w:t>
      </w:r>
      <w:r>
        <w:t xml:space="preserve"> means important to the </w:t>
      </w:r>
      <w:r>
        <w:rPr>
          <w:b/>
        </w:rPr>
        <w:t>federal system as a whole</w:t>
      </w:r>
      <w:r>
        <w:t xml:space="preserve">, not just to the parties: a pure, important question of federal law (Grable's question about federal tax-seizure notice) qualifies; a backward-looking, fact-bound "case within a case" (Gunn's hypothetical patent question inside a malpractice claim) doesn't. </w:t>
      </w:r>
      <w:r>
        <w:rPr>
          <w:i/>
          <w:color w:val="64748B"/>
        </w:rPr>
        <w:t>◆ The absence of a federal private right of action weighs against jurisdiction (Merrell Dow (1986)).</w:t>
      </w:r>
    </w:p>
    <w:p>
      <w:pPr>
        <w:pStyle w:val="ListBullet"/>
      </w:pPr>
      <w:r>
        <w:rPr>
          <w:b/>
        </w:rPr>
        <w:t>Balance:</w:t>
      </w:r>
      <w:r>
        <w:t xml:space="preserve"> states have a strong interest in regulating lawyers (Gunn), and opening federal courts to every state claim that borrows a federal standard would shift a large share of ordinary state cases into federal court.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Article III "arising under" (any federal ingredient, Osborn v. Bank of the United States (1824)) is much broader than statutory § 1331. A fact pattern may satisfy Article III yet fail the well-pleaded complaint rule; then there is no § 1331 jurisdiction.</w:t>
            </w:r>
          </w:p>
        </w:tc>
      </w:tr>
    </w:tbl>
    <w:p>
      <w:pPr>
        <w:spacing w:after="0" w:line="100" w:lineRule="exact"/>
      </w:pPr>
    </w:p>
    <w:p>
      <w:pPr>
        <w:pStyle w:val="Heading3"/>
      </w:pPr>
      <w:r>
        <w:rPr>
          <w:b w:val="0"/>
        </w:rPr>
        <w:t>Cases</w:t>
      </w:r>
    </w:p>
    <w:p>
      <w:pPr>
        <w:keepNext/>
        <w:pBdr>
          <w:left w:val="single" w:sz="18" w:space="6" w:color="DC2626"/>
        </w:pBdr>
        <w:spacing w:before="100" w:after="20"/>
        <w:ind w:left="173"/>
      </w:pPr>
      <w:r>
        <w:rPr>
          <w:b/>
          <w:color w:val="B91C1C"/>
          <w:sz w:val="21"/>
        </w:rPr>
        <w:t>Louisville &amp; Nashville Railroad Co. v. Mottley, 211 U.S. 149 (1908)</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The Mottleys, Kentucky citizens injured in an 1871 train wreck, settled with the railroad (a Kentucky corporation) for free lifetime passes. In 1907 the railroad refused to renew them, citing a new federal statute barring free passes. The Mottleys sued in federal court for specific performance, alleging that the statute didn't apply and was unconstitutional if it did.</w:t>
      </w:r>
    </w:p>
    <w:p>
      <w:pPr>
        <w:keepNext/>
        <w:pBdr>
          <w:left w:val="single" w:sz="18" w:space="6" w:color="DC2626"/>
        </w:pBdr>
        <w:shd w:val="clear" w:color="auto" w:fill="E7F8EE"/>
        <w:spacing w:after="30"/>
        <w:ind w:left="173"/>
      </w:pPr>
      <w:r>
        <w:rPr>
          <w:b/>
          <w:color w:val="15803D"/>
        </w:rPr>
        <w:t xml:space="preserve">Held:  </w:t>
      </w:r>
      <w:r>
        <w:t>No jurisdiction; the Court raised the issue itself and ordered dismissal. Their claim was a state-law contract claim, and the federal statute entered the case only as the railroad's anticipated defense.</w:t>
      </w:r>
    </w:p>
    <w:p>
      <w:pPr>
        <w:pBdr>
          <w:left w:val="single" w:sz="18" w:space="6" w:color="DC2626"/>
        </w:pBdr>
        <w:shd w:val="clear" w:color="auto" w:fill="FEF6C2"/>
        <w:spacing w:after="80"/>
        <w:ind w:left="173"/>
      </w:pPr>
      <w:r>
        <w:rPr>
          <w:b/>
          <w:color w:val="8A6100"/>
        </w:rPr>
        <w:t xml:space="preserve">Why it matters:  </w:t>
      </w:r>
      <w:r>
        <w:rPr>
          <w:b/>
        </w:rPr>
        <w:t>The well-pleaded complaint rule</w:t>
      </w:r>
      <w:r>
        <w:t>, and proof that federal courts must police their own SMJ even when neither party objects.</w:t>
      </w:r>
    </w:p>
    <w:p>
      <w:pPr>
        <w:keepNext/>
        <w:pBdr>
          <w:left w:val="single" w:sz="18" w:space="6" w:color="DC2626"/>
        </w:pBdr>
        <w:spacing w:before="100" w:after="20"/>
        <w:ind w:left="173"/>
      </w:pPr>
      <w:r>
        <w:rPr>
          <w:b/>
          <w:color w:val="B91C1C"/>
          <w:sz w:val="21"/>
        </w:rPr>
        <w:t>Gunn v. Minton, 568 U.S. 251 (2013)</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Minton lost a federal patent suit when his patent was held invalid under the on-sale bar. He then sued his patent lawyers for malpractice in Texas state court, claiming they failed to raise an "experimental use" argument in time. After losing, he argued the state courts lacked jurisdiction because the claim arose under patent law, which is exclusively federal.</w:t>
      </w:r>
    </w:p>
    <w:p>
      <w:pPr>
        <w:keepNext/>
        <w:pBdr>
          <w:left w:val="single" w:sz="18" w:space="6" w:color="DC2626"/>
        </w:pBdr>
        <w:shd w:val="clear" w:color="auto" w:fill="E7F8EE"/>
        <w:spacing w:after="30"/>
        <w:ind w:left="173"/>
      </w:pPr>
      <w:r>
        <w:rPr>
          <w:b/>
          <w:color w:val="15803D"/>
        </w:rPr>
        <w:t xml:space="preserve">Held:  </w:t>
      </w:r>
      <w:r>
        <w:t>The malpractice claim does not arise under federal patent law, so the state courts had jurisdiction. The patent issue was necessarily raised and actually disputed, but it wasn't substantial to the federal system (it was hypothetical and backward-looking and couldn't change the earlier patent judgment), and federal jurisdiction would disrupt the states' regulation of lawyers.</w:t>
      </w:r>
    </w:p>
    <w:p>
      <w:pPr>
        <w:pBdr>
          <w:left w:val="single" w:sz="18" w:space="6" w:color="DC2626"/>
        </w:pBdr>
        <w:shd w:val="clear" w:color="auto" w:fill="FEF6C2"/>
        <w:spacing w:after="80"/>
        <w:ind w:left="173"/>
      </w:pPr>
      <w:r>
        <w:rPr>
          <w:b/>
          <w:color w:val="8A6100"/>
        </w:rPr>
        <w:t xml:space="preserve">Why it matters:  </w:t>
      </w:r>
      <w:r>
        <w:t>Applies the four-part Grable test and shows how narrow the embedded-federal-issue category is.</w:t>
      </w:r>
    </w:p>
    <w:p>
      <w:pPr>
        <w:keepNext/>
        <w:pBdr>
          <w:left w:val="single" w:sz="18" w:space="6" w:color="EA580C"/>
        </w:pBdr>
        <w:spacing w:before="100" w:after="20"/>
        <w:ind w:left="173"/>
      </w:pPr>
      <w:r>
        <w:rPr>
          <w:b/>
          <w:color w:val="C2410C"/>
          <w:sz w:val="21"/>
        </w:rPr>
        <w:t>Grable &amp; Sons Metal Products, Inc. v. Darue Engineering &amp; Manufacturing, 545 U.S. 308 (2005)</w:t>
      </w:r>
      <w:r>
        <w:rPr>
          <w:color w:val="C2410C"/>
          <w:sz w:val="15"/>
        </w:rPr>
        <w:t xml:space="preserve">  </w:t>
      </w:r>
      <w:r>
        <w:rPr>
          <w:b/>
          <w:color w:val="FFFFFF"/>
          <w:sz w:val="15"/>
          <w:shd w:val="clear" w:color="auto" w:fill="EA580C"/>
        </w:rPr>
        <w:t xml:space="preserve"> SUPPLEMENTAL READING · WEEK 5 </w:t>
      </w:r>
    </w:p>
    <w:p>
      <w:pPr>
        <w:keepNext/>
        <w:pBdr>
          <w:left w:val="single" w:sz="18" w:space="6" w:color="EA580C"/>
        </w:pBdr>
        <w:shd w:val="clear" w:color="auto" w:fill="EAF2FF"/>
        <w:spacing w:after="30"/>
        <w:ind w:left="173"/>
      </w:pPr>
      <w:r>
        <w:rPr>
          <w:b/>
          <w:color w:val="1D4ED8"/>
        </w:rPr>
        <w:t xml:space="preserve">Facts:  </w:t>
      </w:r>
      <w:r>
        <w:t>The Internal Revenue Service (IRS) seized Grable's land for unpaid taxes and sold it to Darue, giving Grable notice by certified mail. Grable sued Darue in state court to quiet title, arguing that federal law required personal service. Darue removed.</w:t>
      </w:r>
    </w:p>
    <w:p>
      <w:pPr>
        <w:keepNext/>
        <w:pBdr>
          <w:left w:val="single" w:sz="18" w:space="6" w:color="EA580C"/>
        </w:pBdr>
        <w:shd w:val="clear" w:color="auto" w:fill="E7F8EE"/>
        <w:spacing w:after="30"/>
        <w:ind w:left="173"/>
      </w:pPr>
      <w:r>
        <w:rPr>
          <w:b/>
          <w:color w:val="15803D"/>
        </w:rPr>
        <w:t xml:space="preserve">Held:  </w:t>
      </w:r>
      <w:r>
        <w:t>Federal-question jurisdiction existed. The meaning of the federal notice statute was the central disputed issue, the government has a strong interest in its tax-collection procedures, and few quiet-title cases turn on federal tax law.</w:t>
      </w:r>
    </w:p>
    <w:p>
      <w:pPr>
        <w:pBdr>
          <w:left w:val="single" w:sz="18" w:space="6" w:color="EA580C"/>
        </w:pBdr>
        <w:shd w:val="clear" w:color="auto" w:fill="FEF6C2"/>
        <w:spacing w:after="80"/>
        <w:ind w:left="173"/>
      </w:pPr>
      <w:r>
        <w:rPr>
          <w:b/>
          <w:color w:val="8A6100"/>
        </w:rPr>
        <w:t xml:space="preserve">Why it matters:  </w:t>
      </w:r>
      <w:r>
        <w:t>The source of the embedded-federal-issue test that Gunn applies.</w:t>
      </w:r>
    </w:p>
    <w:p>
      <w:pPr>
        <w:pStyle w:val="Heading2"/>
        <w:pBdr>
          <w:bottom w:val="single" w:sz="8" w:space="2" w:color="C55A11"/>
        </w:pBdr>
      </w:pPr>
      <w:bookmarkStart w:id="13" w:name="_Toc900013"/>
      <w:r>
        <w:rPr>
          <w:b w:val="0"/>
        </w:rPr>
        <w:t>10. Diversity and Alienage Jurisdiction</w:t>
      </w:r>
      <w:bookmarkEnd w:id="13"/>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28 U.S.C. § 1332(a):</w:t>
            </w:r>
            <w:r>
              <w:t xml:space="preserve"> original jurisdiction where the </w:t>
            </w:r>
            <w:r>
              <w:rPr>
                <w:b/>
              </w:rPr>
              <w:t>amount in controversy exceeds $75,000</w:t>
            </w:r>
            <w:r>
              <w:t xml:space="preserve">, exclusive of interest and costs, </w:t>
            </w:r>
            <w:r>
              <w:rPr>
                <w:b/>
              </w:rPr>
              <w:t>and</w:t>
            </w:r>
            <w:r>
              <w:t xml:space="preserve"> the action is between </w:t>
            </w:r>
            <w:r>
              <w:rPr>
                <w:color w:val="B91C1C"/>
                <w:shd w:val="clear" w:color="auto" w:fill="FDE2E2"/>
              </w:rPr>
              <w:t xml:space="preserve">(1) </w:t>
            </w:r>
            <w:r>
              <w:rPr>
                <w:b/>
                <w:color w:val="B91C1C"/>
                <w:shd w:val="clear" w:color="auto" w:fill="FDE2E2"/>
              </w:rPr>
              <w:t xml:space="preserve">citizens of different states</w:t>
            </w:r>
            <w:r>
              <w:rPr>
                <w:color w:val="B91C1C"/>
                <w:shd w:val="clear" w:color="auto" w:fill="FDE2E2"/>
              </w:rPr>
              <w:t xml:space="preserve">; </w:t>
            </w:r>
            <w:r>
              <w:rPr>
                <w:color w:val="C2410C"/>
                <w:shd w:val="clear" w:color="auto" w:fill="FFE7D1"/>
              </w:rPr>
              <w:t xml:space="preserve">(2) </w:t>
            </w:r>
            <w:r>
              <w:rPr>
                <w:b/>
                <w:color w:val="C2410C"/>
                <w:shd w:val="clear" w:color="auto" w:fill="FFE7D1"/>
              </w:rPr>
              <w:t xml:space="preserve">citizens of a state and citizens or subjects of a foreign state</w:t>
            </w:r>
            <w:r>
              <w:rPr>
                <w:color w:val="C2410C"/>
                <w:shd w:val="clear" w:color="auto" w:fill="FFE7D1"/>
              </w:rPr>
              <w:t xml:space="preserve">, except a suit between a state citizen and a foreign citizen </w:t>
            </w:r>
            <w:r>
              <w:rPr>
                <w:b/>
                <w:color w:val="C2410C"/>
                <w:shd w:val="clear" w:color="auto" w:fill="FFE7D1"/>
              </w:rPr>
              <w:t xml:space="preserve">lawfully admitted for permanent residence</w:t>
            </w:r>
            <w:r>
              <w:rPr>
                <w:color w:val="C2410C"/>
                <w:shd w:val="clear" w:color="auto" w:fill="FFE7D1"/>
              </w:rPr>
              <w:t xml:space="preserve"> who is </w:t>
            </w:r>
            <w:r>
              <w:rPr>
                <w:b/>
                <w:color w:val="C2410C"/>
                <w:shd w:val="clear" w:color="auto" w:fill="FFE7D1"/>
              </w:rPr>
              <w:t xml:space="preserve">domiciled in the same state</w:t>
            </w:r>
            <w:r>
              <w:rPr>
                <w:color w:val="C2410C"/>
                <w:shd w:val="clear" w:color="auto" w:fill="FFE7D1"/>
              </w:rPr>
              <w:t xml:space="preserve">; </w:t>
            </w:r>
            <w:r>
              <w:rPr>
                <w:color w:val="854D0E"/>
                <w:shd w:val="clear" w:color="auto" w:fill="FDF1A8"/>
              </w:rPr>
              <w:t xml:space="preserve">(3) citizens of different states with foreign citizens as </w:t>
            </w:r>
            <w:r>
              <w:rPr>
                <w:b/>
                <w:color w:val="854D0E"/>
                <w:shd w:val="clear" w:color="auto" w:fill="FDF1A8"/>
              </w:rPr>
              <w:t xml:space="preserve">additional</w:t>
            </w:r>
            <w:r>
              <w:rPr>
                <w:color w:val="854D0E"/>
                <w:shd w:val="clear" w:color="auto" w:fill="FDF1A8"/>
              </w:rPr>
              <w:t xml:space="preserve"> parties; or </w:t>
            </w:r>
            <w:r>
              <w:rPr>
                <w:color w:val="15803D"/>
                <w:shd w:val="clear" w:color="auto" w:fill="D7F5E1"/>
              </w:rPr>
              <w:t xml:space="preserve">(4) a foreign state as plaintiff and citizens of a state or of different states.</w:t>
            </w:r>
          </w:p>
        </w:tc>
      </w:tr>
    </w:tbl>
    <w:p>
      <w:pPr>
        <w:spacing w:after="0" w:line="100" w:lineRule="exact"/>
      </w:pPr>
    </w:p>
    <w:p>
      <w:pPr>
        <w:pStyle w:val="Heading3"/>
      </w:pPr>
      <w:r>
        <w:rPr>
          <w:b w:val="0"/>
        </w:rPr>
        <w:t>Complete diversity</w:t>
      </w:r>
    </w:p>
    <w:p>
      <w:pPr>
        <w:pStyle w:val="ListBullet"/>
      </w:pPr>
      <w:r>
        <w:rPr>
          <w:b/>
        </w:rPr>
        <w:t>No plaintiff may share citizenship with any defendant</w:t>
      </w:r>
      <w:r>
        <w:t xml:space="preserve"> (Strawbridge v. Curtiss (1806)). Co-plaintiffs, or co-defendants, may share citizenship with each other. </w:t>
      </w:r>
      <w:r>
        <w:rPr>
          <w:i/>
          <w:color w:val="64748B"/>
        </w:rPr>
        <w:t>◆ Complete diversity is a statutory requirement; Article III requires only minimal diversity (State Farm v. Tashire (1967)), which is why the Class Action Fairness Act (CAFA), § 1332(d), can use minimal diversity.</w:t>
      </w:r>
    </w:p>
    <w:p>
      <w:pPr>
        <w:pStyle w:val="ListBullet"/>
      </w:pPr>
      <w:r>
        <w:rPr>
          <w:b/>
        </w:rPr>
        <w:t>Time of filing:</w:t>
      </w:r>
      <w:r>
        <w:t xml:space="preserve"> citizenship is measured when the complaint is filed (for removal, also at removal). A later move neither creates nor destroys jurisdiction. </w:t>
      </w:r>
      <w:r>
        <w:rPr>
          <w:i/>
          <w:color w:val="64748B"/>
        </w:rPr>
        <w:t>◆ A court can cure a diversity defect only by dropping a dispensable non-diverse party under Rule 21; the parties can't fix it by consent or by waiting (Grupo Dataflux (2004); Newman-Green (1989)).</w:t>
      </w:r>
    </w:p>
    <w:p>
      <w:pPr>
        <w:pStyle w:val="ListBullet"/>
      </w:pPr>
      <w:r>
        <w:rPr>
          <w:b/>
        </w:rPr>
        <w:t>Aliens on both sides</w:t>
      </w:r>
      <w:r>
        <w:t xml:space="preserve"> with no United States citizen in the case: no jurisdiction under § 1332(a)(2).</w:t>
      </w:r>
    </w:p>
    <w:p>
      <w:pPr>
        <w:pStyle w:val="Heading3"/>
      </w:pPr>
      <w:r>
        <w:rPr>
          <w:b w:val="0"/>
        </w:rPr>
        <w:t>Citizenship</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621"/>
        <w:gridCol w:w="7459"/>
      </w:tblGrid>
      <w:tr>
        <w:trPr>
          <w:cantSplit/>
          <w:tblHeader/>
          <w:jc w:val="center"/>
        </w:trPr>
        <w:tc>
          <w:tcPr>
            <w:tcW w:w="2621"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Party</w:t>
            </w:r>
          </w:p>
        </w:tc>
        <w:tc>
          <w:tcPr>
            <w:tcW w:w="7459"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Citizenship</w:t>
            </w:r>
          </w:p>
        </w:tc>
      </w:tr>
      <w:tr>
        <w:trPr>
          <w:cantSplit/>
          <w:jc w:val="center"/>
        </w:trPr>
        <w:tc>
          <w:tcPr>
            <w:tcW w:w="2621"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United States citizen (natural person)</w:t>
            </w:r>
          </w:p>
        </w:tc>
        <w:tc>
          <w:tcPr>
            <w:tcW w:w="7459"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The state of </w:t>
            </w:r>
            <w:r>
              <w:rPr>
                <w:b/>
                <w:sz w:val="17"/>
              </w:rPr>
              <w:t>domicile</w:t>
            </w:r>
            <w:r>
              <w:rPr>
                <w:sz w:val="17"/>
              </w:rPr>
              <w:t xml:space="preserve">: (1) physical presence there plus (2) </w:t>
            </w:r>
            <w:r>
              <w:rPr>
                <w:b/>
                <w:sz w:val="17"/>
              </w:rPr>
              <w:t>intent to remain indefinitely</w:t>
            </w:r>
            <w:r>
              <w:rPr>
                <w:sz w:val="17"/>
              </w:rPr>
              <w:t xml:space="preserve"> (Gordon; Mas). A domicile continues until a new one is acquired. Students and others who are somewhere temporarily keep their old domicile unless they form intent to stay. Spouses each have their own domicile (Mas). Evidence of intent: voting, driver's license, home or lease, taxes, job, bank accounts, statements.</w:t>
            </w:r>
          </w:p>
        </w:tc>
      </w:tr>
      <w:tr>
        <w:trPr>
          <w:cantSplit/>
          <w:jc w:val="center"/>
        </w:trPr>
        <w:tc>
          <w:tcPr>
            <w:tcW w:w="2621"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United States citizen domiciled abroad</w:t>
            </w:r>
          </w:p>
        </w:tc>
        <w:tc>
          <w:tcPr>
            <w:tcW w:w="7459"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A citizen of </w:t>
            </w:r>
            <w:r>
              <w:rPr>
                <w:b/>
                <w:sz w:val="17"/>
              </w:rPr>
              <w:t>no</w:t>
            </w:r>
            <w:r>
              <w:rPr>
                <w:sz w:val="17"/>
              </w:rPr>
              <w:t xml:space="preserve"> state and not an alien, so neither diversity nor alienage jurisdiction is available for or against that person.</w:t>
            </w:r>
          </w:p>
        </w:tc>
      </w:tr>
      <w:tr>
        <w:trPr>
          <w:cantSplit/>
          <w:jc w:val="center"/>
        </w:trPr>
        <w:tc>
          <w:tcPr>
            <w:tcW w:w="2621"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Alien</w:t>
            </w:r>
          </w:p>
        </w:tc>
        <w:tc>
          <w:tcPr>
            <w:tcW w:w="7459"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 xml:space="preserve">A "citizen or subject of a foreign state." A </w:t>
            </w:r>
            <w:r>
              <w:rPr>
                <w:b/>
                <w:sz w:val="17"/>
              </w:rPr>
              <w:t>lawful permanent resident is an alien</w:t>
            </w:r>
            <w:r>
              <w:rPr>
                <w:sz w:val="17"/>
              </w:rPr>
              <w:t xml:space="preserve">; the only carve-out is a suit against a United States citizen domiciled in the </w:t>
            </w:r>
            <w:r>
              <w:rPr>
                <w:b/>
                <w:sz w:val="17"/>
              </w:rPr>
              <w:t>same</w:t>
            </w:r>
            <w:r>
              <w:rPr>
                <w:sz w:val="17"/>
              </w:rPr>
              <w:t xml:space="preserve"> state. </w:t>
            </w:r>
            <w:r>
              <w:rPr>
                <w:i/>
                <w:color w:val="64748B"/>
                <w:sz w:val="17"/>
              </w:rPr>
              <w:t>◆ A dual United States and foreign citizen counts only as a United States citizen, a citizen of the state of domicile.</w:t>
            </w:r>
          </w:p>
        </w:tc>
      </w:tr>
      <w:tr>
        <w:trPr>
          <w:cantSplit/>
          <w:jc w:val="center"/>
        </w:trPr>
        <w:tc>
          <w:tcPr>
            <w:tcW w:w="2621" w:type="dxa"/>
            <w:tcBorders>
              <w:top w:val="single" w:sz="4" w:space="0" w:color="BFC9D9"/>
              <w:left w:val="single" w:sz="24" w:space="0" w:color="22C55E"/>
              <w:bottom w:val="single" w:sz="4" w:space="0" w:color="BFC9D9"/>
              <w:right w:val="single" w:sz="4" w:space="0" w:color="BFC9D9"/>
            </w:tcBorders>
            <w:shd w:val="clear" w:color="auto" w:fill="E8F8EE"/>
          </w:tcPr>
          <w:p>
            <w:pPr>
              <w:spacing w:after="0" w:line="240" w:lineRule="auto"/>
            </w:pPr>
            <w:r>
              <w:rPr>
                <w:b/>
                <w:sz w:val="17"/>
              </w:rPr>
              <w:t>Corporation, § 1332(c)(1)</w:t>
            </w:r>
          </w:p>
        </w:tc>
        <w:tc>
          <w:tcPr>
            <w:tcW w:w="7459"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b/>
                <w:sz w:val="17"/>
              </w:rPr>
              <w:t>Every</w:t>
            </w:r>
            <w:r>
              <w:rPr>
                <w:sz w:val="17"/>
              </w:rPr>
              <w:t xml:space="preserve"> state and foreign state where it is </w:t>
            </w:r>
            <w:r>
              <w:rPr>
                <w:b/>
                <w:sz w:val="17"/>
              </w:rPr>
              <w:t>incorporated</w:t>
            </w:r>
            <w:r>
              <w:rPr>
                <w:sz w:val="17"/>
              </w:rPr>
              <w:t xml:space="preserve">, </w:t>
            </w:r>
            <w:r>
              <w:rPr>
                <w:b/>
                <w:sz w:val="17"/>
              </w:rPr>
              <w:t>and</w:t>
            </w:r>
            <w:r>
              <w:rPr>
                <w:sz w:val="17"/>
              </w:rPr>
              <w:t xml:space="preserve"> the state or foreign state of its </w:t>
            </w:r>
            <w:r>
              <w:rPr>
                <w:b/>
                <w:sz w:val="17"/>
              </w:rPr>
              <w:t>PPB</w:t>
            </w:r>
            <w:r>
              <w:rPr>
                <w:sz w:val="17"/>
              </w:rPr>
              <w:t xml:space="preserve">, the </w:t>
            </w:r>
            <w:r>
              <w:rPr>
                <w:b/>
                <w:sz w:val="17"/>
              </w:rPr>
              <w:t>"nerve center"</w:t>
            </w:r>
            <w:r>
              <w:rPr>
                <w:sz w:val="17"/>
              </w:rPr>
              <w:t xml:space="preserve"> where high-level officers direct, control, and coordinate its activities, normally its headquarters (Hertz).</w:t>
            </w:r>
          </w:p>
        </w:tc>
      </w:tr>
      <w:tr>
        <w:trPr>
          <w:cantSplit/>
          <w:jc w:val="center"/>
        </w:trPr>
        <w:tc>
          <w:tcPr>
            <w:tcW w:w="2621" w:type="dxa"/>
            <w:tcBorders>
              <w:top w:val="single" w:sz="4" w:space="0" w:color="BFC9D9"/>
              <w:left w:val="single" w:sz="24" w:space="0" w:color="3B82F6"/>
              <w:bottom w:val="single" w:sz="4" w:space="0" w:color="BFC9D9"/>
              <w:right w:val="single" w:sz="4" w:space="0" w:color="BFC9D9"/>
            </w:tcBorders>
            <w:shd w:val="clear" w:color="auto" w:fill="E8F0FE"/>
          </w:tcPr>
          <w:p>
            <w:pPr>
              <w:spacing w:after="0" w:line="240" w:lineRule="auto"/>
            </w:pPr>
            <w:r>
              <w:rPr>
                <w:b/>
                <w:sz w:val="17"/>
              </w:rPr>
              <w:t>Unincorporated associations: partnerships, limited liability companies (LLCs), unions</w:t>
            </w:r>
          </w:p>
        </w:tc>
        <w:tc>
          <w:tcPr>
            <w:tcW w:w="7459"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i/>
                <w:color w:val="64748B"/>
                <w:sz w:val="17"/>
              </w:rPr>
              <w:t>◆ A citizen of **every state of which any member is a citizen**, traced through each layer of members (Carden v. Arkoma Associates (1990)).</w:t>
            </w:r>
          </w:p>
        </w:tc>
      </w:tr>
      <w:tr>
        <w:trPr>
          <w:cantSplit/>
          <w:jc w:val="center"/>
        </w:trPr>
        <w:tc>
          <w:tcPr>
            <w:tcW w:w="2621" w:type="dxa"/>
            <w:tcBorders>
              <w:top w:val="single" w:sz="4" w:space="0" w:color="BFC9D9"/>
              <w:left w:val="single" w:sz="24" w:space="0" w:color="A855F7"/>
              <w:bottom w:val="single" w:sz="4" w:space="0" w:color="BFC9D9"/>
              <w:right w:val="single" w:sz="4" w:space="0" w:color="BFC9D9"/>
            </w:tcBorders>
            <w:shd w:val="clear" w:color="auto" w:fill="F4ECFF"/>
          </w:tcPr>
          <w:p>
            <w:pPr>
              <w:spacing w:after="0" w:line="240" w:lineRule="auto"/>
            </w:pPr>
            <w:r>
              <w:rPr>
                <w:b/>
                <w:sz w:val="17"/>
              </w:rPr>
              <w:t>Legal representative, § 1332(c)(2)</w:t>
            </w:r>
          </w:p>
        </w:tc>
        <w:tc>
          <w:tcPr>
            <w:tcW w:w="7459" w:type="dxa"/>
            <w:tcBorders>
              <w:top w:val="single" w:sz="4" w:space="0" w:color="BFC9D9"/>
              <w:left w:val="single" w:sz="4" w:space="0" w:color="BFC9D9"/>
              <w:bottom w:val="single" w:sz="4" w:space="0" w:color="BFC9D9"/>
              <w:right w:val="single" w:sz="4" w:space="0" w:color="BFC9D9"/>
            </w:tcBorders>
            <w:shd w:val="clear" w:color="auto" w:fill="F4ECFF"/>
          </w:tcPr>
          <w:p>
            <w:pPr>
              <w:spacing w:after="0" w:line="240" w:lineRule="auto"/>
            </w:pPr>
            <w:r>
              <w:rPr>
                <w:sz w:val="17"/>
              </w:rPr>
              <w:t>An executor or administrator takes the decedent's citizenship; a guardian takes the citizenship of the infant or incompetent person.</w:t>
            </w:r>
          </w:p>
        </w:tc>
      </w:tr>
    </w:tbl>
    <w:p>
      <w:pPr>
        <w:spacing w:after="0" w:line="100" w:lineRule="exact"/>
      </w:pPr>
    </w:p>
    <w:p>
      <w:pPr>
        <w:pStyle w:val="Heading3"/>
      </w:pPr>
      <w:r>
        <w:rPr>
          <w:b w:val="0"/>
        </w:rPr>
        <w:t>Amount in controversy</w:t>
      </w:r>
    </w:p>
    <w:p>
      <w:pPr>
        <w:pStyle w:val="ListBullet"/>
      </w:pPr>
      <w:r>
        <w:t xml:space="preserve">Must </w:t>
      </w:r>
      <w:r>
        <w:rPr>
          <w:b/>
        </w:rPr>
        <w:t>exceed</w:t>
      </w:r>
      <w:r>
        <w:t xml:space="preserve"> $75,000 (exactly $75,000 fails), </w:t>
      </w:r>
      <w:r>
        <w:rPr>
          <w:b/>
        </w:rPr>
        <w:t>exclusive of interest and costs</w:t>
      </w:r>
      <w:r>
        <w:t>.</w:t>
      </w:r>
    </w:p>
    <w:p>
      <w:pPr>
        <w:pStyle w:val="ListBullet"/>
      </w:pPr>
      <w:r>
        <w:rPr>
          <w:b/>
        </w:rPr>
        <w:t>Legal certainty test:</w:t>
      </w:r>
      <w:r>
        <w:t xml:space="preserve"> the sum the plaintiff claims </w:t>
      </w:r>
      <w:r>
        <w:rPr>
          <w:b/>
        </w:rPr>
        <w:t>in good faith</w:t>
      </w:r>
      <w:r>
        <w:t xml:space="preserve"> controls unless it appears </w:t>
      </w:r>
      <w:r>
        <w:rPr>
          <w:b/>
        </w:rPr>
        <w:t>to a legal certainty</w:t>
      </w:r>
      <w:r>
        <w:t xml:space="preserve"> that the claim is really for $75,000 or less (St. Paul Mercury Indemnity Co. v. Red Cab Co. (1938)). Examples: a statutory or contractual cap, or facially trivial injuries (Diefenthal). When challenged, the plaintiff must show facts supporting the amount (Diefenthal).</w:t>
      </w:r>
    </w:p>
    <w:p>
      <w:pPr>
        <w:pStyle w:val="ListBullet"/>
      </w:pPr>
      <w:r>
        <w:rPr>
          <w:b/>
        </w:rPr>
        <w:t>Later events don't defeat jurisdiction:</w:t>
      </w:r>
      <w:r>
        <w:t xml:space="preserve"> recovering less than the jurisdictional amount at trial doesn't oust jurisdiction (Mas).</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3629"/>
        <w:gridCol w:w="6451"/>
      </w:tblGrid>
      <w:tr>
        <w:trPr>
          <w:cantSplit/>
          <w:tblHeader/>
          <w:jc w:val="center"/>
        </w:trPr>
        <w:tc>
          <w:tcPr>
            <w:tcW w:w="3629"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Aggregation</w:t>
            </w:r>
          </w:p>
        </w:tc>
        <w:tc>
          <w:tcPr>
            <w:tcW w:w="6451"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Rule</w:t>
            </w:r>
          </w:p>
        </w:tc>
      </w:tr>
      <w:tr>
        <w:trPr>
          <w:cantSplit/>
          <w:jc w:val="center"/>
        </w:trPr>
        <w:tc>
          <w:tcPr>
            <w:tcW w:w="3629"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One plaintiff against one defendant</w:t>
            </w:r>
          </w:p>
        </w:tc>
        <w:tc>
          <w:tcPr>
            <w:tcW w:w="6451"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May </w:t>
            </w:r>
            <w:r>
              <w:rPr>
                <w:b/>
                <w:sz w:val="17"/>
              </w:rPr>
              <w:t>add together all claims</w:t>
            </w:r>
            <w:r>
              <w:rPr>
                <w:sz w:val="17"/>
              </w:rPr>
              <w:t>, related or not.</w:t>
            </w:r>
          </w:p>
        </w:tc>
      </w:tr>
      <w:tr>
        <w:trPr>
          <w:cantSplit/>
          <w:jc w:val="center"/>
        </w:trPr>
        <w:tc>
          <w:tcPr>
            <w:tcW w:w="3629"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One plaintiff against several defendants</w:t>
            </w:r>
          </w:p>
        </w:tc>
        <w:tc>
          <w:tcPr>
            <w:tcW w:w="6451"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May </w:t>
            </w:r>
            <w:r>
              <w:rPr>
                <w:b/>
                <w:sz w:val="17"/>
              </w:rPr>
              <w:t>not</w:t>
            </w:r>
            <w:r>
              <w:rPr>
                <w:sz w:val="17"/>
              </w:rPr>
              <w:t xml:space="preserve"> aggregate, unless the defendants are </w:t>
            </w:r>
            <w:r>
              <w:rPr>
                <w:b/>
                <w:sz w:val="17"/>
              </w:rPr>
              <w:t>jointly</w:t>
            </w:r>
            <w:r>
              <w:rPr>
                <w:sz w:val="17"/>
              </w:rPr>
              <w:t xml:space="preserve"> liable.</w:t>
            </w:r>
          </w:p>
        </w:tc>
      </w:tr>
      <w:tr>
        <w:trPr>
          <w:cantSplit/>
          <w:jc w:val="center"/>
        </w:trPr>
        <w:tc>
          <w:tcPr>
            <w:tcW w:w="3629"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Several plaintiffs against one defendant</w:t>
            </w:r>
          </w:p>
        </w:tc>
        <w:tc>
          <w:tcPr>
            <w:tcW w:w="6451"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 xml:space="preserve">May </w:t>
            </w:r>
            <w:r>
              <w:rPr>
                <w:b/>
                <w:sz w:val="17"/>
              </w:rPr>
              <w:t>not</w:t>
            </w:r>
            <w:r>
              <w:rPr>
                <w:sz w:val="17"/>
              </w:rPr>
              <w:t xml:space="preserve"> aggregate, unless they share a </w:t>
            </w:r>
            <w:r>
              <w:rPr>
                <w:b/>
                <w:sz w:val="17"/>
              </w:rPr>
              <w:t>common and undivided interest</w:t>
            </w:r>
            <w:r>
              <w:rPr>
                <w:sz w:val="17"/>
              </w:rPr>
              <w:t xml:space="preserve"> (such as a single title or fund). </w:t>
            </w:r>
            <w:r>
              <w:rPr>
                <w:i/>
                <w:color w:val="64748B"/>
                <w:sz w:val="17"/>
              </w:rPr>
              <w:t>◆ If one plaintiff meets the amount and complete diversity exists, co-plaintiffs with smaller claims come in under § 1367 (Exxon Mobil v. Allapattah (2005)).</w:t>
            </w:r>
          </w:p>
        </w:tc>
      </w:tr>
    </w:tbl>
    <w:p>
      <w:pPr>
        <w:spacing w:after="0" w:line="100" w:lineRule="exact"/>
      </w:pPr>
    </w:p>
    <w:p>
      <w:pPr>
        <w:pStyle w:val="ListBullet"/>
      </w:pPr>
      <w:r>
        <w:rPr>
          <w:i/>
          <w:color w:val="64748B"/>
        </w:rPr>
        <w:t>◆ **Exceptions:** federal courts won't issue divorce, alimony, or child-custody decrees (domestic-relations exception) or probate a will (probate exception), even with diversity. Ordinary tort and contract suits between family members are fine.</w:t>
      </w:r>
    </w:p>
    <w:p>
      <w:pPr>
        <w:pStyle w:val="Heading3"/>
      </w:pPr>
      <w:r>
        <w:rPr>
          <w:b w:val="0"/>
        </w:rPr>
        <w:t>Cases</w:t>
      </w:r>
    </w:p>
    <w:p>
      <w:pPr>
        <w:keepNext/>
        <w:pBdr>
          <w:left w:val="single" w:sz="18" w:space="6" w:color="DC2626"/>
        </w:pBdr>
        <w:spacing w:before="100" w:after="20"/>
        <w:ind w:left="173"/>
      </w:pPr>
      <w:r>
        <w:rPr>
          <w:b/>
          <w:color w:val="B91C1C"/>
          <w:sz w:val="21"/>
        </w:rPr>
        <w:t>Mas v. Perry, 489 F.2d 1396 (5th Cir. 1974)</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Jean Paul Mas, a French citizen, and Judy Mas, originally a Mississippi domiciliary, were graduate students at Louisiana State University when their Louisiana landlord, Perry, spied on them through two-way mirrors. When they sued in federal court in Louisiana, Mrs. Mas had not decided where they would live after school. A jury awarded Mr. Mas $5,000 and Mrs. Mas $15,000; the jurisdictional amount then was more than $10,000.</w:t>
      </w:r>
    </w:p>
    <w:p>
      <w:pPr>
        <w:keepNext/>
        <w:pBdr>
          <w:left w:val="single" w:sz="18" w:space="6" w:color="DC2626"/>
        </w:pBdr>
        <w:shd w:val="clear" w:color="auto" w:fill="E7F8EE"/>
        <w:spacing w:after="30"/>
        <w:ind w:left="173"/>
      </w:pPr>
      <w:r>
        <w:rPr>
          <w:b/>
          <w:color w:val="15803D"/>
        </w:rPr>
        <w:t xml:space="preserve">Held:  </w:t>
      </w:r>
      <w:r>
        <w:t>Jurisdiction existed. Mr. Mas (an alien) against Perry was alienage jurisdiction. Mrs. Mas was still a Mississippi citizen: she lived in Louisiana only as a student, without intent to remain there indefinitely, and marrying a foreign citizen didn't change her domicile. Mr. Mas's recovery of less than the jurisdictional amount didn't defeat jurisdiction because his claim was made in good faith.</w:t>
      </w:r>
    </w:p>
    <w:p>
      <w:pPr>
        <w:pBdr>
          <w:left w:val="single" w:sz="18" w:space="6" w:color="DC2626"/>
        </w:pBdr>
        <w:shd w:val="clear" w:color="auto" w:fill="FEF6C2"/>
        <w:spacing w:after="80"/>
        <w:ind w:left="173"/>
      </w:pPr>
      <w:r>
        <w:rPr>
          <w:b/>
          <w:color w:val="8A6100"/>
        </w:rPr>
        <w:t xml:space="preserve">Why it matters:  </w:t>
      </w:r>
      <w:r>
        <w:t>Domicile requires presence plus intent to remain indefinitely, and an old domicile continues until a new one is acquired. Each spouse has a separate domicile. The amount is judged by the good-faith claim at filing, not the verdict.</w:t>
      </w:r>
    </w:p>
    <w:p>
      <w:pPr>
        <w:keepNext/>
        <w:pBdr>
          <w:left w:val="single" w:sz="18" w:space="6" w:color="EA580C"/>
        </w:pBdr>
        <w:spacing w:before="100" w:after="20"/>
        <w:ind w:left="173"/>
      </w:pPr>
      <w:r>
        <w:rPr>
          <w:b/>
          <w:color w:val="C2410C"/>
          <w:sz w:val="21"/>
        </w:rPr>
        <w:t>Gordon v. Steele, 376 F. Supp. 575 (W.D. Pa. 1974)</w:t>
      </w:r>
      <w:r>
        <w:rPr>
          <w:color w:val="C2410C"/>
          <w:sz w:val="15"/>
        </w:rPr>
        <w:t xml:space="preserve">  </w:t>
      </w:r>
      <w:r>
        <w:rPr>
          <w:b/>
          <w:color w:val="FFFFFF"/>
          <w:sz w:val="15"/>
          <w:shd w:val="clear" w:color="auto" w:fill="EA580C"/>
        </w:rPr>
        <w:t xml:space="preserve"> SUPPLEMENTAL READING · WEEK 5 </w:t>
      </w:r>
    </w:p>
    <w:p>
      <w:pPr>
        <w:keepNext/>
        <w:pBdr>
          <w:left w:val="single" w:sz="18" w:space="6" w:color="EA580C"/>
        </w:pBdr>
        <w:shd w:val="clear" w:color="auto" w:fill="EAF2FF"/>
        <w:spacing w:after="30"/>
        <w:ind w:left="173"/>
      </w:pPr>
      <w:r>
        <w:rPr>
          <w:b/>
          <w:color w:val="1D4ED8"/>
        </w:rPr>
        <w:t xml:space="preserve">Facts:  </w:t>
      </w:r>
      <w:r>
        <w:t>Susan Gordon, who had lived with her parents in Erie, Pennsylvania, sued Pennsylvania doctors and a hospital in federal court for malpractice in treating her wrist. Months before filing, she had moved to Idaho, rented an apartment, and enrolled at Ricks College. The defendants argued she was still a Pennsylvania citizen.</w:t>
      </w:r>
    </w:p>
    <w:p>
      <w:pPr>
        <w:keepNext/>
        <w:pBdr>
          <w:left w:val="single" w:sz="18" w:space="6" w:color="EA580C"/>
        </w:pBdr>
        <w:shd w:val="clear" w:color="auto" w:fill="E7F8EE"/>
        <w:spacing w:after="30"/>
        <w:ind w:left="173"/>
      </w:pPr>
      <w:r>
        <w:rPr>
          <w:b/>
          <w:color w:val="15803D"/>
        </w:rPr>
        <w:t xml:space="preserve">Held:  </w:t>
      </w:r>
      <w:r>
        <w:t>Diversity existed. She was physically present in Idaho and intended to remain there indefinitely; a possible later move didn't prevent her from acquiring an Idaho domicile.</w:t>
      </w:r>
    </w:p>
    <w:p>
      <w:pPr>
        <w:pBdr>
          <w:left w:val="single" w:sz="18" w:space="6" w:color="EA580C"/>
        </w:pBdr>
        <w:shd w:val="clear" w:color="auto" w:fill="FEF6C2"/>
        <w:spacing w:after="80"/>
        <w:ind w:left="173"/>
      </w:pPr>
      <w:r>
        <w:rPr>
          <w:b/>
          <w:color w:val="8A6100"/>
        </w:rPr>
        <w:t xml:space="preserve">Why it matters:  </w:t>
      </w:r>
      <w:r>
        <w:t xml:space="preserve">The domicile test requires intent to remain </w:t>
      </w:r>
      <w:r>
        <w:rPr>
          <w:b/>
        </w:rPr>
        <w:t>indefinitely</w:t>
      </w:r>
      <w:r>
        <w:t>, not permanently. Compare Mas, where the student had not formed that intent.</w:t>
      </w:r>
    </w:p>
    <w:p>
      <w:pPr>
        <w:keepNext/>
        <w:pBdr>
          <w:left w:val="single" w:sz="18" w:space="6" w:color="EA580C"/>
        </w:pBdr>
        <w:spacing w:before="100" w:after="20"/>
        <w:ind w:left="173"/>
      </w:pPr>
      <w:r>
        <w:rPr>
          <w:b/>
          <w:color w:val="C2410C"/>
          <w:sz w:val="21"/>
        </w:rPr>
        <w:t>Hertz Corp. v. Friend, 559 U.S. 77 (2010)</w:t>
      </w:r>
      <w:r>
        <w:rPr>
          <w:color w:val="C2410C"/>
          <w:sz w:val="15"/>
        </w:rPr>
        <w:t xml:space="preserve">  </w:t>
      </w:r>
      <w:r>
        <w:rPr>
          <w:b/>
          <w:color w:val="FFFFFF"/>
          <w:sz w:val="15"/>
          <w:shd w:val="clear" w:color="auto" w:fill="EA580C"/>
        </w:rPr>
        <w:t xml:space="preserve"> SUPPLEMENTAL READING · WEEK 5 </w:t>
      </w:r>
    </w:p>
    <w:p>
      <w:pPr>
        <w:keepNext/>
        <w:pBdr>
          <w:left w:val="single" w:sz="18" w:space="6" w:color="EA580C"/>
        </w:pBdr>
        <w:shd w:val="clear" w:color="auto" w:fill="EAF2FF"/>
        <w:spacing w:after="30"/>
        <w:ind w:left="173"/>
      </w:pPr>
      <w:r>
        <w:rPr>
          <w:b/>
          <w:color w:val="1D4ED8"/>
        </w:rPr>
        <w:t xml:space="preserve">Facts:  </w:t>
      </w:r>
      <w:r>
        <w:t>California citizens sued Hertz, a Delaware corporation headquartered in New Jersey, in California state court over wage-and-hour claims. Hertz removed. The lower courts held that Hertz's large California business made California its PPB, which destroyed diversity, and remanded.</w:t>
      </w:r>
    </w:p>
    <w:p>
      <w:pPr>
        <w:keepNext/>
        <w:pBdr>
          <w:left w:val="single" w:sz="18" w:space="6" w:color="EA580C"/>
        </w:pBdr>
        <w:shd w:val="clear" w:color="auto" w:fill="E7F8EE"/>
        <w:spacing w:after="30"/>
        <w:ind w:left="173"/>
      </w:pPr>
      <w:r>
        <w:rPr>
          <w:b/>
          <w:color w:val="15803D"/>
        </w:rPr>
        <w:t xml:space="preserve">Held:  </w:t>
      </w:r>
      <w:r>
        <w:t xml:space="preserve">A corporation's PPB is its </w:t>
      </w:r>
      <w:r>
        <w:rPr>
          <w:b/>
        </w:rPr>
        <w:t>nerve center</w:t>
      </w:r>
      <w:r>
        <w:t>: the place where its high-level officers direct, control, and coordinate its activities, normally its headquarters. Hertz's PPB was New Jersey. The judgment was vacated and the case remanded.</w:t>
      </w:r>
    </w:p>
    <w:p>
      <w:pPr>
        <w:pBdr>
          <w:left w:val="single" w:sz="18" w:space="6" w:color="EA580C"/>
        </w:pBdr>
        <w:shd w:val="clear" w:color="auto" w:fill="FEF6C2"/>
        <w:spacing w:after="80"/>
        <w:ind w:left="173"/>
      </w:pPr>
      <w:r>
        <w:rPr>
          <w:b/>
          <w:color w:val="8A6100"/>
        </w:rPr>
        <w:t xml:space="preserve">Why it matters:  </w:t>
      </w:r>
      <w:r>
        <w:t>A simple, predictable test for corporate citizenship. A mere mail drop or a board that meets somewhere doesn't make that place the nerve center.</w:t>
      </w:r>
    </w:p>
    <w:p>
      <w:pPr>
        <w:keepNext/>
        <w:pBdr>
          <w:left w:val="single" w:sz="18" w:space="6" w:color="EA580C"/>
        </w:pBdr>
        <w:spacing w:before="100" w:after="20"/>
        <w:ind w:left="173"/>
      </w:pPr>
      <w:r>
        <w:rPr>
          <w:b/>
          <w:color w:val="C2410C"/>
          <w:sz w:val="21"/>
        </w:rPr>
        <w:t>Diefenthal v. Civil Aeronautics Board, 681 F.2d 1039 (5th Cir. 1982)</w:t>
      </w:r>
      <w:r>
        <w:rPr>
          <w:color w:val="C2410C"/>
          <w:sz w:val="15"/>
        </w:rPr>
        <w:t xml:space="preserve">  </w:t>
      </w:r>
      <w:r>
        <w:rPr>
          <w:b/>
          <w:color w:val="FFFFFF"/>
          <w:sz w:val="15"/>
          <w:shd w:val="clear" w:color="auto" w:fill="EA580C"/>
        </w:rPr>
        <w:t xml:space="preserve"> SUPPLEMENTAL READING · WEEK 5 </w:t>
      </w:r>
    </w:p>
    <w:p>
      <w:pPr>
        <w:keepNext/>
        <w:pBdr>
          <w:left w:val="single" w:sz="18" w:space="6" w:color="EA580C"/>
        </w:pBdr>
        <w:shd w:val="clear" w:color="auto" w:fill="EAF2FF"/>
        <w:spacing w:after="30"/>
        <w:ind w:left="173"/>
      </w:pPr>
      <w:r>
        <w:rPr>
          <w:b/>
          <w:color w:val="1D4ED8"/>
        </w:rPr>
        <w:t xml:space="preserve">Facts:  </w:t>
      </w:r>
      <w:r>
        <w:t>First-class passengers on an Eastern Airlines flight were not allowed to smoke in their seats. They sued for damages for humiliation and embarrassment, claiming more than the jurisdictional amount, then $10,000.</w:t>
      </w:r>
    </w:p>
    <w:p>
      <w:pPr>
        <w:keepNext/>
        <w:pBdr>
          <w:left w:val="single" w:sz="18" w:space="6" w:color="EA580C"/>
        </w:pBdr>
        <w:shd w:val="clear" w:color="auto" w:fill="E7F8EE"/>
        <w:spacing w:after="30"/>
        <w:ind w:left="173"/>
      </w:pPr>
      <w:r>
        <w:rPr>
          <w:b/>
          <w:color w:val="15803D"/>
        </w:rPr>
        <w:t xml:space="preserve">Held:  </w:t>
      </w:r>
      <w:r>
        <w:t>Dismissal for lack of jurisdiction affirmed. Once the amount was challenged, the plaintiffs had to allege facts showing their claim could exceed the threshold; their bare allegations of humiliation and embarrassment over a brief incident couldn't, to a legal certainty.</w:t>
      </w:r>
    </w:p>
    <w:p>
      <w:pPr>
        <w:pBdr>
          <w:left w:val="single" w:sz="18" w:space="6" w:color="EA580C"/>
        </w:pBdr>
        <w:shd w:val="clear" w:color="auto" w:fill="FEF6C2"/>
        <w:spacing w:after="80"/>
        <w:ind w:left="173"/>
      </w:pPr>
      <w:r>
        <w:rPr>
          <w:b/>
          <w:color w:val="8A6100"/>
        </w:rPr>
        <w:t xml:space="preserve">Why it matters:  </w:t>
      </w:r>
      <w:r>
        <w:t>The legal certainty test has teeth when the alleged injury is facially trivial.</w:t>
      </w:r>
    </w:p>
    <w:p>
      <w:pPr>
        <w:pStyle w:val="Heading2"/>
        <w:pBdr>
          <w:bottom w:val="single" w:sz="8" w:space="2" w:color="C55A11"/>
        </w:pBdr>
      </w:pPr>
      <w:bookmarkStart w:id="14" w:name="_Toc900014"/>
      <w:r>
        <w:rPr>
          <w:b w:val="0"/>
        </w:rPr>
        <w:t>11. Supplemental Jurisdiction</w:t>
      </w:r>
      <w:bookmarkEnd w:id="14"/>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28 U.S.C. § 1367(a):</w:t>
            </w:r>
            <w:r>
              <w:t xml:space="preserve"> in any civil action where the district court has original jurisdiction over at least one claim, it has supplemental jurisdiction over all other claims </w:t>
            </w:r>
            <w:r>
              <w:rPr>
                <w:b/>
              </w:rPr>
              <w:t>"so related to claims in the action within such original jurisdiction that they form part of the same case or controversy under Article III,"</w:t>
            </w:r>
            <w:r>
              <w:t xml:space="preserve"> including claims involving the joinder or intervention of additional parties.</w:t>
            </w:r>
          </w:p>
        </w:tc>
      </w:tr>
    </w:tbl>
    <w:p>
      <w:pPr>
        <w:spacing w:after="0" w:line="100" w:lineRule="exact"/>
      </w:pPr>
    </w:p>
    <w:p>
      <w:pPr>
        <w:pStyle w:val="Heading3"/>
      </w:pPr>
      <w:r>
        <w:rPr>
          <w:b w:val="0"/>
        </w:rPr>
        <w:t>Step 1: same case or controversy (Gibbs)</w:t>
      </w:r>
    </w:p>
    <w:p>
      <w:pPr>
        <w:pStyle w:val="ListBullet"/>
      </w:pPr>
      <w:r>
        <w:t xml:space="preserve">The claims must derive from a </w:t>
      </w:r>
      <w:r>
        <w:rPr>
          <w:b/>
        </w:rPr>
        <w:t>common nucleus of operative fact</w:t>
      </w:r>
      <w:r>
        <w:t>, such that a plaintiff "would ordinarily be expected to try them all in one judicial proceeding," and the federal claim must have enough substance to confer jurisdiction (Gibbs).</w:t>
      </w:r>
    </w:p>
    <w:p>
      <w:pPr>
        <w:pStyle w:val="ListBullet"/>
      </w:pPr>
      <w:r>
        <w:t>Claims from the same transaction or occurrence almost always qualify.</w:t>
      </w:r>
    </w:p>
    <w:p>
      <w:pPr>
        <w:pStyle w:val="Heading3"/>
      </w:pPr>
      <w:r>
        <w:rPr>
          <w:b w:val="0"/>
        </w:rPr>
        <w:t>Step 2: § 1367(b), limits in diversity-only cases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In an action founded </w:t>
            </w:r>
            <w:r>
              <w:rPr>
                <w:b/>
              </w:rPr>
              <w:t>solely on § 1332</w:t>
            </w:r>
            <w:r>
              <w:t xml:space="preserve">, there is </w:t>
            </w:r>
            <w:r>
              <w:rPr>
                <w:b/>
              </w:rPr>
              <w:t>no</w:t>
            </w:r>
            <w:r>
              <w:t xml:space="preserve"> supplemental jurisdiction over </w:t>
            </w:r>
            <w:r>
              <w:rPr>
                <w:color w:val="B91C1C"/>
                <w:shd w:val="clear" w:color="auto" w:fill="FDE2E2"/>
              </w:rPr>
              <w:t xml:space="preserve">(1) </w:t>
            </w:r>
            <w:r>
              <w:rPr>
                <w:b/>
                <w:color w:val="B91C1C"/>
                <w:shd w:val="clear" w:color="auto" w:fill="FDE2E2"/>
              </w:rPr>
              <w:t xml:space="preserve">claims by plaintiffs</w:t>
            </w:r>
            <w:r>
              <w:rPr>
                <w:color w:val="B91C1C"/>
                <w:shd w:val="clear" w:color="auto" w:fill="FDE2E2"/>
              </w:rPr>
              <w:t xml:space="preserve"> against persons made parties under </w:t>
            </w:r>
            <w:r>
              <w:rPr>
                <w:b/>
                <w:color w:val="B91C1C"/>
                <w:shd w:val="clear" w:color="auto" w:fill="FDE2E2"/>
              </w:rPr>
              <w:t xml:space="preserve">Rule 14, 19, 20, or 24</w:t>
            </w:r>
            <w:r>
              <w:rPr>
                <w:color w:val="B91C1C"/>
                <w:shd w:val="clear" w:color="auto" w:fill="FDE2E2"/>
              </w:rPr>
              <w:t xml:space="preserve">, or </w:t>
            </w:r>
            <w:r>
              <w:rPr>
                <w:color w:val="C2410C"/>
                <w:shd w:val="clear" w:color="auto" w:fill="FFE7D1"/>
              </w:rPr>
              <w:t xml:space="preserve">(2) claims by persons proposed to be joined as </w:t>
            </w:r>
            <w:r>
              <w:rPr>
                <w:b/>
                <w:color w:val="C2410C"/>
                <w:shd w:val="clear" w:color="auto" w:fill="FFE7D1"/>
              </w:rPr>
              <w:t xml:space="preserve">plaintiffs under Rule 19</w:t>
            </w:r>
            <w:r>
              <w:rPr>
                <w:color w:val="C2410C"/>
                <w:shd w:val="clear" w:color="auto" w:fill="FFE7D1"/>
              </w:rPr>
              <w:t xml:space="preserve"> or seeking to </w:t>
            </w:r>
            <w:r>
              <w:rPr>
                <w:b/>
                <w:color w:val="C2410C"/>
                <w:shd w:val="clear" w:color="auto" w:fill="FFE7D1"/>
              </w:rPr>
              <w:t xml:space="preserve">intervene as plaintiffs under Rule 24</w:t>
            </w:r>
            <w:r>
              <w:rPr>
                <w:color w:val="C2410C"/>
                <w:shd w:val="clear" w:color="auto" w:fill="FFE7D1"/>
              </w:rPr>
              <w:t xml:space="preserve">, when exercising jurisdiction would be inconsistent with § 1332's requirements.</w:t>
            </w:r>
          </w:p>
        </w:tc>
      </w:tr>
    </w:tbl>
    <w:p>
      <w:pPr>
        <w:spacing w:after="0" w:line="100" w:lineRule="exact"/>
      </w:pPr>
    </w:p>
    <w:p>
      <w:pPr>
        <w:pStyle w:val="ListBullet"/>
      </w:pPr>
      <w:r>
        <w:rPr>
          <w:b/>
        </w:rPr>
        <w:t>Why:</w:t>
      </w:r>
      <w:r>
        <w:t xml:space="preserve"> a plaintiff can't do indirectly what it can't do directly, for example by suing only diverse defendants and then asserting claims against a non-diverse party the defendant impleads. </w:t>
      </w:r>
      <w:r>
        <w:rPr>
          <w:i/>
          <w:color w:val="64748B"/>
        </w:rPr>
        <w:t>◆ This codifies Owen Equipment &amp; Erection Co. v. Kroger (1978).</w:t>
      </w:r>
    </w:p>
    <w:p>
      <w:pPr>
        <w:pStyle w:val="ListBullet"/>
      </w:pPr>
      <w:r>
        <w:rPr>
          <w:b/>
        </w:rPr>
        <w:t>Not barred by § 1367(b):</w:t>
      </w:r>
      <w:r>
        <w:t xml:space="preserve"> claims by </w:t>
      </w:r>
      <w:r>
        <w:rPr>
          <w:b/>
        </w:rPr>
        <w:t>defendants</w:t>
      </w:r>
      <w:r>
        <w:t xml:space="preserve"> (counterclaims, crossclaims, impleader); and § 1367(b) does </w:t>
      </w:r>
      <w:r>
        <w:rPr>
          <w:b/>
        </w:rPr>
        <w:t>not apply in federal-question cases</w:t>
      </w:r>
      <w:r>
        <w:t xml:space="preserve"> at all. </w:t>
      </w:r>
      <w:r>
        <w:rPr>
          <w:i/>
          <w:color w:val="64748B"/>
        </w:rPr>
        <w:t>◆ Under Allapattah, § 1367(b) also doesn't bar Rule 20 co-plaintiffs or Rule 23 class members whose claims fall short of the amount, as long as complete diversity exists; a non-diverse party destroys jurisdiction over the whole action (the "contamination" theory).</w:t>
      </w:r>
    </w:p>
    <w:p>
      <w:pPr>
        <w:pStyle w:val="Heading3"/>
      </w:pPr>
      <w:r>
        <w:rPr>
          <w:b w:val="0"/>
        </w:rPr>
        <w:t>Step 3: § 1367(c), discretion to decline</w:t>
      </w:r>
    </w:p>
    <w:p>
      <w:pPr>
        <w:pBdr>
          <w:left w:val="single" w:sz="24" w:space="4" w:color="EF4444"/>
        </w:pBdr>
        <w:shd w:val="clear" w:color="auto" w:fill="FDE2E2"/>
        <w:ind w:left="360" w:hanging="288"/>
      </w:pPr>
      <w:r>
        <w:rPr>
          <w:b/>
          <w:color w:val="B91C1C"/>
        </w:rPr>
        <w:t xml:space="preserve">1.  </w:t>
      </w:r>
      <w:r>
        <w:t xml:space="preserve">The claim raises a </w:t>
      </w:r>
      <w:r>
        <w:rPr>
          <w:b/>
        </w:rPr>
        <w:t>novel or complex</w:t>
      </w:r>
      <w:r>
        <w:t xml:space="preserve"> issue of state law.</w:t>
      </w:r>
    </w:p>
    <w:p>
      <w:pPr>
        <w:pBdr>
          <w:left w:val="single" w:sz="24" w:space="4" w:color="F97316"/>
        </w:pBdr>
        <w:shd w:val="clear" w:color="auto" w:fill="FFE7D1"/>
        <w:ind w:left="360" w:hanging="288"/>
      </w:pPr>
      <w:r>
        <w:rPr>
          <w:b/>
          <w:color w:val="C2410C"/>
        </w:rPr>
        <w:t xml:space="preserve">2.  </w:t>
      </w:r>
      <w:r>
        <w:t xml:space="preserve">The state claim </w:t>
      </w:r>
      <w:r>
        <w:rPr>
          <w:b/>
        </w:rPr>
        <w:t>substantially predominates</w:t>
      </w:r>
      <w:r>
        <w:t xml:space="preserve"> over the claims within original jurisdiction.</w:t>
      </w:r>
    </w:p>
    <w:p>
      <w:pPr>
        <w:pBdr>
          <w:left w:val="single" w:sz="24" w:space="4" w:color="EAB308"/>
        </w:pBdr>
        <w:shd w:val="clear" w:color="auto" w:fill="FDF1A8"/>
        <w:ind w:left="360" w:hanging="288"/>
      </w:pPr>
      <w:r>
        <w:rPr>
          <w:b/>
          <w:color w:val="854D0E"/>
        </w:rPr>
        <w:t xml:space="preserve">3.  </w:t>
      </w:r>
      <w:r>
        <w:t xml:space="preserve">The court has </w:t>
      </w:r>
      <w:r>
        <w:rPr>
          <w:b/>
        </w:rPr>
        <w:t>dismissed all claims</w:t>
      </w:r>
      <w:r>
        <w:t xml:space="preserve"> within its original jurisdiction (the most common reason; Gibbs said state claims should usually be dismissed when the federal claims fall before trial).</w:t>
      </w:r>
    </w:p>
    <w:p>
      <w:pPr>
        <w:pBdr>
          <w:left w:val="single" w:sz="24" w:space="4" w:color="22C55E"/>
        </w:pBdr>
        <w:shd w:val="clear" w:color="auto" w:fill="D7F5E1"/>
        <w:ind w:left="360" w:hanging="288"/>
      </w:pPr>
      <w:r>
        <w:rPr>
          <w:b/>
          <w:color w:val="15803D"/>
        </w:rPr>
        <w:t xml:space="preserve">4.  </w:t>
      </w:r>
      <w:r>
        <w:t xml:space="preserve">In </w:t>
      </w:r>
      <w:r>
        <w:rPr>
          <w:b/>
        </w:rPr>
        <w:t>exceptional circumstances</w:t>
      </w:r>
      <w:r>
        <w:t>, other compelling reasons.</w:t>
      </w:r>
    </w:p>
    <w:p>
      <w:pPr>
        <w:pStyle w:val="ListBullet"/>
      </w:pPr>
      <w:r>
        <w:rPr>
          <w:b/>
        </w:rPr>
        <w:t>§ 1367(d) tolling:</w:t>
      </w:r>
      <w:r>
        <w:t xml:space="preserve"> the limitations period for a dismissed supplemental claim is tolled while it is pending and for </w:t>
      </w:r>
      <w:r>
        <w:rPr>
          <w:b/>
        </w:rPr>
        <w:t>30 days</w:t>
      </w:r>
      <w:r>
        <w:t xml:space="preserve"> after dismissal, unless state law allows longer.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Go claim by claim. For each claim ask: (1) Does it have its own basis (§ 1331 or § 1332)? (2) If not, does it share a common nucleus with an anchor claim under § 1367(a)? (3) If the anchor is diversity only, does § 1367(b) bar it because a plaintiff is asserting it against a party joined under Rule 14, 19, 20, or 24? (4) Should the court decline under § 1367(c)?</w:t>
            </w:r>
          </w:p>
        </w:tc>
      </w:tr>
    </w:tbl>
    <w:p>
      <w:pPr>
        <w:spacing w:after="0" w:line="100" w:lineRule="exact"/>
      </w:pPr>
    </w:p>
    <w:p>
      <w:pPr>
        <w:pStyle w:val="Heading3"/>
      </w:pPr>
      <w:r>
        <w:rPr>
          <w:b w:val="0"/>
        </w:rPr>
        <w:t>Cases</w:t>
      </w:r>
    </w:p>
    <w:p>
      <w:pPr>
        <w:keepNext/>
        <w:pBdr>
          <w:left w:val="single" w:sz="18" w:space="6" w:color="DC2626"/>
        </w:pBdr>
        <w:spacing w:before="100" w:after="20"/>
        <w:ind w:left="173"/>
      </w:pPr>
      <w:r>
        <w:rPr>
          <w:b/>
          <w:color w:val="B91C1C"/>
          <w:sz w:val="21"/>
        </w:rPr>
        <w:t>United Mine Workers of America v. Gibbs, 383 U.S. 715 (1966)</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Gibbs was hired as superintendent of a new Tennessee mine being opened with members of a rival union and got a contract to haul its coal. Armed members of a local union forcibly kept the mine from opening, and Gibbs lost his job and his contracts. He sued the international union in federal court under a federal labor statute (§ 303 of the Labor Management Relations Act) and under Tennessee law for unlawful conspiracy to interfere with his contracts. There was no diversity.</w:t>
      </w:r>
    </w:p>
    <w:p>
      <w:pPr>
        <w:keepNext/>
        <w:pBdr>
          <w:left w:val="single" w:sz="18" w:space="6" w:color="DC2626"/>
        </w:pBdr>
        <w:shd w:val="clear" w:color="auto" w:fill="E7F8EE"/>
        <w:spacing w:after="30"/>
        <w:ind w:left="173"/>
      </w:pPr>
      <w:r>
        <w:rPr>
          <w:b/>
          <w:color w:val="15803D"/>
        </w:rPr>
        <w:t xml:space="preserve">Held:  </w:t>
      </w:r>
      <w:r>
        <w:t>The federal court had power to hear the state claim because both claims arose from a common nucleus of operative fact, and it didn't abuse its discretion in keeping the claim after the federal claim failed post-trial. The judgment was nonetheless reversed because Gibbs didn't prove the international union's participation in the violence by the "clear proof" a federal statute required.</w:t>
      </w:r>
    </w:p>
    <w:p>
      <w:pPr>
        <w:pBdr>
          <w:left w:val="single" w:sz="18" w:space="6" w:color="DC2626"/>
        </w:pBdr>
        <w:shd w:val="clear" w:color="auto" w:fill="FEF6C2"/>
        <w:spacing w:after="80"/>
        <w:ind w:left="173"/>
      </w:pPr>
      <w:r>
        <w:rPr>
          <w:b/>
          <w:color w:val="8A6100"/>
        </w:rPr>
        <w:t xml:space="preserve">Why it matters:  </w:t>
      </w:r>
      <w:r>
        <w:t xml:space="preserve">The </w:t>
      </w:r>
      <w:r>
        <w:rPr>
          <w:b/>
        </w:rPr>
        <w:t>constitutional test for supplemental jurisdiction</w:t>
      </w:r>
      <w:r>
        <w:t xml:space="preserve"> (common nucleus of operative fact), now § 1367(a), and the </w:t>
      </w:r>
      <w:r>
        <w:rPr>
          <w:b/>
        </w:rPr>
        <w:t>discretionary factors</w:t>
      </w:r>
      <w:r>
        <w:t xml:space="preserve"> (judicial economy, convenience, fairness, comity), now § 1367(c).</w:t>
      </w:r>
    </w:p>
    <w:p>
      <w:pPr>
        <w:pStyle w:val="Heading2"/>
        <w:pBdr>
          <w:bottom w:val="single" w:sz="8" w:space="2" w:color="C55A11"/>
        </w:pBdr>
      </w:pPr>
      <w:bookmarkStart w:id="15" w:name="_Toc900015"/>
      <w:r>
        <w:rPr>
          <w:b w:val="0"/>
        </w:rPr>
        <w:t>12. Removal</w:t>
      </w:r>
      <w:bookmarkEnd w:id="15"/>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28 U.S.C. § 1441(a):</w:t>
            </w:r>
            <w:r>
              <w:t xml:space="preserve"> "any civil action brought in a State court of which the district courts of the United States have original jurisdiction, may be removed by the defendant or the defendants" to the federal district and division embracing the place where the state action is pending.</w:t>
            </w:r>
          </w:p>
        </w:tc>
      </w:tr>
    </w:tbl>
    <w:p>
      <w:pPr>
        <w:spacing w:after="0" w:line="100" w:lineRule="exact"/>
      </w:pPr>
    </w:p>
    <w:p>
      <w:pPr>
        <w:pStyle w:val="Heading3"/>
      </w:pPr>
      <w:r>
        <w:rPr>
          <w:b w:val="0"/>
        </w:rPr>
        <w:t>Requirements</w:t>
      </w:r>
    </w:p>
    <w:p>
      <w:pPr>
        <w:pBdr>
          <w:left w:val="single" w:sz="24" w:space="4" w:color="EF4444"/>
        </w:pBdr>
        <w:shd w:val="clear" w:color="auto" w:fill="FDE2E2"/>
        <w:ind w:left="360" w:hanging="288"/>
      </w:pPr>
      <w:r>
        <w:rPr>
          <w:b/>
          <w:color w:val="B91C1C"/>
        </w:rPr>
        <w:t xml:space="preserve">1.  </w:t>
      </w:r>
      <w:r>
        <w:rPr>
          <w:b/>
        </w:rPr>
        <w:t>Original jurisdiction</w:t>
      </w:r>
      <w:r>
        <w:t xml:space="preserve"> (federal question, diversity, or supplemental jurisdiction over related claims), judged from the </w:t>
      </w:r>
      <w:r>
        <w:rPr>
          <w:b/>
        </w:rPr>
        <w:t>plaintiff's complaint</w:t>
      </w:r>
      <w:r>
        <w:t>. A federal defense or counterclaim can't support removal.</w:t>
      </w:r>
    </w:p>
    <w:p>
      <w:pPr>
        <w:pBdr>
          <w:left w:val="single" w:sz="24" w:space="4" w:color="F97316"/>
        </w:pBdr>
        <w:shd w:val="clear" w:color="auto" w:fill="FFE7D1"/>
        <w:ind w:left="360" w:hanging="288"/>
      </w:pPr>
      <w:r>
        <w:rPr>
          <w:b/>
          <w:color w:val="C2410C"/>
        </w:rPr>
        <w:t xml:space="preserve">2.  </w:t>
      </w:r>
      <w:r>
        <w:rPr>
          <w:b/>
        </w:rPr>
        <w:t>Only defendants remove.</w:t>
      </w:r>
      <w:r>
        <w:t xml:space="preserve"> </w:t>
      </w:r>
      <w:r>
        <w:rPr>
          <w:i/>
          <w:color w:val="64748B"/>
        </w:rPr>
        <w:t>◆ A plaintiff facing a counterclaim can't remove (Shamrock Oil (1941)).</w:t>
      </w:r>
    </w:p>
    <w:p>
      <w:pPr>
        <w:pBdr>
          <w:left w:val="single" w:sz="24" w:space="4" w:color="EAB308"/>
        </w:pBdr>
        <w:shd w:val="clear" w:color="auto" w:fill="FDF1A8"/>
        <w:ind w:left="360" w:hanging="288"/>
      </w:pPr>
      <w:r>
        <w:rPr>
          <w:b/>
          <w:color w:val="854D0E"/>
        </w:rPr>
        <w:t xml:space="preserve">3.  </w:t>
      </w:r>
      <w:r>
        <w:rPr>
          <w:b/>
        </w:rPr>
        <w:t>Forum-defendant rule, § 1441(b)(2):</w:t>
      </w:r>
      <w:r>
        <w:t xml:space="preserve"> a case removable </w:t>
      </w:r>
      <w:r>
        <w:rPr>
          <w:b/>
        </w:rPr>
        <w:t>solely on diversity</w:t>
      </w:r>
      <w:r>
        <w:t xml:space="preserve"> can't be removed if any properly joined and served defendant is a </w:t>
      </w:r>
      <w:r>
        <w:rPr>
          <w:b/>
        </w:rPr>
        <w:t>citizen of the state where the action was brought</w:t>
      </w:r>
      <w:r>
        <w:t>. It doesn't apply to federal-question cases.</w:t>
      </w:r>
    </w:p>
    <w:p>
      <w:pPr>
        <w:pBdr>
          <w:left w:val="single" w:sz="24" w:space="4" w:color="22C55E"/>
        </w:pBdr>
        <w:shd w:val="clear" w:color="auto" w:fill="D7F5E1"/>
        <w:ind w:left="360" w:hanging="288"/>
      </w:pPr>
      <w:r>
        <w:rPr>
          <w:b/>
          <w:color w:val="15803D"/>
        </w:rPr>
        <w:t xml:space="preserve">4.  </w:t>
      </w:r>
      <w:r>
        <w:rPr>
          <w:b/>
        </w:rPr>
        <w:t>Timing, § 1446(b):</w:t>
      </w:r>
      <w:r>
        <w:t xml:space="preserve"> the notice of removal is due </w:t>
      </w:r>
      <w:r>
        <w:rPr>
          <w:b/>
        </w:rPr>
        <w:t>30 days</w:t>
      </w:r>
      <w:r>
        <w:t xml:space="preserve"> after the defendant receives the initial pleading through service or otherwise. Each defendant gets 30 days from its own service, and earlier-served defendants may consent to a later-served defendant's removal. If the case becomes removable later, the 30 days run from receipt of an "amended pleading, motion, order or other paper" showing it is removable (§ 1446(b)(3)).</w:t>
      </w:r>
    </w:p>
    <w:p>
      <w:pPr>
        <w:pBdr>
          <w:left w:val="single" w:sz="24" w:space="4" w:color="3B82F6"/>
        </w:pBdr>
        <w:shd w:val="clear" w:color="auto" w:fill="DCE8FE"/>
        <w:ind w:left="360" w:hanging="288"/>
      </w:pPr>
      <w:r>
        <w:rPr>
          <w:b/>
          <w:color w:val="1D4ED8"/>
        </w:rPr>
        <w:t xml:space="preserve">5.  </w:t>
      </w:r>
      <w:r>
        <w:rPr>
          <w:b/>
        </w:rPr>
        <w:t>One-year limit for diversity, § 1446(c)(1):</w:t>
      </w:r>
      <w:r>
        <w:t xml:space="preserve"> a case can't be removed on diversity under § 1446(b)(3) more than </w:t>
      </w:r>
      <w:r>
        <w:rPr>
          <w:b/>
        </w:rPr>
        <w:t>one year after commencement</w:t>
      </w:r>
      <w:r>
        <w:t xml:space="preserve">, unless the plaintiff acted in </w:t>
      </w:r>
      <w:r>
        <w:rPr>
          <w:b/>
        </w:rPr>
        <w:t>bad faith</w:t>
      </w:r>
      <w:r>
        <w:t xml:space="preserve"> to prevent removal.</w:t>
      </w:r>
    </w:p>
    <w:p>
      <w:pPr>
        <w:pBdr>
          <w:left w:val="single" w:sz="24" w:space="4" w:color="A855F7"/>
        </w:pBdr>
        <w:shd w:val="clear" w:color="auto" w:fill="EFE2FF"/>
        <w:ind w:left="360" w:hanging="288"/>
      </w:pPr>
      <w:r>
        <w:rPr>
          <w:b/>
          <w:color w:val="7E22CE"/>
        </w:rPr>
        <w:t xml:space="preserve">6.  </w:t>
      </w:r>
      <w:r>
        <w:rPr>
          <w:b/>
        </w:rPr>
        <w:t>Unanimity, § 1446(b)(2)(A):</w:t>
      </w:r>
      <w:r>
        <w:t xml:space="preserve"> all defendants properly joined and served must join in or consent to removal under § 1441(a).</w:t>
      </w:r>
    </w:p>
    <w:p>
      <w:pPr>
        <w:pBdr>
          <w:left w:val="single" w:sz="24" w:space="4" w:color="EF4444"/>
        </w:pBdr>
        <w:shd w:val="clear" w:color="auto" w:fill="FDE2E2"/>
        <w:ind w:left="360" w:hanging="288"/>
      </w:pPr>
      <w:r>
        <w:rPr>
          <w:b/>
          <w:color w:val="B91C1C"/>
        </w:rPr>
        <w:t xml:space="preserve">7.  </w:t>
      </w:r>
      <w:r>
        <w:rPr>
          <w:b/>
        </w:rPr>
        <w:t>Procedure, § 1446(a), (d):</w:t>
      </w:r>
      <w:r>
        <w:t xml:space="preserve"> file a notice of removal in the federal court with a short and plain statement of the grounds, signed under Rule 11; promptly notify the adverse parties and file a copy with the state court, which "shall proceed no further." If the complaint doesn't state an amount, the defendant may assert one and must prove it by a preponderance if challenged (§ 1446(c)(2)).</w:t>
      </w:r>
    </w:p>
    <w:p>
      <w:pPr>
        <w:pStyle w:val="Heading3"/>
      </w:pPr>
      <w:r>
        <w:rPr>
          <w:b w:val="0"/>
        </w:rPr>
        <w:t>Remand, § 1447</w:t>
      </w:r>
    </w:p>
    <w:p>
      <w:pPr>
        <w:pStyle w:val="ListBullet"/>
      </w:pPr>
      <w:r>
        <w:rPr>
          <w:b/>
        </w:rPr>
        <w:t>Procedural defects</w:t>
      </w:r>
      <w:r>
        <w:t xml:space="preserve"> (untimeliness, the forum-defendant rule, lack of unanimity) must be raised by a motion to remand </w:t>
      </w:r>
      <w:r>
        <w:rPr>
          <w:b/>
        </w:rPr>
        <w:t>within 30 days</w:t>
      </w:r>
      <w:r>
        <w:t xml:space="preserve"> after the notice of removal is filed, or they are waived (§ 1447(c)).</w:t>
      </w:r>
    </w:p>
    <w:p>
      <w:pPr>
        <w:pStyle w:val="ListBullet"/>
      </w:pPr>
      <w:r>
        <w:rPr>
          <w:b/>
        </w:rPr>
        <w:t>Lack of SMJ</w:t>
      </w:r>
      <w:r>
        <w:t xml:space="preserve"> may be raised </w:t>
      </w:r>
      <w:r>
        <w:rPr>
          <w:b/>
        </w:rPr>
        <w:t>at any time before final judgment</w:t>
      </w:r>
      <w:r>
        <w:t xml:space="preserve">, and the case </w:t>
      </w:r>
      <w:r>
        <w:rPr>
          <w:b/>
        </w:rPr>
        <w:t>shall be remanded</w:t>
      </w:r>
      <w:r>
        <w:t xml:space="preserve"> (§ 1447(c)).</w:t>
      </w:r>
    </w:p>
    <w:p>
      <w:pPr>
        <w:pStyle w:val="ListBullet"/>
      </w:pPr>
      <w:r>
        <w:rPr>
          <w:b/>
        </w:rPr>
        <w:t>No appeal</w:t>
      </w:r>
      <w:r>
        <w:t xml:space="preserve"> of a remand order based on lack of SMJ or a timely raised procedural defect, with narrow exceptions (§ 1447(d)).</w:t>
      </w:r>
    </w:p>
    <w:p>
      <w:pPr>
        <w:pStyle w:val="ListBullet"/>
      </w:pPr>
      <w:r>
        <w:rPr>
          <w:b/>
        </w:rPr>
        <w:t>Post-removal joinder, § 1447(e):</w:t>
      </w:r>
      <w:r>
        <w:t xml:space="preserve"> if the plaintiff seeks to join a defendant who would destroy diversity, the court may deny joinder, or permit it and remand; it can't keep the case.</w:t>
      </w:r>
    </w:p>
    <w:p>
      <w:pPr>
        <w:pStyle w:val="ListBullet"/>
      </w:pPr>
      <w:r>
        <w:rPr>
          <w:b/>
        </w:rPr>
        <w:t>§ 1441(c):</w:t>
      </w:r>
      <w:r>
        <w:t xml:space="preserve"> a case with a federal-question claim plus claims outside the court's original or supplemental jurisdiction may be removed, but the court must sever and remand the unrelated state claims.</w:t>
      </w:r>
    </w:p>
    <w:p>
      <w:pPr>
        <w:pStyle w:val="Heading3"/>
      </w:pPr>
      <w:r>
        <w:rPr>
          <w:b w:val="0"/>
        </w:rPr>
        <w:t>Rule 81(c): procedure after removal</w:t>
      </w:r>
    </w:p>
    <w:p>
      <w:pPr>
        <w:pStyle w:val="ListBullet"/>
      </w:pPr>
      <w:r>
        <w:t>The FRCP apply once the case is removed; repleading isn't necessary unless the court orders it.</w:t>
      </w:r>
    </w:p>
    <w:p>
      <w:pPr>
        <w:pStyle w:val="ListBullet"/>
      </w:pPr>
      <w:r>
        <w:rPr>
          <w:b/>
        </w:rPr>
        <w:t>Answer deadline:</w:t>
      </w:r>
      <w:r>
        <w:t xml:space="preserve"> a defendant who hasn't answered must answer or present its Rule 12 defenses within the </w:t>
      </w:r>
      <w:r>
        <w:rPr>
          <w:b/>
        </w:rPr>
        <w:t>longest</w:t>
      </w:r>
      <w:r>
        <w:t xml:space="preserve"> of 21 days after receiving the initial pleading, 21 days after being served with the summons, or </w:t>
      </w:r>
      <w:r>
        <w:rPr>
          <w:b/>
        </w:rPr>
        <w:t>7 days after the notice of removal is filed</w:t>
      </w:r>
      <w:r>
        <w:t>.</w:t>
      </w:r>
    </w:p>
    <w:p>
      <w:pPr>
        <w:pStyle w:val="ListBullet"/>
      </w:pPr>
      <w:r>
        <w:rPr>
          <w:b/>
        </w:rPr>
        <w:t>Jury demand:</w:t>
      </w:r>
      <w:r>
        <w:t xml:space="preserve"> a party that expressly demanded a jury in state court needn't renew it, and none is needed if state law doesn't require an express demand (unless the court orders one). Otherwise a party may demand a jury within </w:t>
      </w:r>
      <w:r>
        <w:rPr>
          <w:b/>
        </w:rPr>
        <w:t>14 days</w:t>
      </w:r>
      <w:r>
        <w:t xml:space="preserve"> after it files the notice of removal or is served with one.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Removal is forum-sensitive. Ask: (1) Is the plaintiff's complaint federal on its face, or is there complete diversity? (2) For diversity, is any served defendant a citizen of the forum state? (3) Was removal timely, unanimous, and within one year? Only SMJ defects survive the 30-day remand window.</w:t>
            </w:r>
          </w:p>
        </w:tc>
      </w:tr>
    </w:tbl>
    <w:p>
      <w:pPr>
        <w:spacing w:after="0" w:line="100" w:lineRule="exact"/>
      </w:pPr>
    </w:p>
    <w:p>
      <w:pPr>
        <w:pStyle w:val="Heading3"/>
      </w:pPr>
      <w:r>
        <w:rPr>
          <w:b w:val="0"/>
        </w:rPr>
        <w:t>Cases</w:t>
      </w:r>
    </w:p>
    <w:p>
      <w:pPr>
        <w:keepNext/>
        <w:pBdr>
          <w:left w:val="single" w:sz="18" w:space="6" w:color="EA580C"/>
        </w:pBdr>
        <w:spacing w:before="100" w:after="20"/>
        <w:ind w:left="173"/>
      </w:pPr>
      <w:r>
        <w:rPr>
          <w:b/>
          <w:color w:val="C2410C"/>
          <w:sz w:val="21"/>
        </w:rPr>
        <w:t>Avitts v. Amoco Production Co., 53 F.3d 690 (5th Cir. 1995)</w:t>
      </w:r>
      <w:r>
        <w:rPr>
          <w:color w:val="C2410C"/>
          <w:sz w:val="15"/>
        </w:rPr>
        <w:t xml:space="preserve">  </w:t>
      </w:r>
      <w:r>
        <w:rPr>
          <w:b/>
          <w:color w:val="FFFFFF"/>
          <w:sz w:val="15"/>
          <w:shd w:val="clear" w:color="auto" w:fill="EA580C"/>
        </w:rPr>
        <w:t xml:space="preserve"> SUPPLEMENTAL READING · WEEK 6 </w:t>
      </w:r>
    </w:p>
    <w:p>
      <w:pPr>
        <w:keepNext/>
        <w:pBdr>
          <w:left w:val="single" w:sz="18" w:space="6" w:color="EA580C"/>
        </w:pBdr>
        <w:shd w:val="clear" w:color="auto" w:fill="EAF2FF"/>
        <w:spacing w:after="30"/>
        <w:ind w:left="173"/>
      </w:pPr>
      <w:r>
        <w:rPr>
          <w:b/>
          <w:color w:val="1D4ED8"/>
        </w:rPr>
        <w:t xml:space="preserve">Facts:  </w:t>
      </w:r>
      <w:r>
        <w:t>Texas landowners sued oil companies in Texas state court for damage from oil and gas operations. The petition referred vaguely to violations of "federal and state law," and the defendants removed. The plaintiffs then amended to drop any reference to federal law, and the district court issued orders against the defendants, who appealed.</w:t>
      </w:r>
    </w:p>
    <w:p>
      <w:pPr>
        <w:keepNext/>
        <w:pBdr>
          <w:left w:val="single" w:sz="18" w:space="6" w:color="EA580C"/>
        </w:pBdr>
        <w:shd w:val="clear" w:color="auto" w:fill="E7F8EE"/>
        <w:spacing w:after="30"/>
        <w:ind w:left="173"/>
      </w:pPr>
      <w:r>
        <w:rPr>
          <w:b/>
          <w:color w:val="15803D"/>
        </w:rPr>
        <w:t xml:space="preserve">Held:  </w:t>
      </w:r>
      <w:r>
        <w:t>There was never federal jurisdiction. The petition pleaded no federal cause of action, and the parties couldn't confer SMJ by consent or by failing to object. The orders were vacated, with instructions to remand to state court.</w:t>
      </w:r>
    </w:p>
    <w:p>
      <w:pPr>
        <w:pBdr>
          <w:left w:val="single" w:sz="18" w:space="6" w:color="EA580C"/>
        </w:pBdr>
        <w:shd w:val="clear" w:color="auto" w:fill="FEF6C2"/>
        <w:spacing w:after="80"/>
        <w:ind w:left="173"/>
      </w:pPr>
      <w:r>
        <w:rPr>
          <w:b/>
          <w:color w:val="8A6100"/>
        </w:rPr>
        <w:t xml:space="preserve">Why it matters:  </w:t>
      </w:r>
      <w:r>
        <w:t>The plaintiff is the master of the complaint; removal depends on a federal claim actually pleaded, and SMJ can be raised by anyone at any time.</w:t>
      </w:r>
    </w:p>
    <w:p>
      <w:pPr>
        <w:keepNext/>
        <w:pBdr>
          <w:left w:val="single" w:sz="18" w:space="6" w:color="EA580C"/>
        </w:pBdr>
        <w:spacing w:before="100" w:after="20"/>
        <w:ind w:left="173"/>
      </w:pPr>
      <w:r>
        <w:rPr>
          <w:b/>
          <w:color w:val="C2410C"/>
          <w:sz w:val="21"/>
        </w:rPr>
        <w:t>Lara v. Farrel Corp. (D. Mass. 2013) (notice of removal)</w:t>
      </w:r>
      <w:r>
        <w:rPr>
          <w:color w:val="C2410C"/>
          <w:sz w:val="15"/>
        </w:rPr>
        <w:t xml:space="preserve">  </w:t>
      </w:r>
      <w:r>
        <w:rPr>
          <w:b/>
          <w:color w:val="FFFFFF"/>
          <w:sz w:val="15"/>
          <w:shd w:val="clear" w:color="auto" w:fill="EA580C"/>
        </w:rPr>
        <w:t xml:space="preserve"> SUPPLEMENTAL READING · WEEK 6 </w:t>
      </w:r>
    </w:p>
    <w:p>
      <w:pPr>
        <w:keepNext/>
        <w:pBdr>
          <w:left w:val="single" w:sz="18" w:space="6" w:color="EA580C"/>
        </w:pBdr>
        <w:shd w:val="clear" w:color="auto" w:fill="EAF2FF"/>
        <w:spacing w:after="30"/>
        <w:ind w:left="173"/>
      </w:pPr>
      <w:r>
        <w:rPr>
          <w:b/>
          <w:color w:val="1D4ED8"/>
        </w:rPr>
        <w:t xml:space="preserve">Facts:  </w:t>
      </w:r>
      <w:r>
        <w:t>Massachusetts plaintiffs sued three manufacturers in Massachusetts state court for serious injuries. The defendants were incorporated and headquartered in Delaware and Connecticut, Connecticut, and Ohio. They removed to federal court.</w:t>
      </w:r>
    </w:p>
    <w:p>
      <w:pPr>
        <w:keepNext/>
        <w:pBdr>
          <w:left w:val="single" w:sz="18" w:space="6" w:color="EA580C"/>
        </w:pBdr>
        <w:shd w:val="clear" w:color="auto" w:fill="E7F8EE"/>
        <w:spacing w:after="30"/>
        <w:ind w:left="173"/>
      </w:pPr>
      <w:r>
        <w:rPr>
          <w:b/>
          <w:color w:val="15803D"/>
        </w:rPr>
        <w:t xml:space="preserve">Held:  </w:t>
      </w:r>
      <w:r>
        <w:t>The notice of removal pleaded complete diversity defendant by defendant (state of incorporation and PPB), an amount well over $75,000 based on the claimed damages, timely filing within 30 days of service, and every defendant's consent.</w:t>
      </w:r>
    </w:p>
    <w:p>
      <w:pPr>
        <w:pBdr>
          <w:left w:val="single" w:sz="18" w:space="6" w:color="EA580C"/>
        </w:pBdr>
        <w:shd w:val="clear" w:color="auto" w:fill="FEF6C2"/>
        <w:spacing w:after="80"/>
        <w:ind w:left="173"/>
      </w:pPr>
      <w:r>
        <w:rPr>
          <w:b/>
          <w:color w:val="8A6100"/>
        </w:rPr>
        <w:t xml:space="preserve">Why it matters:  </w:t>
      </w:r>
      <w:r>
        <w:t>A model of what a notice of removal must show: § 1332 jurisdiction plus the § 1446 timing and unanimity requirements. No defendant was a Massachusetts citizen, so the forum-defendant rule didn't apply.</w:t>
      </w:r>
    </w:p>
    <w:p>
      <w:pPr>
        <w:pStyle w:val="Heading1"/>
        <w:shd w:val="clear" w:color="auto" w:fill="1F3864"/>
      </w:pPr>
      <w:bookmarkStart w:id="16" w:name="_Toc900016"/>
      <w:r>
        <w:rPr>
          <w:b w:val="0"/>
        </w:rPr>
        <w:t>PART V — VENUE, TRANSFER, AND FORUM NON CONVENIENS</w:t>
      </w:r>
      <w:bookmarkEnd w:id="16"/>
    </w:p>
    <w:p>
      <w:pPr>
        <w:pStyle w:val="Heading2"/>
        <w:pBdr>
          <w:bottom w:val="single" w:sz="8" w:space="2" w:color="C55A11"/>
        </w:pBdr>
      </w:pPr>
      <w:bookmarkStart w:id="17" w:name="_Toc900017"/>
      <w:r>
        <w:rPr>
          <w:b w:val="0"/>
        </w:rPr>
        <w:t>13. Venue</w:t>
      </w:r>
      <w:bookmarkEnd w:id="17"/>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28 U.S.C. § 1391(b):</w:t>
            </w:r>
            <w:r>
              <w:t xml:space="preserve"> a civil action may be brought in </w:t>
            </w:r>
            <w:r>
              <w:rPr>
                <w:color w:val="B91C1C"/>
                <w:shd w:val="clear" w:color="auto" w:fill="FDE2E2"/>
              </w:rPr>
              <w:t xml:space="preserve">(1) a district where </w:t>
            </w:r>
            <w:r>
              <w:rPr>
                <w:b/>
                <w:color w:val="B91C1C"/>
                <w:shd w:val="clear" w:color="auto" w:fill="FDE2E2"/>
              </w:rPr>
              <w:t xml:space="preserve">any defendant resides, if all defendants are residents of the state</w:t>
            </w:r>
            <w:r>
              <w:rPr>
                <w:color w:val="B91C1C"/>
                <w:shd w:val="clear" w:color="auto" w:fill="FDE2E2"/>
              </w:rPr>
              <w:t xml:space="preserve"> where the district is located; </w:t>
            </w:r>
            <w:r>
              <w:rPr>
                <w:color w:val="C2410C"/>
                <w:shd w:val="clear" w:color="auto" w:fill="FFE7D1"/>
              </w:rPr>
              <w:t xml:space="preserve">(2) a district where </w:t>
            </w:r>
            <w:r>
              <w:rPr>
                <w:b/>
                <w:color w:val="C2410C"/>
                <w:shd w:val="clear" w:color="auto" w:fill="FFE7D1"/>
              </w:rPr>
              <w:t xml:space="preserve">a substantial part of the events or omissions</w:t>
            </w:r>
            <w:r>
              <w:rPr>
                <w:color w:val="C2410C"/>
                <w:shd w:val="clear" w:color="auto" w:fill="FFE7D1"/>
              </w:rPr>
              <w:t xml:space="preserve"> giving rise to the claim occurred, or where a substantial part of the property that is the subject of the action is located; or </w:t>
            </w:r>
            <w:r>
              <w:rPr>
                <w:color w:val="854D0E"/>
                <w:shd w:val="clear" w:color="auto" w:fill="FDF1A8"/>
              </w:rPr>
              <w:t xml:space="preserve">(3) </w:t>
            </w:r>
            <w:r>
              <w:rPr>
                <w:b/>
                <w:color w:val="854D0E"/>
                <w:shd w:val="clear" w:color="auto" w:fill="FDF1A8"/>
              </w:rPr>
              <w:t xml:space="preserve">only if there is no district</w:t>
            </w:r>
            <w:r>
              <w:rPr>
                <w:color w:val="854D0E"/>
                <w:shd w:val="clear" w:color="auto" w:fill="FDF1A8"/>
              </w:rPr>
              <w:t xml:space="preserve"> where the action may otherwise be brought under the first two options, any district where </w:t>
            </w:r>
            <w:r>
              <w:rPr>
                <w:b/>
                <w:color w:val="854D0E"/>
                <w:shd w:val="clear" w:color="auto" w:fill="FDF1A8"/>
              </w:rPr>
              <w:t xml:space="preserve">any defendant is subject to PJ</w:t>
            </w:r>
            <w:r>
              <w:rPr>
                <w:color w:val="854D0E"/>
                <w:shd w:val="clear" w:color="auto" w:fill="FDF1A8"/>
              </w:rPr>
              <w:t xml:space="preserve"> with respect to the action.</w:t>
            </w:r>
          </w:p>
        </w:tc>
      </w:tr>
    </w:tbl>
    <w:p>
      <w:pPr>
        <w:spacing w:after="0" w:line="100" w:lineRule="exact"/>
      </w:pPr>
    </w:p>
    <w:p>
      <w:pPr>
        <w:pStyle w:val="ListBullet"/>
      </w:pPr>
      <w:r>
        <w:rPr>
          <w:b/>
        </w:rPr>
        <w:t>Residence, § 1391(c):</w:t>
      </w:r>
      <w:r>
        <w:t xml:space="preserve"> a natural person resides in the district of </w:t>
      </w:r>
      <w:r>
        <w:rPr>
          <w:b/>
        </w:rPr>
        <w:t>domicile</w:t>
      </w:r>
      <w:r>
        <w:t xml:space="preserve">. An entity with capacity to be sued resides, </w:t>
      </w:r>
      <w:r>
        <w:rPr>
          <w:b/>
        </w:rPr>
        <w:t>as a defendant</w:t>
      </w:r>
      <w:r>
        <w:t xml:space="preserve">, in </w:t>
      </w:r>
      <w:r>
        <w:rPr>
          <w:b/>
        </w:rPr>
        <w:t>any district where it is subject to PJ</w:t>
      </w:r>
      <w:r>
        <w:t xml:space="preserve"> for that action, and as a plaintiff only where it has its PPB. A defendant </w:t>
      </w:r>
      <w:r>
        <w:rPr>
          <w:b/>
        </w:rPr>
        <w:t>not resident in the United States</w:t>
      </w:r>
      <w:r>
        <w:t xml:space="preserve"> may be sued in </w:t>
      </w:r>
      <w:r>
        <w:rPr>
          <w:b/>
        </w:rPr>
        <w:t>any</w:t>
      </w:r>
      <w:r>
        <w:t xml:space="preserve"> district, and its joinder is disregarded in deciding venue for the other defendants.</w:t>
      </w:r>
    </w:p>
    <w:p>
      <w:pPr>
        <w:pStyle w:val="ListBullet"/>
      </w:pPr>
      <w:r>
        <w:rPr>
          <w:b/>
        </w:rPr>
        <w:t>Corporations in states with several districts, § 1391(d):</w:t>
      </w:r>
      <w:r>
        <w:t xml:space="preserve"> the corporation resides in any district whose contacts would support PJ if that district were a separate state; if there is none, in the district with which it has the most significant contacts.</w:t>
      </w:r>
    </w:p>
    <w:p>
      <w:pPr>
        <w:pStyle w:val="ListBullet"/>
      </w:pPr>
      <w:r>
        <w:rPr>
          <w:b/>
        </w:rPr>
        <w:t>"Substantial part"</w:t>
      </w:r>
      <w:r>
        <w:t xml:space="preserve"> can describe </w:t>
      </w:r>
      <w:r>
        <w:rPr>
          <w:b/>
        </w:rPr>
        <w:t>more than one</w:t>
      </w:r>
      <w:r>
        <w:t xml:space="preserve"> district. Ask whether significant events material to the claim occurred there, not where the most substantial events occurred.</w:t>
      </w:r>
    </w:p>
    <w:p>
      <w:pPr>
        <w:pStyle w:val="ListBullet"/>
      </w:pPr>
      <w:r>
        <w:rPr>
          <w:b/>
        </w:rPr>
        <w:t>The fallback</w:t>
      </w:r>
      <w:r>
        <w:t xml:space="preserve"> applies only when </w:t>
      </w:r>
      <w:r>
        <w:rPr>
          <w:b/>
        </w:rPr>
        <w:t>no district in the United States</w:t>
      </w:r>
      <w:r>
        <w:t xml:space="preserve"> satisfies the first two options (for example, all events occurred abroad and the defendants live in different states).</w:t>
      </w:r>
    </w:p>
    <w:p>
      <w:pPr>
        <w:pStyle w:val="ListBullet"/>
      </w:pPr>
      <w:r>
        <w:rPr>
          <w:b/>
        </w:rPr>
        <w:t>Waiver:</w:t>
      </w:r>
      <w:r>
        <w:t xml:space="preserve"> an improper-venue objection is waived if left out of the first Rule 12 motion or answer (Rule 12(b)(3), (h)(1)).</w:t>
      </w:r>
    </w:p>
    <w:p>
      <w:pPr>
        <w:pStyle w:val="ListBullet"/>
      </w:pPr>
      <w:r>
        <w:rPr>
          <w:b/>
        </w:rPr>
        <w:t>Removed cases:</w:t>
      </w:r>
      <w:r>
        <w:t xml:space="preserve"> venue is the district and division embracing the state court where the case was pending (§ 1441(a)), and § 1391 doesn't apply.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Venue residence for an individual is domicile, not wherever the individual is subject to PJ. A corporation's venue residence is much broader than its diversity citizenship: a Delaware corporation headquartered in Georgia "resides" for venue in every district where it is subject to PJ for the claim.</w:t>
            </w:r>
          </w:p>
        </w:tc>
      </w:tr>
    </w:tbl>
    <w:p>
      <w:pPr>
        <w:spacing w:after="0" w:line="100" w:lineRule="exact"/>
      </w:pPr>
    </w:p>
    <w:p>
      <w:pPr>
        <w:pStyle w:val="Heading2"/>
        <w:pBdr>
          <w:bottom w:val="single" w:sz="8" w:space="2" w:color="C55A11"/>
        </w:pBdr>
      </w:pPr>
      <w:bookmarkStart w:id="18" w:name="_Toc900018"/>
      <w:r>
        <w:rPr>
          <w:b w:val="0"/>
        </w:rPr>
        <w:t>14. Transfer Within the Federal System</w:t>
      </w:r>
      <w:bookmarkEnd w:id="18"/>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814"/>
        <w:gridCol w:w="4133"/>
        <w:gridCol w:w="4133"/>
      </w:tblGrid>
      <w:tr>
        <w:trPr>
          <w:cantSplit/>
          <w:tblHeader/>
          <w:jc w:val="center"/>
        </w:trPr>
        <w:tc>
          <w:tcPr>
            <w:tcW w:w="1814"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Feature</w:t>
            </w:r>
          </w:p>
        </w:tc>
        <w:tc>
          <w:tcPr>
            <w:tcW w:w="4133"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 1404(a): venue is proper</w:t>
            </w:r>
          </w:p>
        </w:tc>
        <w:tc>
          <w:tcPr>
            <w:tcW w:w="4133"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 1406(a): venue is improper</w:t>
            </w:r>
          </w:p>
        </w:tc>
      </w:tr>
      <w:tr>
        <w:trPr>
          <w:cantSplit/>
          <w:jc w:val="center"/>
        </w:trPr>
        <w:tc>
          <w:tcPr>
            <w:tcW w:w="1814"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Standard</w:t>
            </w:r>
          </w:p>
        </w:tc>
        <w:tc>
          <w:tcPr>
            <w:tcW w:w="4133"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"For the convenience of parties and witnesses, in the interest of justice," the court </w:t>
            </w:r>
            <w:r>
              <w:rPr>
                <w:b/>
                <w:sz w:val="17"/>
              </w:rPr>
              <w:t>may</w:t>
            </w:r>
            <w:r>
              <w:rPr>
                <w:sz w:val="17"/>
              </w:rPr>
              <w:t xml:space="preserve"> transfer to any district </w:t>
            </w:r>
            <w:r>
              <w:rPr>
                <w:b/>
                <w:sz w:val="17"/>
              </w:rPr>
              <w:t>where the case might have been brought</w:t>
            </w:r>
            <w:r>
              <w:rPr>
                <w:sz w:val="17"/>
              </w:rPr>
              <w:t xml:space="preserve"> (proper venue, PJ, and SMJ there) or to which </w:t>
            </w:r>
            <w:r>
              <w:rPr>
                <w:b/>
                <w:sz w:val="17"/>
              </w:rPr>
              <w:t>all parties have consented</w:t>
            </w:r>
            <w:r>
              <w:rPr>
                <w:sz w:val="17"/>
              </w:rPr>
              <w:t>.</w:t>
            </w:r>
          </w:p>
        </w:tc>
        <w:tc>
          <w:tcPr>
            <w:tcW w:w="4133"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The court </w:t>
            </w:r>
            <w:r>
              <w:rPr>
                <w:b/>
                <w:sz w:val="17"/>
              </w:rPr>
              <w:t>shall dismiss</w:t>
            </w:r>
            <w:r>
              <w:rPr>
                <w:sz w:val="17"/>
              </w:rPr>
              <w:t xml:space="preserve">, or if it is in the interest of justice, </w:t>
            </w:r>
            <w:r>
              <w:rPr>
                <w:b/>
                <w:sz w:val="17"/>
              </w:rPr>
              <w:t>transfer</w:t>
            </w:r>
            <w:r>
              <w:rPr>
                <w:sz w:val="17"/>
              </w:rPr>
              <w:t xml:space="preserve"> to any district where the case could have been brought.</w:t>
            </w:r>
          </w:p>
        </w:tc>
      </w:tr>
      <w:tr>
        <w:trPr>
          <w:cantSplit/>
          <w:jc w:val="center"/>
        </w:trPr>
        <w:tc>
          <w:tcPr>
            <w:tcW w:w="1814"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Factors</w:t>
            </w:r>
          </w:p>
        </w:tc>
        <w:tc>
          <w:tcPr>
            <w:tcW w:w="4133"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b/>
                <w:sz w:val="17"/>
              </w:rPr>
              <w:t>Private:</w:t>
            </w:r>
            <w:r>
              <w:rPr>
                <w:sz w:val="17"/>
              </w:rPr>
              <w:t xml:space="preserve"> access to proof, availability of compulsory process for witnesses, cost of attendance, practical problems. </w:t>
            </w:r>
            <w:r>
              <w:rPr>
                <w:b/>
                <w:sz w:val="17"/>
              </w:rPr>
              <w:t>Public:</w:t>
            </w:r>
            <w:r>
              <w:rPr>
                <w:sz w:val="17"/>
              </w:rPr>
              <w:t xml:space="preserve"> court congestion, local interest in deciding local controversies, familiarity with the governing law. The plaintiff's choice of forum gets deference.</w:t>
            </w:r>
          </w:p>
        </w:tc>
        <w:tc>
          <w:tcPr>
            <w:tcW w:w="4133"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Transfer is favored over dismissal when refiling would be time-barred. </w:t>
            </w:r>
            <w:r>
              <w:rPr>
                <w:i/>
                <w:color w:val="64748B"/>
                <w:sz w:val="17"/>
              </w:rPr>
              <w:t>◆ Transfer is allowed even if the transferor court lacks PJ (Goldlawr v. Heiman (1962)).</w:t>
            </w:r>
          </w:p>
        </w:tc>
      </w:tr>
      <w:tr>
        <w:trPr>
          <w:cantSplit/>
          <w:jc w:val="center"/>
        </w:trPr>
        <w:tc>
          <w:tcPr>
            <w:tcW w:w="1814"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Law applied</w:t>
            </w:r>
          </w:p>
        </w:tc>
        <w:tc>
          <w:tcPr>
            <w:tcW w:w="4133"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i/>
                <w:color w:val="64748B"/>
                <w:sz w:val="17"/>
              </w:rPr>
              <w:t>◆ The **transferor** state's law, including its choice-of-law rules, goes with the case (Van Dusen v. Barrack (1964)).</w:t>
            </w:r>
            <w:r>
              <w:rPr>
                <w:sz w:val="17"/>
              </w:rPr>
              <w:t xml:space="preserve"> Exception: a forum-selection clause (Atlantic Marine).</w:t>
            </w:r>
          </w:p>
        </w:tc>
        <w:tc>
          <w:tcPr>
            <w:tcW w:w="4133"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i/>
                <w:color w:val="64748B"/>
                <w:sz w:val="17"/>
              </w:rPr>
              <w:t>◆ The **transferee** state's law; the plaintiff gets no benefit from filing in the wrong place.</w:t>
            </w:r>
          </w:p>
        </w:tc>
      </w:tr>
    </w:tbl>
    <w:p>
      <w:pPr>
        <w:spacing w:after="0" w:line="100" w:lineRule="exact"/>
      </w:pPr>
    </w:p>
    <w:p>
      <w:pPr>
        <w:pStyle w:val="Heading2"/>
        <w:pBdr>
          <w:bottom w:val="single" w:sz="8" w:space="2" w:color="C55A11"/>
        </w:pBdr>
      </w:pPr>
      <w:bookmarkStart w:id="19" w:name="_Toc900019"/>
      <w:r>
        <w:rPr>
          <w:b w:val="0"/>
        </w:rPr>
        <w:t>15. Forum-Selection Clauses</w:t>
      </w:r>
      <w:bookmarkEnd w:id="19"/>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Atlantic Marine:</w:t>
            </w:r>
            <w:r>
              <w:t xml:space="preserve"> a valid forum-selection clause pointing to </w:t>
            </w:r>
            <w:r>
              <w:rPr>
                <w:b/>
              </w:rPr>
              <w:t>another federal district</w:t>
            </w:r>
            <w:r>
              <w:t xml:space="preserve"> is enforced by a motion to transfer under </w:t>
            </w:r>
            <w:r>
              <w:rPr>
                <w:b/>
              </w:rPr>
              <w:t>§ 1404(a)</w:t>
            </w:r>
            <w:r>
              <w:t xml:space="preserve">, not by dismissal under § 1406(a) or Rule 12(b)(3), because venue is "wrong" only if § 1391 isn't satisfied. A clause pointing to a </w:t>
            </w:r>
            <w:r>
              <w:rPr>
                <w:b/>
              </w:rPr>
              <w:t>state or foreign</w:t>
            </w:r>
            <w:r>
              <w:t xml:space="preserve"> court is enforced through </w:t>
            </w:r>
            <w:r>
              <w:rPr>
                <w:b/>
              </w:rPr>
              <w:t>forum non conveniens</w:t>
            </w:r>
            <w:r>
              <w:t xml:space="preserve">. The clause gets </w:t>
            </w:r>
            <w:r>
              <w:rPr>
                <w:b/>
              </w:rPr>
              <w:t>controlling weight in all but the most exceptional cases</w:t>
            </w:r>
            <w:r>
              <w:t>.</w:t>
            </w:r>
          </w:p>
        </w:tc>
      </w:tr>
    </w:tbl>
    <w:p>
      <w:pPr>
        <w:spacing w:after="0" w:line="100" w:lineRule="exact"/>
      </w:pPr>
    </w:p>
    <w:p>
      <w:pPr>
        <w:pStyle w:val="ListBullet"/>
      </w:pPr>
      <w:r>
        <w:t xml:space="preserve">The § 1404(a) analysis changes in three ways: </w:t>
      </w:r>
      <w:r>
        <w:rPr>
          <w:color w:val="B91C1C"/>
          <w:shd w:val="clear" w:color="auto" w:fill="FDE2E2"/>
        </w:rPr>
        <w:t xml:space="preserve">(1) the </w:t>
      </w:r>
      <w:r>
        <w:rPr>
          <w:b/>
          <w:color w:val="B91C1C"/>
          <w:shd w:val="clear" w:color="auto" w:fill="FDE2E2"/>
        </w:rPr>
        <w:t xml:space="preserve">plaintiff's choice of forum gets no weight</w:t>
      </w:r>
      <w:r>
        <w:rPr>
          <w:color w:val="B91C1C"/>
          <w:shd w:val="clear" w:color="auto" w:fill="FDE2E2"/>
        </w:rPr>
        <w:t xml:space="preserve">, and the plaintiff bears the burden of showing transfer is unwarranted; </w:t>
      </w:r>
      <w:r>
        <w:rPr>
          <w:color w:val="C2410C"/>
          <w:shd w:val="clear" w:color="auto" w:fill="FFE7D1"/>
        </w:rPr>
        <w:t xml:space="preserve">(2) the court </w:t>
      </w:r>
      <w:r>
        <w:rPr>
          <w:b/>
          <w:color w:val="C2410C"/>
          <w:shd w:val="clear" w:color="auto" w:fill="FFE7D1"/>
        </w:rPr>
        <w:t xml:space="preserve">ignores the parties' private interests</w:t>
      </w:r>
      <w:r>
        <w:rPr>
          <w:color w:val="C2410C"/>
          <w:shd w:val="clear" w:color="auto" w:fill="FFE7D1"/>
        </w:rPr>
        <w:t xml:space="preserve">, which they waived by contract, and considers only public-interest factors, which rarely defeat transfer; and </w:t>
      </w:r>
      <w:r>
        <w:rPr>
          <w:color w:val="854D0E"/>
          <w:shd w:val="clear" w:color="auto" w:fill="FDF1A8"/>
        </w:rPr>
        <w:t xml:space="preserve">(3) the transferee court </w:t>
      </w:r>
      <w:r>
        <w:rPr>
          <w:b/>
          <w:color w:val="854D0E"/>
          <w:shd w:val="clear" w:color="auto" w:fill="FDF1A8"/>
        </w:rPr>
        <w:t xml:space="preserve">doesn't apply the original forum's choice-of-law rules</w:t>
      </w:r>
      <w:r>
        <w:rPr>
          <w:color w:val="854D0E"/>
          <w:shd w:val="clear" w:color="auto" w:fill="FDF1A8"/>
        </w:rPr>
        <w:t xml:space="preserve">.</w:t>
      </w:r>
    </w:p>
    <w:p>
      <w:pPr>
        <w:keepNext/>
        <w:pBdr>
          <w:left w:val="single" w:sz="18" w:space="6" w:color="DC2626"/>
        </w:pBdr>
        <w:spacing w:before="100" w:after="20"/>
        <w:ind w:left="173"/>
      </w:pPr>
      <w:r>
        <w:rPr>
          <w:b/>
          <w:color w:val="B91C1C"/>
          <w:sz w:val="21"/>
        </w:rPr>
        <w:t>Atlantic Marine Construction Co. v. United States District Court, 571 U.S. 49 (2013)</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Atlantic Marine, a Virginia contractor, subcontracted with J-Crew, a Texas company, for work at Fort Hood, Texas. The subcontract said disputes would be litigated in a state or federal court in Norfolk, Virginia (the Eastern District of Virginia). J-Crew sued in federal court in the Western District of Texas. Atlantic Marine moved to dismiss for improper venue or to transfer; both were denied, and the Fifth Circuit denied mandamus.</w:t>
      </w:r>
    </w:p>
    <w:p>
      <w:pPr>
        <w:keepNext/>
        <w:pBdr>
          <w:left w:val="single" w:sz="18" w:space="6" w:color="DC2626"/>
        </w:pBdr>
        <w:shd w:val="clear" w:color="auto" w:fill="E7F8EE"/>
        <w:spacing w:after="30"/>
        <w:ind w:left="173"/>
      </w:pPr>
      <w:r>
        <w:rPr>
          <w:b/>
          <w:color w:val="15803D"/>
        </w:rPr>
        <w:t xml:space="preserve">Held:  </w:t>
      </w:r>
      <w:r>
        <w:t>Reversed (unanimous). Venue in Texas was proper under § 1391, so § 1406(a) and Rule 12(b)(3) didn't apply; the clause must be enforced under § 1404(a), and the district court erred by weighing the private-interest factors and the plaintiff's choice.</w:t>
      </w:r>
    </w:p>
    <w:p>
      <w:pPr>
        <w:pBdr>
          <w:left w:val="single" w:sz="18" w:space="6" w:color="DC2626"/>
        </w:pBdr>
        <w:shd w:val="clear" w:color="auto" w:fill="FEF6C2"/>
        <w:spacing w:after="80"/>
        <w:ind w:left="173"/>
      </w:pPr>
      <w:r>
        <w:rPr>
          <w:b/>
          <w:color w:val="8A6100"/>
        </w:rPr>
        <w:t xml:space="preserve">Why it matters:  </w:t>
      </w:r>
      <w:r>
        <w:t>The mechanism and weight for enforcing forum-selection clauses. The case reached the Supreme Court by mandamus because a transfer ruling isn't a final judgment.</w:t>
      </w:r>
    </w:p>
    <w:p>
      <w:pPr>
        <w:pStyle w:val="Heading2"/>
        <w:pBdr>
          <w:bottom w:val="single" w:sz="8" w:space="2" w:color="C55A11"/>
        </w:pBdr>
      </w:pPr>
      <w:bookmarkStart w:id="20" w:name="_Toc900020"/>
      <w:r>
        <w:rPr>
          <w:b w:val="0"/>
        </w:rPr>
        <w:t>16. Forum Non Conveniens</w:t>
      </w:r>
      <w:bookmarkEnd w:id="20"/>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 court may </w:t>
            </w:r>
            <w:r>
              <w:rPr>
                <w:b/>
              </w:rPr>
              <w:t>dismiss</w:t>
            </w:r>
            <w:r>
              <w:t xml:space="preserve"> (not transfer) when </w:t>
            </w:r>
            <w:r>
              <w:rPr>
                <w:color w:val="B91C1C"/>
                <w:shd w:val="clear" w:color="auto" w:fill="FDE2E2"/>
              </w:rPr>
              <w:t xml:space="preserve">(1) an </w:t>
            </w:r>
            <w:r>
              <w:rPr>
                <w:b/>
                <w:color w:val="B91C1C"/>
                <w:shd w:val="clear" w:color="auto" w:fill="FDE2E2"/>
              </w:rPr>
              <w:t xml:space="preserve">adequate alternative forum</w:t>
            </w:r>
            <w:r>
              <w:rPr>
                <w:color w:val="B91C1C"/>
                <w:shd w:val="clear" w:color="auto" w:fill="FDE2E2"/>
              </w:rPr>
              <w:t xml:space="preserve"> is available, usually abroad, and </w:t>
            </w:r>
            <w:r>
              <w:rPr>
                <w:color w:val="C2410C"/>
                <w:shd w:val="clear" w:color="auto" w:fill="FFE7D1"/>
              </w:rPr>
              <w:t xml:space="preserve">(2) the private- and public-interest factors </w:t>
            </w:r>
            <w:r>
              <w:rPr>
                <w:b/>
                <w:color w:val="C2410C"/>
                <w:shd w:val="clear" w:color="auto" w:fill="FFE7D1"/>
              </w:rPr>
              <w:t xml:space="preserve">strongly favor</w:t>
            </w:r>
            <w:r>
              <w:rPr>
                <w:color w:val="C2410C"/>
                <w:shd w:val="clear" w:color="auto" w:fill="FFE7D1"/>
              </w:rPr>
              <w:t xml:space="preserve"> trial there.</w:t>
            </w:r>
            <w:r>
              <w:t xml:space="preserve"> The alternative forum is inadequate only if its remedy is </w:t>
            </w:r>
            <w:r>
              <w:rPr>
                <w:b/>
              </w:rPr>
              <w:t>"so clearly inadequate or unsatisfactory that it is no remedy at all"</w:t>
            </w:r>
            <w:r>
              <w:t xml:space="preserve"> (Piper).</w:t>
            </w:r>
          </w:p>
        </w:tc>
      </w:tr>
    </w:tbl>
    <w:p>
      <w:pPr>
        <w:spacing w:after="0" w:line="100" w:lineRule="exact"/>
      </w:pPr>
    </w:p>
    <w:p>
      <w:pPr>
        <w:pBdr>
          <w:left w:val="single" w:sz="24" w:space="4" w:color="EF4444"/>
        </w:pBdr>
        <w:shd w:val="clear" w:color="auto" w:fill="FDE2E2"/>
        <w:ind w:left="360" w:hanging="288"/>
      </w:pPr>
      <w:r>
        <w:rPr>
          <w:b/>
          <w:color w:val="B91C1C"/>
        </w:rPr>
        <w:t xml:space="preserve">1.  </w:t>
      </w:r>
      <w:r>
        <w:rPr>
          <w:b/>
        </w:rPr>
        <w:t>Availability:</w:t>
      </w:r>
      <w:r>
        <w:t xml:space="preserve"> the defendant must be amenable to process in the alternative forum.</w:t>
      </w:r>
    </w:p>
    <w:p>
      <w:pPr>
        <w:pBdr>
          <w:left w:val="single" w:sz="24" w:space="4" w:color="F97316"/>
        </w:pBdr>
        <w:shd w:val="clear" w:color="auto" w:fill="FFE7D1"/>
        <w:ind w:left="360" w:hanging="288"/>
      </w:pPr>
      <w:r>
        <w:rPr>
          <w:b/>
          <w:color w:val="C2410C"/>
        </w:rPr>
        <w:t xml:space="preserve">2.  </w:t>
      </w:r>
      <w:r>
        <w:rPr>
          <w:b/>
        </w:rPr>
        <w:t>Adequacy:</w:t>
      </w:r>
      <w:r>
        <w:t xml:space="preserve"> a </w:t>
      </w:r>
      <w:r>
        <w:rPr>
          <w:b/>
        </w:rPr>
        <w:t>less favorable change in substantive law</w:t>
      </w:r>
      <w:r>
        <w:t xml:space="preserve"> gets no conclusive or even substantial weight (Piper).</w:t>
      </w:r>
    </w:p>
    <w:p>
      <w:pPr>
        <w:pBdr>
          <w:left w:val="single" w:sz="24" w:space="4" w:color="EAB308"/>
        </w:pBdr>
        <w:shd w:val="clear" w:color="auto" w:fill="FDF1A8"/>
        <w:ind w:left="360" w:hanging="288"/>
      </w:pPr>
      <w:r>
        <w:rPr>
          <w:b/>
          <w:color w:val="854D0E"/>
        </w:rPr>
        <w:t xml:space="preserve">3.  </w:t>
      </w:r>
      <w:r>
        <w:rPr>
          <w:b/>
        </w:rPr>
        <w:t>Deference:</w:t>
      </w:r>
      <w:r>
        <w:t xml:space="preserve"> strong for a </w:t>
      </w:r>
      <w:r>
        <w:rPr>
          <w:b/>
        </w:rPr>
        <w:t>home</w:t>
      </w:r>
      <w:r>
        <w:t xml:space="preserve"> plaintiff's choice of forum; </w:t>
      </w:r>
      <w:r>
        <w:rPr>
          <w:b/>
        </w:rPr>
        <w:t>less</w:t>
      </w:r>
      <w:r>
        <w:t xml:space="preserve"> for a </w:t>
      </w:r>
      <w:r>
        <w:rPr>
          <w:b/>
        </w:rPr>
        <w:t>foreign</w:t>
      </w:r>
      <w:r>
        <w:t xml:space="preserve"> plaintiff, whose choice is less likely to rest on convenience.</w:t>
      </w:r>
    </w:p>
    <w:p>
      <w:pPr>
        <w:pBdr>
          <w:left w:val="single" w:sz="24" w:space="4" w:color="22C55E"/>
        </w:pBdr>
        <w:shd w:val="clear" w:color="auto" w:fill="D7F5E1"/>
        <w:ind w:left="360" w:hanging="288"/>
      </w:pPr>
      <w:r>
        <w:rPr>
          <w:b/>
          <w:color w:val="15803D"/>
        </w:rPr>
        <w:t xml:space="preserve">4.  </w:t>
      </w:r>
      <w:r>
        <w:rPr>
          <w:b/>
        </w:rPr>
        <w:t>Balance</w:t>
      </w:r>
      <w:r>
        <w:t xml:space="preserve"> the private and public factors (the same ones used under § 1404(a)). The decision is reviewed for abuse of discretion.</w:t>
      </w:r>
    </w:p>
    <w:p>
      <w:pPr>
        <w:pStyle w:val="ListBullet"/>
      </w:pPr>
      <w:r>
        <w:rPr>
          <w:i/>
          <w:color w:val="64748B"/>
        </w:rPr>
        <w:t>◆ Courts often attach conditions, such as the defendant's agreement to submit to jurisdiction abroad and to waive the statute of limitations.</w:t>
      </w:r>
      <w:r>
        <w:t xml:space="preserve"> Today forum non conveniens is used mainly for foreign forums, since § 1404(a) handles moves between federal courts.</w:t>
      </w:r>
    </w:p>
    <w:p>
      <w:pPr>
        <w:keepNext/>
        <w:pBdr>
          <w:left w:val="single" w:sz="18" w:space="6" w:color="DC2626"/>
        </w:pBdr>
        <w:spacing w:before="100" w:after="20"/>
        <w:ind w:left="173"/>
      </w:pPr>
      <w:r>
        <w:rPr>
          <w:b/>
          <w:color w:val="B91C1C"/>
          <w:sz w:val="21"/>
        </w:rPr>
        <w:t>Piper Aircraft Co. v. Reyno, 454 U.S. 235 (1981)</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A small plane crashed in the Scottish highlands, killing the Scottish pilot and five Scottish passengers. The plane was made by Piper (Pennsylvania), with propellers by Hartzell (Ohio), and was owned and operated by Scottish companies. Reyno, a California legal secretary appointed to administer the estates, sued Piper and Hartzell for wrongful death in California state court, admitting she chose the United States because its liability and damages law was more favorable than Scotland's. The case was removed, transferred to the Middle District of Pennsylvania, and dismissed for forum non conveniens; the Third Circuit reversed because Scottish law was less favorable.</w:t>
      </w:r>
    </w:p>
    <w:p>
      <w:pPr>
        <w:keepNext/>
        <w:pBdr>
          <w:left w:val="single" w:sz="18" w:space="6" w:color="DC2626"/>
        </w:pBdr>
        <w:shd w:val="clear" w:color="auto" w:fill="E7F8EE"/>
        <w:spacing w:after="30"/>
        <w:ind w:left="173"/>
      </w:pPr>
      <w:r>
        <w:rPr>
          <w:b/>
          <w:color w:val="15803D"/>
        </w:rPr>
        <w:t xml:space="preserve">Held:  </w:t>
      </w:r>
      <w:r>
        <w:t>Reversed; the dismissal was reinstated. An unfavorable change in law ordinarily gets no substantial weight, a foreign plaintiff's choice gets less deference, and the evidence and potential third-party defendants were in Scotland, which also had the stronger interest.</w:t>
      </w:r>
    </w:p>
    <w:p>
      <w:pPr>
        <w:pBdr>
          <w:left w:val="single" w:sz="18" w:space="6" w:color="DC2626"/>
        </w:pBdr>
        <w:shd w:val="clear" w:color="auto" w:fill="FEF6C2"/>
        <w:spacing w:after="80"/>
        <w:ind w:left="173"/>
      </w:pPr>
      <w:r>
        <w:rPr>
          <w:b/>
          <w:color w:val="8A6100"/>
        </w:rPr>
        <w:t xml:space="preserve">Why it matters:  </w:t>
      </w:r>
      <w:r>
        <w:rPr>
          <w:b/>
        </w:rPr>
        <w:t>The</w:t>
      </w:r>
      <w:r>
        <w:t xml:space="preserve"> forum non conveniens case. Contrast § 1404(a), which transfers within the federal system rather than dismissing.</w:t>
      </w:r>
    </w:p>
    <w:p>
      <w:pPr>
        <w:pStyle w:val="Heading1"/>
        <w:shd w:val="clear" w:color="auto" w:fill="1F3864"/>
      </w:pPr>
      <w:bookmarkStart w:id="21" w:name="_Toc900021"/>
      <w:r>
        <w:rPr>
          <w:b w:val="0"/>
        </w:rPr>
        <w:t>PART VI — CHOICE OF LAW: THE ERIE DOCTRINE</w:t>
      </w:r>
      <w:bookmarkEnd w:id="21"/>
    </w:p>
    <w:p>
      <w:pPr>
        <w:pStyle w:val="Heading2"/>
        <w:pBdr>
          <w:bottom w:val="single" w:sz="8" w:space="2" w:color="C55A11"/>
        </w:pBdr>
      </w:pPr>
      <w:bookmarkStart w:id="22" w:name="_Toc900022"/>
      <w:r>
        <w:rPr>
          <w:b w:val="0"/>
        </w:rPr>
        <w:t>17. From Swift to Erie</w:t>
      </w:r>
      <w:bookmarkEnd w:id="22"/>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Rules of Decision Act (RDA), 28 U.S.C. § 1652:</w:t>
            </w:r>
            <w:r>
              <w:t xml:space="preserve"> "The laws of the several states, except where the Constitution or treaties of the United States or Acts of Congress otherwise require or provide, shall be regarded as rules of decision in civil actions in the courts of the United States, in cases where they apply."</w:t>
            </w:r>
          </w:p>
        </w:tc>
      </w:tr>
    </w:tbl>
    <w:p>
      <w:pPr>
        <w:spacing w:after="0" w:line="100" w:lineRule="exact"/>
      </w:pPr>
    </w:p>
    <w:p>
      <w:pPr>
        <w:pStyle w:val="ListBullet"/>
      </w:pPr>
      <w:r>
        <w:rPr>
          <w:b/>
        </w:rPr>
        <w:t>Swift (1842):</w:t>
      </w:r>
      <w:r>
        <w:t xml:space="preserve"> "laws of the several states" meant only state </w:t>
      </w:r>
      <w:r>
        <w:rPr>
          <w:b/>
        </w:rPr>
        <w:t>statutes</w:t>
      </w:r>
      <w:r>
        <w:t xml:space="preserve"> and </w:t>
      </w:r>
      <w:r>
        <w:rPr>
          <w:b/>
        </w:rPr>
        <w:t>local</w:t>
      </w:r>
      <w:r>
        <w:t xml:space="preserve"> law (real property, local usages). On questions of </w:t>
      </w:r>
      <w:r>
        <w:rPr>
          <w:b/>
        </w:rPr>
        <w:t>general</w:t>
      </w:r>
      <w:r>
        <w:t xml:space="preserve"> law, such as commercial law, federal courts could use their own independent judgment and ignore state court decisions.</w:t>
      </w:r>
    </w:p>
    <w:p>
      <w:pPr>
        <w:pStyle w:val="ListBullet"/>
      </w:pPr>
      <w:r>
        <w:rPr>
          <w:b/>
        </w:rPr>
        <w:t>Swift's failures:</w:t>
      </w:r>
      <w:r>
        <w:t xml:space="preserve"> no uniformity (state courts didn't follow federal "general law"), </w:t>
      </w:r>
      <w:r>
        <w:rPr>
          <w:b/>
        </w:rPr>
        <w:t>forum shopping</w:t>
      </w:r>
      <w:r>
        <w:t xml:space="preserve"> by out-of-state citizens, and unequal treatment of in-state citizens, captured in Black &amp; White Taxicab.</w:t>
      </w:r>
    </w:p>
    <w:p>
      <w:pPr>
        <w:pStyle w:val="ListBullet"/>
      </w:pPr>
      <w:r>
        <w:rPr>
          <w:b/>
        </w:rPr>
        <w:t>Erie (1938):</w:t>
      </w:r>
      <w:r>
        <w:t xml:space="preserve"> Swift overruled. "There is no federal general common law." In diversity cases, and on any state-law claim (including supplemental claims in federal-question cases), federal courts apply </w:t>
      </w:r>
      <w:r>
        <w:rPr>
          <w:b/>
        </w:rPr>
        <w:t>state substantive law, including state court decisions</w:t>
      </w:r>
      <w:r>
        <w:t>.</w:t>
      </w:r>
    </w:p>
    <w:p>
      <w:pPr>
        <w:pStyle w:val="ListBullet"/>
      </w:pPr>
      <w:r>
        <w:rPr>
          <w:b/>
        </w:rPr>
        <w:t>Klaxon (1941):</w:t>
      </w:r>
      <w:r>
        <w:t xml:space="preserve"> a federal court in diversity applies the </w:t>
      </w:r>
      <w:r>
        <w:rPr>
          <w:b/>
        </w:rPr>
        <w:t>choice-of-law rules of the state where it sits</w:t>
      </w:r>
      <w:r>
        <w:t>.</w:t>
      </w:r>
    </w:p>
    <w:p>
      <w:pPr>
        <w:pStyle w:val="ListBullet"/>
      </w:pPr>
      <w:r>
        <w:rPr>
          <w:b/>
        </w:rPr>
        <w:t>Federal common law survives</w:t>
      </w:r>
      <w:r>
        <w:t xml:space="preserve"> in areas of uniquely federal interest (Standard Oil).</w:t>
      </w:r>
    </w:p>
    <w:p>
      <w:pPr>
        <w:pStyle w:val="Heading3"/>
      </w:pPr>
      <w:r>
        <w:rPr>
          <w:b w:val="0"/>
        </w:rPr>
        <w:t>Cases</w:t>
      </w:r>
    </w:p>
    <w:p>
      <w:pPr>
        <w:keepNext/>
        <w:pBdr>
          <w:left w:val="single" w:sz="18" w:space="6" w:color="DC2626"/>
        </w:pBdr>
        <w:spacing w:before="100" w:after="20"/>
        <w:ind w:left="173"/>
      </w:pPr>
      <w:r>
        <w:rPr>
          <w:b/>
          <w:color w:val="B91C1C"/>
          <w:sz w:val="21"/>
        </w:rPr>
        <w:t>Swift v. Tyson, 41 U.S. (16 Pet.) 1 (1842)</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Tyson accepted a bill of exchange as payment for Maine land in a sale that turned out to be fraudulent. The bill was endorsed to Swift to pay a pre-existing debt. Swift sued Tyson in federal court in New York (diversity). Tyson raised the fraud defense, which would fail against a holder who gave value; New York decisions suggested a pre-existing debt might not be value.</w:t>
      </w:r>
    </w:p>
    <w:p>
      <w:pPr>
        <w:keepNext/>
        <w:pBdr>
          <w:left w:val="single" w:sz="18" w:space="6" w:color="DC2626"/>
        </w:pBdr>
        <w:shd w:val="clear" w:color="auto" w:fill="E7F8EE"/>
        <w:spacing w:after="30"/>
        <w:ind w:left="173"/>
      </w:pPr>
      <w:r>
        <w:rPr>
          <w:b/>
          <w:color w:val="15803D"/>
        </w:rPr>
        <w:t xml:space="preserve">Held:  </w:t>
      </w:r>
      <w:r>
        <w:t>Federal courts need not follow state court decisions on questions of general commercial law. Under general commercial law, a pre-existing debt is value, so Swift took the bill free of the fraud defense.</w:t>
      </w:r>
    </w:p>
    <w:p>
      <w:pPr>
        <w:pBdr>
          <w:left w:val="single" w:sz="18" w:space="6" w:color="DC2626"/>
        </w:pBdr>
        <w:shd w:val="clear" w:color="auto" w:fill="FEF6C2"/>
        <w:spacing w:after="80"/>
        <w:ind w:left="173"/>
      </w:pPr>
      <w:r>
        <w:rPr>
          <w:b/>
          <w:color w:val="8A6100"/>
        </w:rPr>
        <w:t xml:space="preserve">Why it matters:  </w:t>
      </w:r>
      <w:r>
        <w:t>The "general common law" regime that Erie overruled, and the source of the forum shopping and inequality that Erie's twin aims target.</w:t>
      </w:r>
    </w:p>
    <w:p>
      <w:pPr>
        <w:keepNext/>
        <w:pBdr>
          <w:left w:val="single" w:sz="18" w:space="6" w:color="DC2626"/>
        </w:pBdr>
        <w:spacing w:before="100" w:after="20"/>
        <w:ind w:left="173"/>
      </w:pPr>
      <w:r>
        <w:rPr>
          <w:b/>
          <w:color w:val="B91C1C"/>
          <w:sz w:val="21"/>
        </w:rPr>
        <w:t>Erie Railroad Co. v. Tompkins, 304 U.S. 64 (1938)</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Tompkins, a Pennsylvania citizen, was walking at night on a footpath beside the tracks in Hughestown, Pennsylvania, when something projecting from a passing Erie train (a New York corporation) struck him. Under Pennsylvania decisions he was a trespasser, owed a duty only to avoid willful or wanton injury. He sued in federal court in New York, which applied "general law" instead, and won $30,000.</w:t>
      </w:r>
    </w:p>
    <w:p>
      <w:pPr>
        <w:keepNext/>
        <w:pBdr>
          <w:left w:val="single" w:sz="18" w:space="6" w:color="DC2626"/>
        </w:pBdr>
        <w:shd w:val="clear" w:color="auto" w:fill="E7F8EE"/>
        <w:spacing w:after="30"/>
        <w:ind w:left="173"/>
      </w:pPr>
      <w:r>
        <w:rPr>
          <w:b/>
          <w:color w:val="15803D"/>
        </w:rPr>
        <w:t xml:space="preserve">Held:  </w:t>
      </w:r>
      <w:r>
        <w:t xml:space="preserve">Reversed. Swift is overruled: except where the Constitution or Acts of Congress govern, federal courts must apply state law, statutory </w:t>
      </w:r>
      <w:r>
        <w:rPr>
          <w:b/>
        </w:rPr>
        <w:t>and</w:t>
      </w:r>
      <w:r>
        <w:t xml:space="preserve"> decisional. Pennsylvania law governed Tompkins's claim.</w:t>
      </w:r>
    </w:p>
    <w:p>
      <w:pPr>
        <w:pBdr>
          <w:left w:val="single" w:sz="18" w:space="6" w:color="DC2626"/>
        </w:pBdr>
        <w:shd w:val="clear" w:color="auto" w:fill="FEF6C2"/>
        <w:spacing w:after="80"/>
        <w:ind w:left="173"/>
      </w:pPr>
      <w:r>
        <w:rPr>
          <w:b/>
          <w:color w:val="8A6100"/>
        </w:rPr>
        <w:t xml:space="preserve">Why it matters:  </w:t>
      </w:r>
      <w:r>
        <w:t xml:space="preserve">The foundation of the doctrine. Its grounds: </w:t>
      </w:r>
      <w:r>
        <w:rPr>
          <w:color w:val="B91C1C"/>
          <w:shd w:val="clear" w:color="auto" w:fill="FDE2E2"/>
        </w:rPr>
        <w:t xml:space="preserve">(1) Swift misread the RDA; </w:t>
      </w:r>
      <w:r>
        <w:rPr>
          <w:color w:val="C2410C"/>
          <w:shd w:val="clear" w:color="auto" w:fill="FFE7D1"/>
        </w:rPr>
        <w:t xml:space="preserve">(2) Swift caused forum shopping and unequal administration of the laws; and </w:t>
      </w:r>
      <w:r>
        <w:rPr>
          <w:color w:val="854D0E"/>
          <w:shd w:val="clear" w:color="auto" w:fill="FDF1A8"/>
        </w:rPr>
        <w:t xml:space="preserve">(3) federal courts have no constitutional power to declare substantive common law for the states.</w:t>
      </w:r>
    </w:p>
    <w:p>
      <w:pPr>
        <w:keepNext/>
        <w:pBdr>
          <w:left w:val="single" w:sz="18" w:space="6" w:color="EA580C"/>
        </w:pBdr>
        <w:spacing w:before="100" w:after="20"/>
        <w:ind w:left="173"/>
      </w:pPr>
      <w:r>
        <w:rPr>
          <w:b/>
          <w:color w:val="C2410C"/>
          <w:sz w:val="21"/>
        </w:rPr>
        <w:t>Black &amp; White Taxicab &amp; Transfer Co. v. Brown &amp; Yellow Taxicab &amp; Transfer Co., 276 U.S. 518 (1928)</w:t>
      </w:r>
      <w:r>
        <w:rPr>
          <w:color w:val="C2410C"/>
          <w:sz w:val="15"/>
        </w:rPr>
        <w:t xml:space="preserve">  </w:t>
      </w:r>
      <w:r>
        <w:rPr>
          <w:b/>
          <w:color w:val="FFFFFF"/>
          <w:sz w:val="15"/>
          <w:shd w:val="clear" w:color="auto" w:fill="EA580C"/>
        </w:rPr>
        <w:t xml:space="preserve"> SUPPLEMENTAL READING · WEEK 7 </w:t>
      </w:r>
    </w:p>
    <w:p>
      <w:pPr>
        <w:keepNext/>
        <w:pBdr>
          <w:left w:val="single" w:sz="18" w:space="6" w:color="EA580C"/>
        </w:pBdr>
        <w:shd w:val="clear" w:color="auto" w:fill="EAF2FF"/>
        <w:spacing w:after="30"/>
        <w:ind w:left="173"/>
      </w:pPr>
      <w:r>
        <w:rPr>
          <w:b/>
          <w:color w:val="1D4ED8"/>
        </w:rPr>
        <w:t xml:space="preserve">Facts:  </w:t>
      </w:r>
      <w:r>
        <w:t>A Kentucky cab company had an exclusive contract with a railroad for the Bowling Green, Kentucky station, a type of contract Kentucky courts held void. To get into federal court, its owners dissolved it and reincorporated in Tennessee, re-signed the contract, and sued a rival Kentucky cab company in federal court to enforce it.</w:t>
      </w:r>
    </w:p>
    <w:p>
      <w:pPr>
        <w:keepNext/>
        <w:pBdr>
          <w:left w:val="single" w:sz="18" w:space="6" w:color="EA580C"/>
        </w:pBdr>
        <w:shd w:val="clear" w:color="auto" w:fill="E7F8EE"/>
        <w:spacing w:after="30"/>
        <w:ind w:left="173"/>
      </w:pPr>
      <w:r>
        <w:rPr>
          <w:b/>
          <w:color w:val="15803D"/>
        </w:rPr>
        <w:t xml:space="preserve">Held:  </w:t>
      </w:r>
      <w:r>
        <w:t>Under Swift, the federal court could ignore Kentucky's decisions on this question of general law, and the contract was enforced. Holmes dissented: there is no "transcendental body of law outside of any particular State."</w:t>
      </w:r>
    </w:p>
    <w:p>
      <w:pPr>
        <w:pBdr>
          <w:left w:val="single" w:sz="18" w:space="6" w:color="EA580C"/>
        </w:pBdr>
        <w:shd w:val="clear" w:color="auto" w:fill="FEF6C2"/>
        <w:spacing w:after="80"/>
        <w:ind w:left="173"/>
      </w:pPr>
      <w:r>
        <w:rPr>
          <w:b/>
          <w:color w:val="8A6100"/>
        </w:rPr>
        <w:t xml:space="preserve">Why it matters:  </w:t>
      </w:r>
      <w:r>
        <w:t>The classic example of Swift's abuses (manufactured diversity to escape state law), and Holmes's dissent became Erie's reasoning.</w:t>
      </w:r>
    </w:p>
    <w:p>
      <w:pPr>
        <w:keepNext/>
        <w:pBdr>
          <w:left w:val="single" w:sz="18" w:space="6" w:color="EA580C"/>
        </w:pBdr>
        <w:spacing w:before="100" w:after="20"/>
        <w:ind w:left="173"/>
      </w:pPr>
      <w:r>
        <w:rPr>
          <w:b/>
          <w:color w:val="C2410C"/>
          <w:sz w:val="21"/>
        </w:rPr>
        <w:t>Klaxon Co. v. Stentor Electric Manufacturing Co., 313 U.S. 487 (1941)</w:t>
      </w:r>
      <w:r>
        <w:rPr>
          <w:color w:val="C2410C"/>
          <w:sz w:val="15"/>
        </w:rPr>
        <w:t xml:space="preserve">  </w:t>
      </w:r>
      <w:r>
        <w:rPr>
          <w:b/>
          <w:color w:val="FFFFFF"/>
          <w:sz w:val="15"/>
          <w:shd w:val="clear" w:color="auto" w:fill="EA580C"/>
        </w:rPr>
        <w:t xml:space="preserve"> SUPPLEMENTAL READING · WEEK 7 </w:t>
      </w:r>
    </w:p>
    <w:p>
      <w:pPr>
        <w:keepNext/>
        <w:pBdr>
          <w:left w:val="single" w:sz="18" w:space="6" w:color="EA580C"/>
        </w:pBdr>
        <w:shd w:val="clear" w:color="auto" w:fill="EAF2FF"/>
        <w:spacing w:after="30"/>
        <w:ind w:left="173"/>
      </w:pPr>
      <w:r>
        <w:rPr>
          <w:b/>
          <w:color w:val="1D4ED8"/>
        </w:rPr>
        <w:t xml:space="preserve">Facts:  </w:t>
      </w:r>
      <w:r>
        <w:t>Stentor sued Klaxon in federal court in Delaware (diversity) for breach of a contract made and performed in New York, won $100,000, and sought prejudgment interest under a New York statute. The court of appeals applied New York law based on its own view of the better conflict-of-laws rule.</w:t>
      </w:r>
    </w:p>
    <w:p>
      <w:pPr>
        <w:keepNext/>
        <w:pBdr>
          <w:left w:val="single" w:sz="18" w:space="6" w:color="EA580C"/>
        </w:pBdr>
        <w:shd w:val="clear" w:color="auto" w:fill="E7F8EE"/>
        <w:spacing w:after="30"/>
        <w:ind w:left="173"/>
      </w:pPr>
      <w:r>
        <w:rPr>
          <w:b/>
          <w:color w:val="15803D"/>
        </w:rPr>
        <w:t xml:space="preserve">Held:  </w:t>
      </w:r>
      <w:r>
        <w:t>Reversed. A federal court in diversity must apply the conflict-of-laws rules of the state where it sits, here Delaware's.</w:t>
      </w:r>
    </w:p>
    <w:p>
      <w:pPr>
        <w:pBdr>
          <w:left w:val="single" w:sz="18" w:space="6" w:color="EA580C"/>
        </w:pBdr>
        <w:shd w:val="clear" w:color="auto" w:fill="FEF6C2"/>
        <w:spacing w:after="80"/>
        <w:ind w:left="173"/>
      </w:pPr>
      <w:r>
        <w:rPr>
          <w:b/>
          <w:color w:val="8A6100"/>
        </w:rPr>
        <w:t xml:space="preserve">Why it matters:  </w:t>
      </w:r>
      <w:r>
        <w:t>Otherwise federal and state courts in the same state could pick different governing law, recreating the forum shopping Erie forbids.</w:t>
      </w:r>
    </w:p>
    <w:p>
      <w:pPr>
        <w:keepNext/>
        <w:pBdr>
          <w:left w:val="single" w:sz="18" w:space="6" w:color="EA580C"/>
        </w:pBdr>
        <w:spacing w:before="100" w:after="20"/>
        <w:ind w:left="173"/>
      </w:pPr>
      <w:r>
        <w:rPr>
          <w:b/>
          <w:color w:val="C2410C"/>
          <w:sz w:val="21"/>
        </w:rPr>
        <w:t>United States v. Standard Oil Co. of California, 332 U.S. 301 (1947)</w:t>
      </w:r>
      <w:r>
        <w:rPr>
          <w:color w:val="C2410C"/>
          <w:sz w:val="15"/>
        </w:rPr>
        <w:t xml:space="preserve">  </w:t>
      </w:r>
      <w:r>
        <w:rPr>
          <w:b/>
          <w:color w:val="FFFFFF"/>
          <w:sz w:val="15"/>
          <w:shd w:val="clear" w:color="auto" w:fill="EA580C"/>
        </w:rPr>
        <w:t xml:space="preserve"> SUPPLEMENTAL READING · WEEK 7 </w:t>
      </w:r>
    </w:p>
    <w:p>
      <w:pPr>
        <w:keepNext/>
        <w:pBdr>
          <w:left w:val="single" w:sz="18" w:space="6" w:color="EA580C"/>
        </w:pBdr>
        <w:shd w:val="clear" w:color="auto" w:fill="EAF2FF"/>
        <w:spacing w:after="30"/>
        <w:ind w:left="173"/>
      </w:pPr>
      <w:r>
        <w:rPr>
          <w:b/>
          <w:color w:val="1D4ED8"/>
        </w:rPr>
        <w:t xml:space="preserve">Facts:  </w:t>
      </w:r>
      <w:r>
        <w:t>A Standard Oil truck injured a soldier. The United States paid his hospital bills and his pay while he was disabled, then sued Standard Oil to recover those costs. No statute created such a claim.</w:t>
      </w:r>
    </w:p>
    <w:p>
      <w:pPr>
        <w:keepNext/>
        <w:pBdr>
          <w:left w:val="single" w:sz="18" w:space="6" w:color="EA580C"/>
        </w:pBdr>
        <w:shd w:val="clear" w:color="auto" w:fill="E7F8EE"/>
        <w:spacing w:after="30"/>
        <w:ind w:left="173"/>
      </w:pPr>
      <w:r>
        <w:rPr>
          <w:b/>
          <w:color w:val="15803D"/>
        </w:rPr>
        <w:t xml:space="preserve">Held:  </w:t>
      </w:r>
      <w:r>
        <w:t>Federal law governs the government's relationship with its soldiers, so this is not an Erie question. But the Court declined to create a new federal cause of action, leaving that fiscal-policy choice to Congress.</w:t>
      </w:r>
    </w:p>
    <w:p>
      <w:pPr>
        <w:pBdr>
          <w:left w:val="single" w:sz="18" w:space="6" w:color="EA580C"/>
        </w:pBdr>
        <w:shd w:val="clear" w:color="auto" w:fill="FEF6C2"/>
        <w:spacing w:after="80"/>
        <w:ind w:left="173"/>
      </w:pPr>
      <w:r>
        <w:rPr>
          <w:b/>
          <w:color w:val="8A6100"/>
        </w:rPr>
        <w:t xml:space="preserve">Why it matters:  </w:t>
      </w:r>
      <w:r>
        <w:t>Federal common law survives after Erie in areas of uniquely federal interest, but courts are reluctant to create new liabilities.</w:t>
      </w:r>
    </w:p>
    <w:p>
      <w:pPr>
        <w:pStyle w:val="Heading2"/>
        <w:pBdr>
          <w:bottom w:val="single" w:sz="8" w:space="2" w:color="C55A11"/>
        </w:pBdr>
      </w:pPr>
      <w:bookmarkStart w:id="23" w:name="_Toc900023"/>
      <w:r>
        <w:rPr>
          <w:b w:val="0"/>
        </w:rPr>
        <w:t>18. The Modern Erie Analysis</w:t>
      </w:r>
      <w:bookmarkEnd w:id="23"/>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Step 1: is a federal statute or Federal Rule on point?</w:t>
            </w:r>
            <w:r>
              <w:t xml:space="preserve"> Ask whether it is "sufficiently broad" to answer the question in dispute, read according to its plain meaning, so that it directly collides with the state law (Hanna; Shady Grove). </w:t>
            </w:r>
            <w:r>
              <w:rPr>
                <w:color w:val="B91C1C"/>
                <w:shd w:val="clear" w:color="auto" w:fill="FDE2E2"/>
              </w:rPr>
              <w:t xml:space="preserve">(a) A </w:t>
            </w:r>
            <w:r>
              <w:rPr>
                <w:b/>
                <w:color w:val="B91C1C"/>
                <w:shd w:val="clear" w:color="auto" w:fill="FDE2E2"/>
              </w:rPr>
              <w:t xml:space="preserve">federal statute</w:t>
            </w:r>
            <w:r>
              <w:rPr>
                <w:color w:val="B91C1C"/>
                <w:shd w:val="clear" w:color="auto" w:fill="FDE2E2"/>
              </w:rPr>
              <w:t xml:space="preserve"> on point applies if it is constitutional. </w:t>
            </w:r>
            <w:r>
              <w:rPr>
                <w:color w:val="C2410C"/>
                <w:shd w:val="clear" w:color="auto" w:fill="FFE7D1"/>
              </w:rPr>
              <w:t xml:space="preserve">(b) A </w:t>
            </w:r>
            <w:r>
              <w:rPr>
                <w:b/>
                <w:color w:val="C2410C"/>
                <w:shd w:val="clear" w:color="auto" w:fill="FFE7D1"/>
              </w:rPr>
              <w:t xml:space="preserve">Federal Rule</w:t>
            </w:r>
            <w:r>
              <w:rPr>
                <w:color w:val="C2410C"/>
                <w:shd w:val="clear" w:color="auto" w:fill="FFE7D1"/>
              </w:rPr>
              <w:t xml:space="preserve"> on point applies if it is valid under the </w:t>
            </w:r>
            <w:r>
              <w:rPr>
                <w:b/>
                <w:color w:val="C2410C"/>
                <w:shd w:val="clear" w:color="auto" w:fill="FFE7D1"/>
              </w:rPr>
              <w:t xml:space="preserve">REA</w:t>
            </w:r>
            <w:r>
              <w:rPr>
                <w:color w:val="C2410C"/>
                <w:shd w:val="clear" w:color="auto" w:fill="FFE7D1"/>
              </w:rPr>
              <w:t xml:space="preserve">: it must "really regulate procedure" and may not "abridge, enlarge or modify any substantive right" (Hanna and Shady Grove).</w:t>
            </w:r>
            <w:r>
              <w:t xml:space="preserve"> No Federal Rule has ever been held invalid, and York's outcome test does </w:t>
            </w:r>
            <w:r>
              <w:rPr>
                <w:b/>
              </w:rPr>
              <w:t>not</w:t>
            </w:r>
            <w:r>
              <w:t xml:space="preserve"> apply at this step.</w:t>
            </w:r>
          </w:p>
        </w:tc>
      </w:tr>
    </w:tbl>
    <w:p>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Step 2: if no federal statute or Rule is on point (a judge-made federal practice),</w:t>
            </w:r>
            <w:r>
              <w:t xml:space="preserve"> make the "relatively unguided Erie choice." Apply York's outcome-determinative test in light of Erie's </w:t>
            </w:r>
            <w:r>
              <w:rPr>
                <w:b/>
              </w:rPr>
              <w:t>twin aims</w:t>
            </w:r>
            <w:r>
              <w:t xml:space="preserve">: ask whether applying the federal practice instead of the state rule would </w:t>
            </w:r>
            <w:r>
              <w:rPr>
                <w:color w:val="B91C1C"/>
                <w:shd w:val="clear" w:color="auto" w:fill="FDE2E2"/>
              </w:rPr>
              <w:t xml:space="preserve">(1) </w:t>
            </w:r>
            <w:r>
              <w:rPr>
                <w:b/>
                <w:color w:val="B91C1C"/>
                <w:shd w:val="clear" w:color="auto" w:fill="FDE2E2"/>
              </w:rPr>
              <w:t xml:space="preserve">encourage forum shopping</w:t>
            </w:r>
            <w:r>
              <w:rPr>
                <w:color w:val="B91C1C"/>
                <w:shd w:val="clear" w:color="auto" w:fill="FDE2E2"/>
              </w:rPr>
              <w:t xml:space="preserve"> or </w:t>
            </w:r>
            <w:r>
              <w:rPr>
                <w:color w:val="C2410C"/>
                <w:shd w:val="clear" w:color="auto" w:fill="FFE7D1"/>
              </w:rPr>
              <w:t xml:space="preserve">(2) lead to the </w:t>
            </w:r>
            <w:r>
              <w:rPr>
                <w:b/>
                <w:color w:val="C2410C"/>
                <w:shd w:val="clear" w:color="auto" w:fill="FFE7D1"/>
              </w:rPr>
              <w:t xml:space="preserve">inequitable administration of the laws</w:t>
            </w:r>
            <w:r>
              <w:rPr>
                <w:color w:val="C2410C"/>
                <w:shd w:val="clear" w:color="auto" w:fill="FFE7D1"/>
              </w:rPr>
              <w:t xml:space="preserve">.</w:t>
            </w:r>
            <w:r>
              <w:t xml:space="preserve"> Judge this from the plaintiff's position when choosing a forum (Hanna), and if either would result, apply state law. Then weigh </w:t>
            </w:r>
            <w:r>
              <w:rPr>
                <w:b/>
              </w:rPr>
              <w:t>Byrd</w:t>
            </w:r>
            <w:r>
              <w:t xml:space="preserve">: is the state rule </w:t>
            </w:r>
            <w:r>
              <w:rPr>
                <w:b/>
              </w:rPr>
              <w:t>bound up with state-created rights and obligations</w:t>
            </w:r>
            <w:r>
              <w:t xml:space="preserve">, and are there </w:t>
            </w:r>
            <w:r>
              <w:rPr>
                <w:b/>
              </w:rPr>
              <w:t>countervailing federal interests</w:t>
            </w:r>
            <w:r>
              <w:t>, such as the allocation of functions between judge and jury?</w:t>
            </w:r>
          </w:p>
        </w:tc>
      </w:tr>
    </w:tbl>
    <w:p>
      <w:pPr>
        <w:spacing w:after="0" w:line="100" w:lineRule="exact"/>
      </w:pP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3024"/>
        <w:gridCol w:w="7056"/>
      </w:tblGrid>
      <w:tr>
        <w:trPr>
          <w:cantSplit/>
          <w:tblHeader/>
          <w:jc w:val="center"/>
        </w:trPr>
        <w:tc>
          <w:tcPr>
            <w:tcW w:w="3024"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Category</w:t>
            </w:r>
          </w:p>
        </w:tc>
        <w:tc>
          <w:tcPr>
            <w:tcW w:w="7056"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Examples</w:t>
            </w:r>
          </w:p>
        </w:tc>
      </w:tr>
      <w:tr>
        <w:trPr>
          <w:cantSplit/>
          <w:jc w:val="center"/>
        </w:trPr>
        <w:tc>
          <w:tcPr>
            <w:tcW w:w="3024"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Usually state law (substantive for Erie)</w:t>
            </w:r>
          </w:p>
        </w:tc>
        <w:tc>
          <w:tcPr>
            <w:tcW w:w="7056"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Elements of claims and defenses; statutes of limitations (York); state choice-of-law rules (Klaxon). </w:t>
            </w:r>
            <w:r>
              <w:rPr>
                <w:i/>
                <w:color w:val="64748B"/>
                <w:sz w:val="17"/>
              </w:rPr>
              <w:t>◆ Tolling rules (Walker v. Armco (1980)); burdens of proof; caps on damages; state standards for reviewing excessive verdicts (Gasperini (1996)).</w:t>
            </w:r>
          </w:p>
        </w:tc>
      </w:tr>
      <w:tr>
        <w:trPr>
          <w:cantSplit/>
          <w:jc w:val="center"/>
        </w:trPr>
        <w:tc>
          <w:tcPr>
            <w:tcW w:w="3024"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Usually federal law</w:t>
            </w:r>
          </w:p>
        </w:tc>
        <w:tc>
          <w:tcPr>
            <w:tcW w:w="7056"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Methods of service (Rule 4, Hanna); class actions (Rule 23, Shady Grove); pleading (Rules 8 and 9); the judge-jury allocation (Byrd); the 7th Amendment jury right in federal court. </w:t>
            </w:r>
            <w:r>
              <w:rPr>
                <w:i/>
                <w:color w:val="64748B"/>
                <w:sz w:val="17"/>
              </w:rPr>
              <w:t>◆ Transfer (§ 1404(a)) over a state's hostility to forum-selection clauses (Stewart Organization v. Ricoh (1988)).</w:t>
            </w:r>
          </w:p>
        </w:tc>
      </w:tr>
    </w:tbl>
    <w:p>
      <w:pPr>
        <w:spacing w:after="0" w:line="100" w:lineRule="exact"/>
      </w:pPr>
    </w:p>
    <w:p>
      <w:pPr>
        <w:pStyle w:val="ListBullet"/>
      </w:pPr>
      <w:r>
        <w:rPr>
          <w:b/>
        </w:rPr>
        <w:t>Finding state law:</w:t>
      </w:r>
      <w:r>
        <w:t xml:space="preserve"> follow the state's highest court. If it hasn't ruled, </w:t>
      </w:r>
      <w:r>
        <w:rPr>
          <w:b/>
        </w:rPr>
        <w:t>predict</w:t>
      </w:r>
      <w:r>
        <w:t xml:space="preserve"> how it would rule (intermediate appellate decisions, dicta, other states, treatises) or </w:t>
      </w:r>
      <w:r>
        <w:rPr>
          <w:b/>
        </w:rPr>
        <w:t>certify</w:t>
      </w:r>
      <w:r>
        <w:t xml:space="preserve"> the question to the state court where the state allows it.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 xml:space="preserve">Two classic traps: (1) applying York's outcome-determinative test when a valid Federal Rule is on point (wrong: Hanna's Rules Enabling Act analysis governs); and (2) forgetting that Erie also governs </w:t>
            </w:r>
            <w:r>
              <w:rPr>
                <w:b/>
              </w:rPr>
              <w:t>state-law supplemental claims</w:t>
            </w:r>
            <w:r>
              <w:t xml:space="preserve"> in federal-question cases.</w:t>
            </w:r>
          </w:p>
        </w:tc>
      </w:tr>
    </w:tbl>
    <w:p>
      <w:pPr>
        <w:spacing w:after="0" w:line="100" w:lineRule="exact"/>
      </w:pPr>
    </w:p>
    <w:p>
      <w:pPr>
        <w:pStyle w:val="Heading3"/>
      </w:pPr>
      <w:r>
        <w:rPr>
          <w:b w:val="0"/>
        </w:rPr>
        <w:t>Cases</w:t>
      </w:r>
    </w:p>
    <w:p>
      <w:pPr>
        <w:keepNext/>
        <w:pBdr>
          <w:left w:val="single" w:sz="18" w:space="6" w:color="EA580C"/>
        </w:pBdr>
        <w:spacing w:before="100" w:after="20"/>
        <w:ind w:left="173"/>
      </w:pPr>
      <w:r>
        <w:rPr>
          <w:b/>
          <w:color w:val="C2410C"/>
          <w:sz w:val="21"/>
        </w:rPr>
        <w:t>Guaranty Trust Co. v. York, 326 U.S. 99 (1945)</w:t>
      </w:r>
      <w:r>
        <w:rPr>
          <w:color w:val="C2410C"/>
          <w:sz w:val="15"/>
        </w:rPr>
        <w:t xml:space="preserve">  </w:t>
      </w:r>
      <w:r>
        <w:rPr>
          <w:b/>
          <w:color w:val="FFFFFF"/>
          <w:sz w:val="15"/>
          <w:shd w:val="clear" w:color="auto" w:fill="EA580C"/>
        </w:rPr>
        <w:t xml:space="preserve"> SUPPLEMENTAL READING · WEEK 8 </w:t>
      </w:r>
    </w:p>
    <w:p>
      <w:pPr>
        <w:keepNext/>
        <w:pBdr>
          <w:left w:val="single" w:sz="18" w:space="6" w:color="EA580C"/>
        </w:pBdr>
        <w:shd w:val="clear" w:color="auto" w:fill="EAF2FF"/>
        <w:spacing w:after="30"/>
        <w:ind w:left="173"/>
      </w:pPr>
      <w:r>
        <w:rPr>
          <w:b/>
          <w:color w:val="1D4ED8"/>
        </w:rPr>
        <w:t xml:space="preserve">Facts:  </w:t>
      </w:r>
      <w:r>
        <w:t>Noteholders sued the trustee in federal court (diversity) for breach of trust, seeking equitable relief. New York's statute of limitations barred the claim, but the federal court of appeals treated it as timely under federal equity principles.</w:t>
      </w:r>
    </w:p>
    <w:p>
      <w:pPr>
        <w:keepNext/>
        <w:pBdr>
          <w:left w:val="single" w:sz="18" w:space="6" w:color="EA580C"/>
        </w:pBdr>
        <w:shd w:val="clear" w:color="auto" w:fill="E7F8EE"/>
        <w:spacing w:after="30"/>
        <w:ind w:left="173"/>
      </w:pPr>
      <w:r>
        <w:rPr>
          <w:b/>
          <w:color w:val="15803D"/>
        </w:rPr>
        <w:t xml:space="preserve">Held:  </w:t>
      </w:r>
      <w:r>
        <w:t>The state statute of limitations applies. In diversity cases, the outcome of the litigation in federal court should be substantially the same as it would be in state court.</w:t>
      </w:r>
    </w:p>
    <w:p>
      <w:pPr>
        <w:pBdr>
          <w:left w:val="single" w:sz="18" w:space="6" w:color="EA580C"/>
        </w:pBdr>
        <w:shd w:val="clear" w:color="auto" w:fill="FEF6C2"/>
        <w:spacing w:after="80"/>
        <w:ind w:left="173"/>
      </w:pPr>
      <w:r>
        <w:rPr>
          <w:b/>
          <w:color w:val="8A6100"/>
        </w:rPr>
        <w:t xml:space="preserve">Why it matters:  </w:t>
      </w:r>
      <w:r>
        <w:t xml:space="preserve">The </w:t>
      </w:r>
      <w:r>
        <w:rPr>
          <w:b/>
        </w:rPr>
        <w:t>outcome-determinative test</w:t>
      </w:r>
      <w:r>
        <w:t>. Hanna later limited it to the "unguided" choice and read it through the twin aims.</w:t>
      </w:r>
    </w:p>
    <w:p>
      <w:pPr>
        <w:keepNext/>
        <w:pBdr>
          <w:left w:val="single" w:sz="18" w:space="6" w:color="EA580C"/>
        </w:pBdr>
        <w:spacing w:before="100" w:after="20"/>
        <w:ind w:left="173"/>
      </w:pPr>
      <w:r>
        <w:rPr>
          <w:b/>
          <w:color w:val="C2410C"/>
          <w:sz w:val="21"/>
        </w:rPr>
        <w:t>Byrd v. Blue Ridge Rural Electric Cooperative, Inc., 356 U.S. 525 (1958)</w:t>
      </w:r>
      <w:r>
        <w:rPr>
          <w:color w:val="C2410C"/>
          <w:sz w:val="15"/>
        </w:rPr>
        <w:t xml:space="preserve">  </w:t>
      </w:r>
      <w:r>
        <w:rPr>
          <w:b/>
          <w:color w:val="FFFFFF"/>
          <w:sz w:val="15"/>
          <w:shd w:val="clear" w:color="auto" w:fill="EA580C"/>
        </w:rPr>
        <w:t xml:space="preserve"> SUPPLEMENTAL READING · WEEK 8 </w:t>
      </w:r>
    </w:p>
    <w:p>
      <w:pPr>
        <w:keepNext/>
        <w:pBdr>
          <w:left w:val="single" w:sz="18" w:space="6" w:color="EA580C"/>
        </w:pBdr>
        <w:shd w:val="clear" w:color="auto" w:fill="EAF2FF"/>
        <w:spacing w:after="30"/>
        <w:ind w:left="173"/>
      </w:pPr>
      <w:r>
        <w:rPr>
          <w:b/>
          <w:color w:val="1D4ED8"/>
        </w:rPr>
        <w:t xml:space="preserve">Facts:  </w:t>
      </w:r>
      <w:r>
        <w:t xml:space="preserve">A lineman working for a subcontractor was injured while building power lines for the cooperative, and he sued it in federal court in South Carolina (diversity). The cooperative claimed immunity as his "statutory employer" under workers' compensation law, an issue South Carolina courts let the </w:t>
      </w:r>
      <w:r>
        <w:rPr>
          <w:b/>
        </w:rPr>
        <w:t>judge</w:t>
      </w:r>
      <w:r>
        <w:t xml:space="preserve"> decide.</w:t>
      </w:r>
    </w:p>
    <w:p>
      <w:pPr>
        <w:keepNext/>
        <w:pBdr>
          <w:left w:val="single" w:sz="18" w:space="6" w:color="EA580C"/>
        </w:pBdr>
        <w:shd w:val="clear" w:color="auto" w:fill="E7F8EE"/>
        <w:spacing w:after="30"/>
        <w:ind w:left="173"/>
      </w:pPr>
      <w:r>
        <w:rPr>
          <w:b/>
          <w:color w:val="15803D"/>
        </w:rPr>
        <w:t xml:space="preserve">Held:  </w:t>
      </w:r>
      <w:r>
        <w:t xml:space="preserve">In federal court, the </w:t>
      </w:r>
      <w:r>
        <w:rPr>
          <w:b/>
        </w:rPr>
        <w:t>jury</w:t>
      </w:r>
      <w:r>
        <w:t xml:space="preserve"> decides the disputed fact question. South Carolina's practice was not bound up with the state-created rights, and the strong federal policy favoring jury fact-finding (influenced by the 7th Amendment) outweighed an uncertain effect on the outcome.</w:t>
      </w:r>
    </w:p>
    <w:p>
      <w:pPr>
        <w:pBdr>
          <w:left w:val="single" w:sz="18" w:space="6" w:color="EA580C"/>
        </w:pBdr>
        <w:shd w:val="clear" w:color="auto" w:fill="FEF6C2"/>
        <w:spacing w:after="80"/>
        <w:ind w:left="173"/>
      </w:pPr>
      <w:r>
        <w:rPr>
          <w:b/>
          <w:color w:val="8A6100"/>
        </w:rPr>
        <w:t xml:space="preserve">Why it matters:  </w:t>
      </w:r>
      <w:r>
        <w:t xml:space="preserve">Adds </w:t>
      </w:r>
      <w:r>
        <w:rPr>
          <w:b/>
        </w:rPr>
        <w:t>balancing</w:t>
      </w:r>
      <w:r>
        <w:t xml:space="preserve"> of state and federal interests to the unguided Erie analysis.</w:t>
      </w:r>
    </w:p>
    <w:p>
      <w:pPr>
        <w:keepNext/>
        <w:pBdr>
          <w:left w:val="single" w:sz="18" w:space="6" w:color="DC2626"/>
        </w:pBdr>
        <w:spacing w:before="100" w:after="20"/>
        <w:ind w:left="173"/>
      </w:pPr>
      <w:r>
        <w:rPr>
          <w:b/>
          <w:color w:val="B91C1C"/>
          <w:sz w:val="21"/>
        </w:rPr>
        <w:t>Hanna v. Plumer, 380 U.S. 460 (1965)</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Hanna, an Ohio citizen, sued the Massachusetts executor of a driver's estate in federal court in Massachusetts (diversity) over a South Carolina car accident. Service followed Rule 4 by leaving the papers with the executor's wife at his home. A Massachusetts statute required in-hand service on an executor within one year, and that time had passed, so the claim would be barred under state law.</w:t>
      </w:r>
    </w:p>
    <w:p>
      <w:pPr>
        <w:keepNext/>
        <w:pBdr>
          <w:left w:val="single" w:sz="18" w:space="6" w:color="DC2626"/>
        </w:pBdr>
        <w:shd w:val="clear" w:color="auto" w:fill="E7F8EE"/>
        <w:spacing w:after="30"/>
        <w:ind w:left="173"/>
      </w:pPr>
      <w:r>
        <w:rPr>
          <w:b/>
          <w:color w:val="15803D"/>
        </w:rPr>
        <w:t xml:space="preserve">Held:  </w:t>
      </w:r>
      <w:r>
        <w:rPr>
          <w:b/>
        </w:rPr>
        <w:t>Rule 4 governs</w:t>
      </w:r>
      <w:r>
        <w:t>, and service was valid. When a valid Federal Rule covers the issue, the court applies it; the Rule is valid if it is "rationally capable of classification" as procedural. Erie's outcome test doesn't govern that question. And even under Erie, the difference in service methods wouldn't drive forum shopping or produce inequitable administration of the laws.</w:t>
      </w:r>
    </w:p>
    <w:p>
      <w:pPr>
        <w:pBdr>
          <w:left w:val="single" w:sz="18" w:space="6" w:color="DC2626"/>
        </w:pBdr>
        <w:shd w:val="clear" w:color="auto" w:fill="FEF6C2"/>
        <w:spacing w:after="80"/>
        <w:ind w:left="173"/>
      </w:pPr>
      <w:r>
        <w:rPr>
          <w:b/>
          <w:color w:val="8A6100"/>
        </w:rPr>
        <w:t xml:space="preserve">Why it matters:  </w:t>
      </w:r>
      <w:r>
        <w:rPr>
          <w:b/>
        </w:rPr>
        <w:t>The fork in every Erie analysis:</w:t>
      </w:r>
      <w:r>
        <w:t xml:space="preserve"> a valid Federal Rule on point (Rules Enabling Act analysis) versus no Rule (twin aims and Byrd balancing).</w:t>
      </w:r>
    </w:p>
    <w:p>
      <w:pPr>
        <w:keepNext/>
        <w:pBdr>
          <w:left w:val="single" w:sz="18" w:space="6" w:color="DC2626"/>
        </w:pBdr>
        <w:spacing w:before="100" w:after="20"/>
        <w:ind w:left="173"/>
      </w:pPr>
      <w:r>
        <w:rPr>
          <w:b/>
          <w:color w:val="B91C1C"/>
          <w:sz w:val="21"/>
        </w:rPr>
        <w:t>Shady Grove Orthopedic Associates, P.A. v. Allstate Insurance Co., 559 U.S. 393 (2010)</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Shady Grove, a medical practice, took an assignment of a patient's no-fault insurance benefits. Allstate paid late and refused the roughly $500 in statutory interest New York law imposes on overdue benefits. Shady Grove brought a class action in federal court under CAFA's diversity jurisdiction. New York Civil Practice Law and Rules (CPLR) § 901(b) bars class actions to recover statutory penalties unless the statute imposing them authorizes class recovery.</w:t>
      </w:r>
    </w:p>
    <w:p>
      <w:pPr>
        <w:keepNext/>
        <w:pBdr>
          <w:left w:val="single" w:sz="18" w:space="6" w:color="DC2626"/>
        </w:pBdr>
        <w:shd w:val="clear" w:color="auto" w:fill="E7F8EE"/>
        <w:spacing w:after="30"/>
        <w:ind w:left="173"/>
      </w:pPr>
      <w:r>
        <w:rPr>
          <w:b/>
          <w:color w:val="15803D"/>
        </w:rPr>
        <w:t xml:space="preserve">Held:  </w:t>
      </w:r>
      <w:r>
        <w:rPr>
          <w:b/>
        </w:rPr>
        <w:t>Rule 23 governs</w:t>
      </w:r>
      <w:r>
        <w:t xml:space="preserve"> (5–4), so the class action may proceed. Rule 23 answers the same question as § 901(b), so they directly collide. On validity, Scalia's plurality (4 Justices) asked only whether the Rule really regulates procedure; Stevens's concurrence (the fifth vote) would not apply a Federal Rule that displaces a state procedural rule so intertwined with a state right or remedy that it defines the scope of that right, but found § 901(b) was not such a rule. Ginsburg (4 Justices) dissented, reading Rule 23 narrowly to avoid the conflict.</w:t>
      </w:r>
    </w:p>
    <w:p>
      <w:pPr>
        <w:pBdr>
          <w:left w:val="single" w:sz="18" w:space="6" w:color="DC2626"/>
        </w:pBdr>
        <w:shd w:val="clear" w:color="auto" w:fill="FEF6C2"/>
        <w:spacing w:after="80"/>
        <w:ind w:left="173"/>
      </w:pPr>
      <w:r>
        <w:rPr>
          <w:b/>
          <w:color w:val="8A6100"/>
        </w:rPr>
        <w:t xml:space="preserve">Why it matters:  </w:t>
      </w:r>
      <w:r>
        <w:t>How to decide whether a Rule directly collides with state law (read the Rule's plain meaning), and the two competing versions of the Rules Enabling Act test. Stevens's narrower view is often treated as controlling.</w:t>
      </w:r>
    </w:p>
    <w:p>
      <w:pPr>
        <w:pStyle w:val="Heading1"/>
        <w:shd w:val="clear" w:color="auto" w:fill="1F3864"/>
      </w:pPr>
      <w:bookmarkStart w:id="24" w:name="_Toc900024"/>
      <w:r>
        <w:rPr>
          <w:b w:val="0"/>
        </w:rPr>
        <w:t>PART VII — PLEADING AND RESPONDING</w:t>
      </w:r>
      <w:bookmarkEnd w:id="24"/>
    </w:p>
    <w:p>
      <w:pPr>
        <w:pStyle w:val="Heading2"/>
        <w:pBdr>
          <w:bottom w:val="single" w:sz="8" w:space="2" w:color="C55A11"/>
        </w:pBdr>
      </w:pPr>
      <w:bookmarkStart w:id="25" w:name="_Toc900025"/>
      <w:r>
        <w:rPr>
          <w:b w:val="0"/>
        </w:rPr>
        <w:t>19. The Complaint and the Pleading Standard</w:t>
      </w:r>
      <w:bookmarkEnd w:id="25"/>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Rule 8(a):</w:t>
            </w:r>
            <w:r>
              <w:t xml:space="preserve"> a pleading that states a claim for relief must contain </w:t>
            </w:r>
            <w:r>
              <w:rPr>
                <w:color w:val="B91C1C"/>
                <w:shd w:val="clear" w:color="auto" w:fill="FDE2E2"/>
              </w:rPr>
              <w:t xml:space="preserve">(1) a short and plain statement of the grounds for the court's </w:t>
            </w:r>
            <w:r>
              <w:rPr>
                <w:b/>
                <w:color w:val="B91C1C"/>
                <w:shd w:val="clear" w:color="auto" w:fill="FDE2E2"/>
              </w:rPr>
              <w:t xml:space="preserve">jurisdiction</w:t>
            </w:r>
            <w:r>
              <w:rPr>
                <w:color w:val="B91C1C"/>
                <w:shd w:val="clear" w:color="auto" w:fill="FDE2E2"/>
              </w:rPr>
              <w:t xml:space="preserve">; </w:t>
            </w:r>
            <w:r>
              <w:rPr>
                <w:color w:val="C2410C"/>
                <w:shd w:val="clear" w:color="auto" w:fill="FFE7D1"/>
              </w:rPr>
              <w:t xml:space="preserve">(2) a short and plain statement of the claim </w:t>
            </w:r>
            <w:r>
              <w:rPr>
                <w:b/>
                <w:color w:val="C2410C"/>
                <w:shd w:val="clear" w:color="auto" w:fill="FFE7D1"/>
              </w:rPr>
              <w:t xml:space="preserve">showing that the pleader is entitled to relief</w:t>
            </w:r>
            <w:r>
              <w:rPr>
                <w:color w:val="C2410C"/>
                <w:shd w:val="clear" w:color="auto" w:fill="FFE7D1"/>
              </w:rPr>
              <w:t xml:space="preserve">; and </w:t>
            </w:r>
            <w:r>
              <w:rPr>
                <w:color w:val="854D0E"/>
                <w:shd w:val="clear" w:color="auto" w:fill="FDF1A8"/>
              </w:rPr>
              <w:t xml:space="preserve">(3) a </w:t>
            </w:r>
            <w:r>
              <w:rPr>
                <w:b/>
                <w:color w:val="854D0E"/>
                <w:shd w:val="clear" w:color="auto" w:fill="FDF1A8"/>
              </w:rPr>
              <w:t xml:space="preserve">demand for the relief</w:t>
            </w:r>
            <w:r>
              <w:rPr>
                <w:color w:val="854D0E"/>
                <w:shd w:val="clear" w:color="auto" w:fill="FDF1A8"/>
              </w:rPr>
              <w:t xml:space="preserve"> sought, which may include relief in the alternative or different types of relief.</w:t>
            </w:r>
          </w:p>
        </w:tc>
      </w:tr>
    </w:tbl>
    <w:p>
      <w:pPr>
        <w:spacing w:after="0" w:line="100" w:lineRule="exact"/>
      </w:pPr>
    </w:p>
    <w:p>
      <w:pPr>
        <w:pStyle w:val="ListBullet"/>
      </w:pPr>
      <w:r>
        <w:rPr>
          <w:b/>
        </w:rPr>
        <w:t>Rule 8(d):</w:t>
      </w:r>
      <w:r>
        <w:t xml:space="preserve"> each allegation must be simple, concise, and direct; no technical form is required. A party may plead claims or defenses in the alternative or hypothetically, and as many as it has </w:t>
      </w:r>
      <w:r>
        <w:rPr>
          <w:b/>
        </w:rPr>
        <w:t>regardless of consistency</w:t>
      </w:r>
      <w:r>
        <w:t xml:space="preserve">. </w:t>
      </w:r>
      <w:r>
        <w:rPr>
          <w:b/>
        </w:rPr>
        <w:t>Rule 8(e):</w:t>
      </w:r>
      <w:r>
        <w:t xml:space="preserve"> pleadings must be construed so as to do justice.</w:t>
      </w:r>
    </w:p>
    <w:p>
      <w:pPr>
        <w:pStyle w:val="ListBullet"/>
      </w:pPr>
      <w:r>
        <w:rPr>
          <w:b/>
        </w:rPr>
        <w:t>Rule 10 (form):</w:t>
      </w:r>
      <w:r>
        <w:t xml:space="preserve"> a caption naming the court and parties, numbered paragraphs, and separate counts for claims founded on separate transactions; an exhibit is part of the pleading.</w:t>
      </w:r>
    </w:p>
    <w:p>
      <w:pPr>
        <w:pStyle w:val="Heading3"/>
      </w:pPr>
      <w:r>
        <w:rPr>
          <w:b w:val="0"/>
        </w:rPr>
        <w:t>From notice pleading to plausibility</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218"/>
        <w:gridCol w:w="7862"/>
      </w:tblGrid>
      <w:tr>
        <w:trPr>
          <w:cantSplit/>
          <w:tblHeader/>
          <w:jc w:val="center"/>
        </w:trPr>
        <w:tc>
          <w:tcPr>
            <w:tcW w:w="2218"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Case</w:t>
            </w:r>
          </w:p>
        </w:tc>
        <w:tc>
          <w:tcPr>
            <w:tcW w:w="7862"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Standard</w:t>
            </w:r>
          </w:p>
        </w:tc>
      </w:tr>
      <w:tr>
        <w:trPr>
          <w:cantSplit/>
          <w:jc w:val="center"/>
        </w:trPr>
        <w:tc>
          <w:tcPr>
            <w:tcW w:w="2218"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Conley v. Gibson (1957)</w:t>
            </w:r>
          </w:p>
        </w:tc>
        <w:tc>
          <w:tcPr>
            <w:tcW w:w="7862"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b/>
                <w:sz w:val="17"/>
              </w:rPr>
              <w:t>Notice pleading:</w:t>
            </w:r>
            <w:r>
              <w:rPr>
                <w:sz w:val="17"/>
              </w:rPr>
              <w:t xml:space="preserve"> the complaint must give the defendant </w:t>
            </w:r>
            <w:r>
              <w:rPr>
                <w:b/>
                <w:sz w:val="17"/>
              </w:rPr>
              <w:t>fair notice</w:t>
            </w:r>
            <w:r>
              <w:rPr>
                <w:sz w:val="17"/>
              </w:rPr>
              <w:t xml:space="preserve"> of the claim and the grounds on which it rests. Dismissal only if "it appears beyond doubt that the plaintiff can prove </w:t>
            </w:r>
            <w:r>
              <w:rPr>
                <w:b/>
                <w:sz w:val="17"/>
              </w:rPr>
              <w:t>no set of facts</w:t>
            </w:r>
            <w:r>
              <w:rPr>
                <w:sz w:val="17"/>
              </w:rPr>
              <w:t>" entitling him to relief.</w:t>
            </w:r>
          </w:p>
        </w:tc>
      </w:tr>
      <w:tr>
        <w:trPr>
          <w:cantSplit/>
          <w:jc w:val="center"/>
        </w:trPr>
        <w:tc>
          <w:tcPr>
            <w:tcW w:w="2218"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Bell Atlantic v. Twombly (2007)</w:t>
            </w:r>
          </w:p>
        </w:tc>
        <w:tc>
          <w:tcPr>
            <w:tcW w:w="7862"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b/>
                <w:sz w:val="17"/>
              </w:rPr>
              <w:t>Plausibility:</w:t>
            </w:r>
            <w:r>
              <w:rPr>
                <w:sz w:val="17"/>
              </w:rPr>
              <w:t xml:space="preserve"> "enough facts to state a claim to relief that is plausible on its face," raising the right to relief "above the speculative level." "Labels and conclusions, and a formulaic recitation of the elements" won't do. Conley's "no set of facts" language is retired.</w:t>
            </w:r>
          </w:p>
        </w:tc>
      </w:tr>
      <w:tr>
        <w:trPr>
          <w:cantSplit/>
          <w:jc w:val="center"/>
        </w:trPr>
        <w:tc>
          <w:tcPr>
            <w:tcW w:w="2218"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Ashcroft v. Iqbal (2009)</w:t>
            </w:r>
          </w:p>
        </w:tc>
        <w:tc>
          <w:tcPr>
            <w:tcW w:w="7862"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 xml:space="preserve">Twombly applies to </w:t>
            </w:r>
            <w:r>
              <w:rPr>
                <w:b/>
                <w:sz w:val="17"/>
              </w:rPr>
              <w:t>all civil actions</w:t>
            </w:r>
            <w:r>
              <w:rPr>
                <w:sz w:val="17"/>
              </w:rPr>
              <w:t>, through the two-step approach below.</w:t>
            </w:r>
          </w:p>
        </w:tc>
      </w:tr>
    </w:tbl>
    <w:p>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rPr>
              <w:t>Iqbal's two steps:</w:t>
            </w:r>
            <w:r>
              <w:t xml:space="preserve"> </w:t>
            </w:r>
            <w:r>
              <w:rPr>
                <w:color w:val="B91C1C"/>
                <w:shd w:val="clear" w:color="auto" w:fill="FDE2E2"/>
              </w:rPr>
              <w:t xml:space="preserve">(1) </w:t>
            </w:r>
            <w:r>
              <w:rPr>
                <w:b/>
                <w:color w:val="B91C1C"/>
                <w:shd w:val="clear" w:color="auto" w:fill="FDE2E2"/>
              </w:rPr>
              <w:t xml:space="preserve">identify and set aside</w:t>
            </w:r>
            <w:r>
              <w:rPr>
                <w:color w:val="B91C1C"/>
                <w:shd w:val="clear" w:color="auto" w:fill="FDE2E2"/>
              </w:rPr>
              <w:t xml:space="preserve"> allegations that are </w:t>
            </w:r>
            <w:r>
              <w:rPr>
                <w:b/>
                <w:color w:val="B91C1C"/>
                <w:shd w:val="clear" w:color="auto" w:fill="FDE2E2"/>
              </w:rPr>
              <w:t xml:space="preserve">legal conclusions</w:t>
            </w:r>
            <w:r>
              <w:rPr>
                <w:color w:val="B91C1C"/>
                <w:shd w:val="clear" w:color="auto" w:fill="FDE2E2"/>
              </w:rPr>
              <w:t xml:space="preserve"> or "threadbare recitals of the elements of a cause of action, supported by mere conclusory statements," which aren't entitled to the assumption of truth; then </w:t>
            </w:r>
            <w:r>
              <w:rPr>
                <w:color w:val="C2410C"/>
                <w:shd w:val="clear" w:color="auto" w:fill="FFE7D1"/>
              </w:rPr>
              <w:t xml:space="preserve">(2) </w:t>
            </w:r>
            <w:r>
              <w:rPr>
                <w:b/>
                <w:color w:val="C2410C"/>
                <w:shd w:val="clear" w:color="auto" w:fill="FFE7D1"/>
              </w:rPr>
              <w:t xml:space="preserve">assume the truth of the remaining well-pleaded factual allegations</w:t>
            </w:r>
            <w:r>
              <w:rPr>
                <w:color w:val="C2410C"/>
                <w:shd w:val="clear" w:color="auto" w:fill="FFE7D1"/>
              </w:rPr>
              <w:t xml:space="preserve"> and ask whether they </w:t>
            </w:r>
            <w:r>
              <w:rPr>
                <w:b/>
                <w:color w:val="C2410C"/>
                <w:shd w:val="clear" w:color="auto" w:fill="FFE7D1"/>
              </w:rPr>
              <w:t xml:space="preserve">plausibly</w:t>
            </w:r>
            <w:r>
              <w:rPr>
                <w:color w:val="C2410C"/>
                <w:shd w:val="clear" w:color="auto" w:fill="FFE7D1"/>
              </w:rPr>
              <w:t xml:space="preserve"> suggest an entitlement to relief, "a context-specific task that requires the reviewing court to draw on its judicial experience and common sense."</w:t>
            </w:r>
          </w:p>
        </w:tc>
      </w:tr>
    </w:tbl>
    <w:p>
      <w:pPr>
        <w:spacing w:after="0" w:line="100" w:lineRule="exact"/>
      </w:pPr>
    </w:p>
    <w:p>
      <w:pPr>
        <w:pStyle w:val="ListBullet"/>
      </w:pPr>
      <w:r>
        <w:rPr>
          <w:b/>
        </w:rPr>
        <w:t>Plausible</w:t>
      </w:r>
      <w:r>
        <w:t xml:space="preserve"> means more than a "sheer possibility" but not probable. Facts "merely consistent with" liability fall short, especially where there is an "obvious alternative explanation" (Twombly; Iqbal).</w:t>
      </w:r>
    </w:p>
    <w:p>
      <w:pPr>
        <w:pStyle w:val="ListBullet"/>
      </w:pPr>
      <w:r>
        <w:rPr>
          <w:b/>
        </w:rPr>
        <w:t>Still true after Iqbal:</w:t>
      </w:r>
      <w:r>
        <w:t xml:space="preserve"> factual allegations are taken as true and reasonable inferences drawn for the plaintiff; the court doesn't judge credibility or likelihood of success; the plaintiff need not plead legal theories or evidence.</w:t>
      </w:r>
    </w:p>
    <w:p>
      <w:pPr>
        <w:pStyle w:val="ListBullet"/>
      </w:pPr>
      <w:r>
        <w:rPr>
          <w:b/>
        </w:rPr>
        <w:t>Policy debate:</w:t>
      </w:r>
      <w:r>
        <w:t xml:space="preserve"> plausibility screens out weak claims before costly discovery, but it burdens plaintiffs who lack access to information held by the defendant (intent, agreements), as in civil rights and antitrust cases, and "common sense" invites subjectivity.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To analyze a Rule 12(b)(6) question: (1) state the Twombly/Iqbal standard; (2) list the elements of the claim; (3) sort the complaint's allegations into facts and conclusions, quoting them; (4) for each element, ask whether the facts make it plausible, considering any obvious alternative explanation; and (5) conclude, noting that dismissal is usually with leave to amend under Rule 15(a)(2).</w:t>
            </w:r>
          </w:p>
        </w:tc>
      </w:tr>
    </w:tbl>
    <w:p>
      <w:pPr>
        <w:spacing w:after="0" w:line="100" w:lineRule="exact"/>
      </w:pPr>
    </w:p>
    <w:p>
      <w:pPr>
        <w:pStyle w:val="Heading3"/>
      </w:pPr>
      <w:r>
        <w:rPr>
          <w:b w:val="0"/>
        </w:rPr>
        <w:t>Heightened pleading: Rule 9</w:t>
      </w:r>
    </w:p>
    <w:p>
      <w:pPr>
        <w:pStyle w:val="ListBullet"/>
      </w:pPr>
      <w:r>
        <w:rPr>
          <w:b/>
        </w:rPr>
        <w:t>Rule 9(b):</w:t>
      </w:r>
      <w:r>
        <w:t xml:space="preserve"> fraud or mistake must be stated </w:t>
      </w:r>
      <w:r>
        <w:rPr>
          <w:b/>
        </w:rPr>
        <w:t>with particularity</w:t>
      </w:r>
      <w:r>
        <w:t xml:space="preserve"> (who, what, when, where, how). </w:t>
      </w:r>
      <w:r>
        <w:rPr>
          <w:b/>
        </w:rPr>
        <w:t>Malice, intent, knowledge, and other conditions of mind may be alleged generally</w:t>
      </w:r>
      <w:r>
        <w:t>, but after Iqbal "generally" still means plausibly, not in a conclusory way.</w:t>
      </w:r>
    </w:p>
    <w:p>
      <w:pPr>
        <w:pStyle w:val="ListBullet"/>
      </w:pPr>
      <w:r>
        <w:rPr>
          <w:b/>
        </w:rPr>
        <w:t>Rule 9(c):</w:t>
      </w:r>
      <w:r>
        <w:t xml:space="preserve"> conditions precedent may be alleged generally, but a denial must be made with particularity. </w:t>
      </w:r>
      <w:r>
        <w:rPr>
          <w:b/>
        </w:rPr>
        <w:t>Rule 9(g):</w:t>
      </w:r>
      <w:r>
        <w:t xml:space="preserve"> special damages must be specifically stated.</w:t>
      </w:r>
    </w:p>
    <w:p>
      <w:pPr>
        <w:pStyle w:val="ListBullet"/>
      </w:pPr>
      <w:r>
        <w:rPr>
          <w:i/>
          <w:color w:val="64748B"/>
        </w:rPr>
        <w:t>◆ Only the Rules or a statute (such as the securities-fraud pleading statute) may impose heightened pleading; courts may not create it on their own (Leatherman (1993)).</w:t>
      </w:r>
    </w:p>
    <w:p>
      <w:pPr>
        <w:pStyle w:val="Heading3"/>
      </w:pPr>
      <w:r>
        <w:rPr>
          <w:b w:val="0"/>
        </w:rPr>
        <w:t>Rule 11: certification and sanctions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By </w:t>
            </w:r>
            <w:r>
              <w:rPr>
                <w:b/>
              </w:rPr>
              <w:t>presenting</w:t>
            </w:r>
            <w:r>
              <w:t xml:space="preserve"> a paper to the court (signing, filing, submitting, or </w:t>
            </w:r>
            <w:r>
              <w:rPr>
                <w:b/>
              </w:rPr>
              <w:t>later advocating</w:t>
            </w:r>
            <w:r>
              <w:t xml:space="preserve"> it), an attorney or unrepresented party certifies that, to the best of the person's knowledge, information, and belief, </w:t>
            </w:r>
            <w:r>
              <w:rPr>
                <w:b/>
              </w:rPr>
              <w:t>formed after an inquiry reasonable under the circumstances</w:t>
            </w:r>
            <w:r>
              <w:t xml:space="preserve">: </w:t>
            </w:r>
            <w:r>
              <w:rPr>
                <w:color w:val="B91C1C"/>
                <w:shd w:val="clear" w:color="auto" w:fill="FDE2E2"/>
              </w:rPr>
              <w:t xml:space="preserve">(1) it is not presented for an </w:t>
            </w:r>
            <w:r>
              <w:rPr>
                <w:b/>
                <w:color w:val="B91C1C"/>
                <w:shd w:val="clear" w:color="auto" w:fill="FDE2E2"/>
              </w:rPr>
              <w:t xml:space="preserve">improper purpose</w:t>
            </w:r>
            <w:r>
              <w:rPr>
                <w:color w:val="B91C1C"/>
                <w:shd w:val="clear" w:color="auto" w:fill="FDE2E2"/>
              </w:rPr>
              <w:t xml:space="preserve"> (to harass, cause unnecessary delay, or needlessly increase cost); </w:t>
            </w:r>
            <w:r>
              <w:rPr>
                <w:color w:val="C2410C"/>
                <w:shd w:val="clear" w:color="auto" w:fill="FFE7D1"/>
              </w:rPr>
              <w:t xml:space="preserve">(2) its legal contentions are </w:t>
            </w:r>
            <w:r>
              <w:rPr>
                <w:b/>
                <w:color w:val="C2410C"/>
                <w:shd w:val="clear" w:color="auto" w:fill="FFE7D1"/>
              </w:rPr>
              <w:t xml:space="preserve">warranted by existing law or a nonfrivolous argument</w:t>
            </w:r>
            <w:r>
              <w:rPr>
                <w:color w:val="C2410C"/>
                <w:shd w:val="clear" w:color="auto" w:fill="FFE7D1"/>
              </w:rPr>
              <w:t xml:space="preserve"> for changing the law; </w:t>
            </w:r>
            <w:r>
              <w:rPr>
                <w:color w:val="854D0E"/>
                <w:shd w:val="clear" w:color="auto" w:fill="FDF1A8"/>
              </w:rPr>
              <w:t xml:space="preserve">(3) its factual contentions </w:t>
            </w:r>
            <w:r>
              <w:rPr>
                <w:b/>
                <w:color w:val="854D0E"/>
                <w:shd w:val="clear" w:color="auto" w:fill="FDF1A8"/>
              </w:rPr>
              <w:t xml:space="preserve">have evidentiary support</w:t>
            </w:r>
            <w:r>
              <w:rPr>
                <w:color w:val="854D0E"/>
                <w:shd w:val="clear" w:color="auto" w:fill="FDF1A8"/>
              </w:rPr>
              <w:t xml:space="preserve"> or, if specifically so identified, will likely have it after a reasonable opportunity for investigation or discovery; and </w:t>
            </w:r>
            <w:r>
              <w:rPr>
                <w:color w:val="15803D"/>
                <w:shd w:val="clear" w:color="auto" w:fill="D7F5E1"/>
              </w:rPr>
              <w:t xml:space="preserve">(4) its denials are warranted on the evidence or reasonably based on belief or lack of information.</w:t>
            </w:r>
          </w:p>
        </w:tc>
      </w:tr>
    </w:tbl>
    <w:p>
      <w:pPr>
        <w:spacing w:after="0" w:line="100" w:lineRule="exact"/>
      </w:pPr>
    </w:p>
    <w:p>
      <w:pPr>
        <w:pStyle w:val="ListBullet"/>
      </w:pPr>
      <w:r>
        <w:rPr>
          <w:b/>
        </w:rPr>
        <w:t>Standard:</w:t>
      </w:r>
      <w:r>
        <w:t xml:space="preserve"> objective reasonableness; subjective good faith is no defense.</w:t>
      </w:r>
    </w:p>
    <w:p>
      <w:pPr>
        <w:pStyle w:val="ListBullet"/>
      </w:pPr>
      <w:r>
        <w:rPr>
          <w:b/>
        </w:rPr>
        <w:t>Safe harbor, Rule 11(c)(2):</w:t>
      </w:r>
      <w:r>
        <w:t xml:space="preserve"> a sanctions motion must be made </w:t>
      </w:r>
      <w:r>
        <w:rPr>
          <w:b/>
        </w:rPr>
        <w:t>separately</w:t>
      </w:r>
      <w:r>
        <w:t xml:space="preserve"> and </w:t>
      </w:r>
      <w:r>
        <w:rPr>
          <w:b/>
        </w:rPr>
        <w:t>served 21 days</w:t>
      </w:r>
      <w:r>
        <w:t xml:space="preserve"> before it is filed; if the paper is withdrawn or corrected within that time, the motion may not be filed. The court may also act </w:t>
      </w:r>
      <w:r>
        <w:rPr>
          <w:b/>
        </w:rPr>
        <w:t>on its own</w:t>
      </w:r>
      <w:r>
        <w:t xml:space="preserve"> by an order to show cause (no safe harbor).</w:t>
      </w:r>
    </w:p>
    <w:p>
      <w:pPr>
        <w:pStyle w:val="ListBullet"/>
      </w:pPr>
      <w:r>
        <w:rPr>
          <w:b/>
        </w:rPr>
        <w:t>Sanctions, Rule 11(c)(4)–(5):</w:t>
      </w:r>
      <w:r>
        <w:t xml:space="preserve"> limited to what suffices to </w:t>
      </w:r>
      <w:r>
        <w:rPr>
          <w:b/>
        </w:rPr>
        <w:t>deter repetition</w:t>
      </w:r>
      <w:r>
        <w:t xml:space="preserve">: nonmonetary directives, a penalty paid into court, or (on motion) the movant's reasonable attorney's fees. The law firm is ordinarily held jointly responsible. No monetary sanction against a </w:t>
      </w:r>
      <w:r>
        <w:rPr>
          <w:b/>
        </w:rPr>
        <w:t>represented party</w:t>
      </w:r>
      <w:r>
        <w:t xml:space="preserve"> for frivolous legal contentions, and none on the court's own initiative unless the show-cause order issued before voluntary dismissal or settlement.</w:t>
      </w:r>
    </w:p>
    <w:p>
      <w:pPr>
        <w:pStyle w:val="ListBullet"/>
      </w:pPr>
      <w:r>
        <w:rPr>
          <w:b/>
        </w:rPr>
        <w:t>Rule 11(d):</w:t>
      </w:r>
      <w:r>
        <w:t xml:space="preserve"> Rule 11 doesn't apply to discovery (Rules 26 through 37 govern).</w:t>
      </w:r>
    </w:p>
    <w:p>
      <w:pPr>
        <w:pStyle w:val="Heading3"/>
      </w:pPr>
      <w:r>
        <w:rPr>
          <w:b w:val="0"/>
        </w:rPr>
        <w:t>Cases</w:t>
      </w:r>
    </w:p>
    <w:p>
      <w:pPr>
        <w:keepNext/>
        <w:pBdr>
          <w:left w:val="single" w:sz="18" w:space="6" w:color="DC2626"/>
        </w:pBdr>
        <w:spacing w:before="100" w:after="20"/>
        <w:ind w:left="173"/>
      </w:pPr>
      <w:r>
        <w:rPr>
          <w:b/>
          <w:color w:val="B91C1C"/>
          <w:sz w:val="21"/>
        </w:rPr>
        <w:t>Conley v. Gibson, 355 U.S. 41 (1957)</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Black railroad clerks sued their union, alleging that the railroad abolished 45 jobs held by Black employees (filling them with white workers or rehiring the Black workers with lost seniority) and that the union, their exclusive bargaining agent, refused to protect them because of their race.</w:t>
      </w:r>
    </w:p>
    <w:p>
      <w:pPr>
        <w:keepNext/>
        <w:pBdr>
          <w:left w:val="single" w:sz="18" w:space="6" w:color="DC2626"/>
        </w:pBdr>
        <w:shd w:val="clear" w:color="auto" w:fill="E7F8EE"/>
        <w:spacing w:after="30"/>
        <w:ind w:left="173"/>
      </w:pPr>
      <w:r>
        <w:rPr>
          <w:b/>
          <w:color w:val="15803D"/>
        </w:rPr>
        <w:t xml:space="preserve">Held:  </w:t>
      </w:r>
      <w:r>
        <w:t>The complaint stated a claim. The Rules require only a short and plain statement giving fair notice of the claim and its grounds, and a complaint shouldn't be dismissed unless it appears beyond doubt that the plaintiff can prove no set of facts entitling him to relief.</w:t>
      </w:r>
    </w:p>
    <w:p>
      <w:pPr>
        <w:pBdr>
          <w:left w:val="single" w:sz="18" w:space="6" w:color="DC2626"/>
        </w:pBdr>
        <w:shd w:val="clear" w:color="auto" w:fill="FEF6C2"/>
        <w:spacing w:after="80"/>
        <w:ind w:left="173"/>
      </w:pPr>
      <w:r>
        <w:rPr>
          <w:b/>
          <w:color w:val="8A6100"/>
        </w:rPr>
        <w:t xml:space="preserve">Why it matters:  </w:t>
      </w:r>
      <w:r>
        <w:t>The notice-pleading era. Twombly retired the "no set of facts" language, but the "fair notice" language survives.</w:t>
      </w:r>
    </w:p>
    <w:p>
      <w:pPr>
        <w:keepNext/>
        <w:pBdr>
          <w:left w:val="single" w:sz="18" w:space="6" w:color="DC2626"/>
        </w:pBdr>
        <w:spacing w:before="100" w:after="20"/>
        <w:ind w:left="173"/>
      </w:pPr>
      <w:r>
        <w:rPr>
          <w:b/>
          <w:color w:val="B91C1C"/>
          <w:sz w:val="21"/>
        </w:rPr>
        <w:t>Bell Atlantic Corp. v. Twombly, 550 U.S. 544 (2007)</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A class of telephone and internet subscribers sued the regional phone companies (the "Baby Bells") under § 1 of the Sherman Act, alleging they conspired to keep new competitors out of their markets and to stay out of each other's territories. The complaint relied on </w:t>
      </w:r>
      <w:r>
        <w:rPr>
          <w:b/>
        </w:rPr>
        <w:t>parallel conduct</w:t>
      </w:r>
      <w:r>
        <w:t xml:space="preserve"> and a </w:t>
      </w:r>
      <w:r>
        <w:rPr>
          <w:b/>
        </w:rPr>
        <w:t>conclusory</w:t>
      </w:r>
      <w:r>
        <w:t xml:space="preserve"> allegation that they had entered a "contract, combination or conspiracy."</w:t>
      </w:r>
    </w:p>
    <w:p>
      <w:pPr>
        <w:keepNext/>
        <w:pBdr>
          <w:left w:val="single" w:sz="18" w:space="6" w:color="DC2626"/>
        </w:pBdr>
        <w:shd w:val="clear" w:color="auto" w:fill="E7F8EE"/>
        <w:spacing w:after="30"/>
        <w:ind w:left="173"/>
      </w:pPr>
      <w:r>
        <w:rPr>
          <w:b/>
          <w:color w:val="15803D"/>
        </w:rPr>
        <w:t xml:space="preserve">Held:  </w:t>
      </w:r>
      <w:r>
        <w:t>Dismissed (7–2). Parallel conduct is just as consistent with independent business decisions, and a bare allegation of conspiracy is a legal conclusion; without facts suggesting an actual agreement, the claim wasn't plausible.</w:t>
      </w:r>
    </w:p>
    <w:p>
      <w:pPr>
        <w:pBdr>
          <w:left w:val="single" w:sz="18" w:space="6" w:color="DC2626"/>
        </w:pBdr>
        <w:shd w:val="clear" w:color="auto" w:fill="FEF6C2"/>
        <w:spacing w:after="80"/>
        <w:ind w:left="173"/>
      </w:pPr>
      <w:r>
        <w:rPr>
          <w:b/>
          <w:color w:val="8A6100"/>
        </w:rPr>
        <w:t xml:space="preserve">Why it matters:  </w:t>
      </w:r>
      <w:r>
        <w:t xml:space="preserve">The source of </w:t>
      </w:r>
      <w:r>
        <w:rPr>
          <w:b/>
        </w:rPr>
        <w:t>plausibility</w:t>
      </w:r>
      <w:r>
        <w:t xml:space="preserve"> pleading. The Court was concerned about the enormous cost of antitrust discovery; the dissent warned it abandoned notice pleading.</w:t>
      </w:r>
    </w:p>
    <w:p>
      <w:pPr>
        <w:keepNext/>
        <w:pBdr>
          <w:left w:val="single" w:sz="18" w:space="6" w:color="DC2626"/>
        </w:pBdr>
        <w:spacing w:before="100" w:after="20"/>
        <w:ind w:left="173"/>
      </w:pPr>
      <w:r>
        <w:rPr>
          <w:b/>
          <w:color w:val="B91C1C"/>
          <w:sz w:val="21"/>
        </w:rPr>
        <w:t>Ashcroft v. Iqbal, 556 U.S. 662 (2009)</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Iqbal, a Pakistani Muslim detained after September 11, 2001 under harsh conditions, sued Attorney General Ashcroft and the Director of the Federal Bureau of Investigation (FBI), Robert Mueller, among many officials. He alleged they knowingly and maliciously adopted a policy of subjecting him to harsh conditions solely because of his religion, race, or national origin, calling Ashcroft its "principal architect."</w:t>
      </w:r>
    </w:p>
    <w:p>
      <w:pPr>
        <w:keepNext/>
        <w:pBdr>
          <w:left w:val="single" w:sz="18" w:space="6" w:color="DC2626"/>
        </w:pBdr>
        <w:shd w:val="clear" w:color="auto" w:fill="E7F8EE"/>
        <w:spacing w:after="30"/>
        <w:ind w:left="173"/>
      </w:pPr>
      <w:r>
        <w:rPr>
          <w:b/>
          <w:color w:val="15803D"/>
        </w:rPr>
        <w:t xml:space="preserve">Held:  </w:t>
      </w:r>
      <w:r>
        <w:t>Dismissed (5–4). The allegations of discriminatory intent were conclusory and not entitled to the assumption of truth. The remaining facts (thousands of Arab Muslim men were detained) were more likely explained by a legitimate policy of detaining people with possible links to the attacks, so purposeful discrimination wasn't plausible.</w:t>
      </w:r>
    </w:p>
    <w:p>
      <w:pPr>
        <w:pBdr>
          <w:left w:val="single" w:sz="18" w:space="6" w:color="DC2626"/>
        </w:pBdr>
        <w:shd w:val="clear" w:color="auto" w:fill="FEF6C2"/>
        <w:spacing w:after="80"/>
        <w:ind w:left="173"/>
      </w:pPr>
      <w:r>
        <w:rPr>
          <w:b/>
          <w:color w:val="8A6100"/>
        </w:rPr>
        <w:t xml:space="preserve">Why it matters:  </w:t>
      </w:r>
      <w:r>
        <w:t xml:space="preserve">Extended plausibility to </w:t>
      </w:r>
      <w:r>
        <w:rPr>
          <w:b/>
        </w:rPr>
        <w:t>all civil actions</w:t>
      </w:r>
      <w:r>
        <w:t xml:space="preserve"> and set out the </w:t>
      </w:r>
      <w:r>
        <w:rPr>
          <w:b/>
        </w:rPr>
        <w:t>two-step</w:t>
      </w:r>
      <w:r>
        <w:t xml:space="preserve"> method. Rule 9(b)'s "generally" doesn't permit conclusory allegations of intent.</w:t>
      </w:r>
    </w:p>
    <w:p>
      <w:pPr>
        <w:pStyle w:val="Heading2"/>
        <w:pBdr>
          <w:bottom w:val="single" w:sz="8" w:space="2" w:color="C55A11"/>
        </w:pBdr>
      </w:pPr>
      <w:bookmarkStart w:id="26" w:name="_Toc900026"/>
      <w:r>
        <w:rPr>
          <w:b w:val="0"/>
        </w:rPr>
        <w:t>20. Responding to the Complaint</w:t>
      </w:r>
      <w:bookmarkEnd w:id="26"/>
    </w:p>
    <w:p>
      <w:pPr>
        <w:pStyle w:val="Heading3"/>
      </w:pPr>
      <w:r>
        <w:rPr>
          <w:b w:val="0"/>
        </w:rPr>
        <w:t>Timing</w:t>
      </w:r>
    </w:p>
    <w:p>
      <w:pPr>
        <w:pStyle w:val="ListBullet"/>
      </w:pPr>
      <w:r>
        <w:t xml:space="preserve">Serve an answer or Rule 12 motion </w:t>
      </w:r>
      <w:r>
        <w:rPr>
          <w:b/>
        </w:rPr>
        <w:t>21 days</w:t>
      </w:r>
      <w:r>
        <w:t xml:space="preserve"> after service of the summons and complaint; </w:t>
      </w:r>
      <w:r>
        <w:rPr>
          <w:b/>
        </w:rPr>
        <w:t>60 days</w:t>
      </w:r>
      <w:r>
        <w:t xml:space="preserve"> after the waiver request was sent if service was waived (</w:t>
      </w:r>
      <w:r>
        <w:rPr>
          <w:b/>
        </w:rPr>
        <w:t>90</w:t>
      </w:r>
      <w:r>
        <w:t xml:space="preserve"> if the defendant was outside the United States); the United States and its agencies and officers get </w:t>
      </w:r>
      <w:r>
        <w:rPr>
          <w:b/>
        </w:rPr>
        <w:t>60 days</w:t>
      </w:r>
      <w:r>
        <w:t xml:space="preserve"> (Rule 12(a)). After removal, see Rule 81(c) (Topic 12).</w:t>
      </w:r>
    </w:p>
    <w:p>
      <w:pPr>
        <w:pStyle w:val="ListBullet"/>
      </w:pPr>
      <w:r>
        <w:t xml:space="preserve">A Rule 12 motion </w:t>
      </w:r>
      <w:r>
        <w:rPr>
          <w:b/>
        </w:rPr>
        <w:t>suspends</w:t>
      </w:r>
      <w:r>
        <w:t xml:space="preserve"> the time to answer; the answer is then due </w:t>
      </w:r>
      <w:r>
        <w:rPr>
          <w:b/>
        </w:rPr>
        <w:t>14 days</w:t>
      </w:r>
      <w:r>
        <w:t xml:space="preserve"> after the court denies the motion or postpones ruling on it (Rule 12(a)(4)).</w:t>
      </w:r>
    </w:p>
    <w:p>
      <w:pPr>
        <w:pStyle w:val="Heading3"/>
      </w:pPr>
      <w:r>
        <w:rPr>
          <w:b w:val="0"/>
        </w:rPr>
        <w:t>Rule 12(b) defenses and waiver</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008"/>
        <w:gridCol w:w="3629"/>
        <w:gridCol w:w="5443"/>
      </w:tblGrid>
      <w:tr>
        <w:trPr>
          <w:cantSplit/>
          <w:tblHeader/>
          <w:jc w:val="center"/>
        </w:trPr>
        <w:tc>
          <w:tcPr>
            <w:tcW w:w="1008"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Rule</w:t>
            </w:r>
          </w:p>
        </w:tc>
        <w:tc>
          <w:tcPr>
            <w:tcW w:w="3629"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Defense</w:t>
            </w:r>
          </w:p>
        </w:tc>
        <w:tc>
          <w:tcPr>
            <w:tcW w:w="5443" w:type="dxa"/>
            <w:tcBorders>
              <w:top w:val="single" w:sz="4" w:space="0" w:color="BFC9D9"/>
              <w:left w:val="single" w:sz="4" w:space="0" w:color="BFC9D9"/>
              <w:bottom w:val="single" w:sz="4" w:space="0" w:color="BFC9D9"/>
              <w:right w:val="single" w:sz="4" w:space="0" w:color="BFC9D9"/>
            </w:tcBorders>
            <w:shd w:val="clear" w:color="auto" w:fill="1F3864"/>
          </w:tcPr>
          <w:p>
            <w:pPr>
              <w:spacing w:after="0" w:line="240" w:lineRule="auto"/>
            </w:pPr>
            <w:r>
              <w:rPr>
                <w:b/>
                <w:color w:val="FFFFFF"/>
                <w:sz w:val="17"/>
              </w:rPr>
              <w:t>When it is waived</w:t>
            </w:r>
          </w:p>
        </w:tc>
      </w:tr>
      <w:tr>
        <w:trPr>
          <w:cantSplit/>
          <w:jc w:val="center"/>
        </w:trPr>
        <w:tc>
          <w:tcPr>
            <w:tcW w:w="1008"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12(b)(1)</w:t>
            </w:r>
          </w:p>
        </w:tc>
        <w:tc>
          <w:tcPr>
            <w:tcW w:w="3629"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Lack of </w:t>
            </w:r>
            <w:r>
              <w:rPr>
                <w:b/>
                <w:sz w:val="17"/>
              </w:rPr>
              <w:t>subject-matter</w:t>
            </w:r>
            <w:r>
              <w:rPr>
                <w:sz w:val="17"/>
              </w:rPr>
              <w:t xml:space="preserve"> jurisdiction</w:t>
            </w:r>
          </w:p>
        </w:tc>
        <w:tc>
          <w:tcPr>
            <w:tcW w:w="5443"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b/>
                <w:sz w:val="17"/>
              </w:rPr>
              <w:t>Never.</w:t>
            </w:r>
            <w:r>
              <w:rPr>
                <w:sz w:val="17"/>
              </w:rPr>
              <w:t xml:space="preserve"> It may be raised at any time, even on appeal (Rule 12(h)(3)).</w:t>
            </w:r>
          </w:p>
        </w:tc>
      </w:tr>
      <w:tr>
        <w:trPr>
          <w:cantSplit/>
          <w:jc w:val="center"/>
        </w:trPr>
        <w:tc>
          <w:tcPr>
            <w:tcW w:w="1008" w:type="dxa"/>
            <w:tcBorders>
              <w:top w:val="single" w:sz="4" w:space="0" w:color="BFC9D9"/>
              <w:left w:val="single" w:sz="24" w:space="0" w:color="F97316"/>
              <w:bottom w:val="single" w:sz="4" w:space="0" w:color="BFC9D9"/>
              <w:right w:val="single" w:sz="4" w:space="0" w:color="BFC9D9"/>
            </w:tcBorders>
            <w:shd w:val="clear" w:color="auto" w:fill="FFF1E3"/>
          </w:tcPr>
          <w:p>
            <w:pPr>
              <w:spacing w:after="0" w:line="240" w:lineRule="auto"/>
            </w:pPr>
            <w:r>
              <w:rPr>
                <w:b/>
                <w:sz w:val="17"/>
              </w:rPr>
              <w:t>12(b)(2)</w:t>
            </w:r>
          </w:p>
        </w:tc>
        <w:tc>
          <w:tcPr>
            <w:tcW w:w="3629"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 xml:space="preserve">Lack of </w:t>
            </w:r>
            <w:r>
              <w:rPr>
                <w:b/>
                <w:sz w:val="17"/>
              </w:rPr>
              <w:t>personal</w:t>
            </w:r>
            <w:r>
              <w:rPr>
                <w:sz w:val="17"/>
              </w:rPr>
              <w:t xml:space="preserve"> jurisdiction</w:t>
            </w:r>
          </w:p>
        </w:tc>
        <w:tc>
          <w:tcPr>
            <w:tcW w:w="5443" w:type="dxa"/>
            <w:tcBorders>
              <w:top w:val="single" w:sz="4" w:space="0" w:color="BFC9D9"/>
              <w:left w:val="single" w:sz="4" w:space="0" w:color="BFC9D9"/>
              <w:bottom w:val="single" w:sz="4" w:space="0" w:color="BFC9D9"/>
              <w:right w:val="single" w:sz="4" w:space="0" w:color="BFC9D9"/>
            </w:tcBorders>
            <w:shd w:val="clear" w:color="auto" w:fill="FFF1E3"/>
          </w:tcPr>
          <w:p>
            <w:pPr>
              <w:spacing w:after="0" w:line="240" w:lineRule="auto"/>
            </w:pPr>
            <w:r>
              <w:rPr>
                <w:sz w:val="17"/>
              </w:rPr>
              <w:t>Waived if (A) left out of a pre-answer Rule 12 motion that raised other Rule 12 defenses (Rule 12(g)(2)), or (B) neither raised by motion nor included in the answer or an amendment allowed as a matter of course (Rule 12(h)(1)).</w:t>
            </w:r>
          </w:p>
        </w:tc>
      </w:tr>
      <w:tr>
        <w:trPr>
          <w:cantSplit/>
          <w:jc w:val="center"/>
        </w:trPr>
        <w:tc>
          <w:tcPr>
            <w:tcW w:w="1008" w:type="dxa"/>
            <w:tcBorders>
              <w:top w:val="single" w:sz="4" w:space="0" w:color="BFC9D9"/>
              <w:left w:val="single" w:sz="24" w:space="0" w:color="EAB308"/>
              <w:bottom w:val="single" w:sz="4" w:space="0" w:color="BFC9D9"/>
              <w:right w:val="single" w:sz="4" w:space="0" w:color="BFC9D9"/>
            </w:tcBorders>
            <w:shd w:val="clear" w:color="auto" w:fill="FEF8D2"/>
          </w:tcPr>
          <w:p>
            <w:pPr>
              <w:spacing w:after="0" w:line="240" w:lineRule="auto"/>
            </w:pPr>
            <w:r>
              <w:rPr>
                <w:b/>
                <w:sz w:val="17"/>
              </w:rPr>
              <w:t>12(b)(3)</w:t>
            </w:r>
          </w:p>
        </w:tc>
        <w:tc>
          <w:tcPr>
            <w:tcW w:w="3629"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 xml:space="preserve">Improper </w:t>
            </w:r>
            <w:r>
              <w:rPr>
                <w:b/>
                <w:sz w:val="17"/>
              </w:rPr>
              <w:t>venue</w:t>
            </w:r>
          </w:p>
        </w:tc>
        <w:tc>
          <w:tcPr>
            <w:tcW w:w="5443" w:type="dxa"/>
            <w:tcBorders>
              <w:top w:val="single" w:sz="4" w:space="0" w:color="BFC9D9"/>
              <w:left w:val="single" w:sz="4" w:space="0" w:color="BFC9D9"/>
              <w:bottom w:val="single" w:sz="4" w:space="0" w:color="BFC9D9"/>
              <w:right w:val="single" w:sz="4" w:space="0" w:color="BFC9D9"/>
            </w:tcBorders>
            <w:shd w:val="clear" w:color="auto" w:fill="FEF8D2"/>
          </w:tcPr>
          <w:p>
            <w:pPr>
              <w:spacing w:after="0" w:line="240" w:lineRule="auto"/>
            </w:pPr>
            <w:r>
              <w:rPr>
                <w:sz w:val="17"/>
              </w:rPr>
              <w:t>Same as 12(b)(2).</w:t>
            </w:r>
          </w:p>
        </w:tc>
      </w:tr>
      <w:tr>
        <w:trPr>
          <w:cantSplit/>
          <w:jc w:val="center"/>
        </w:trPr>
        <w:tc>
          <w:tcPr>
            <w:tcW w:w="1008" w:type="dxa"/>
            <w:tcBorders>
              <w:top w:val="single" w:sz="4" w:space="0" w:color="BFC9D9"/>
              <w:left w:val="single" w:sz="24" w:space="0" w:color="22C55E"/>
              <w:bottom w:val="single" w:sz="4" w:space="0" w:color="BFC9D9"/>
              <w:right w:val="single" w:sz="4" w:space="0" w:color="BFC9D9"/>
            </w:tcBorders>
            <w:shd w:val="clear" w:color="auto" w:fill="E8F8EE"/>
          </w:tcPr>
          <w:p>
            <w:pPr>
              <w:spacing w:after="0" w:line="240" w:lineRule="auto"/>
            </w:pPr>
            <w:r>
              <w:rPr>
                <w:b/>
                <w:sz w:val="17"/>
              </w:rPr>
              <w:t>12(b)(4)</w:t>
            </w:r>
          </w:p>
        </w:tc>
        <w:tc>
          <w:tcPr>
            <w:tcW w:w="3629"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sz w:val="17"/>
              </w:rPr>
              <w:t xml:space="preserve">Insufficient </w:t>
            </w:r>
            <w:r>
              <w:rPr>
                <w:b/>
                <w:sz w:val="17"/>
              </w:rPr>
              <w:t>process</w:t>
            </w:r>
            <w:r>
              <w:rPr>
                <w:sz w:val="17"/>
              </w:rPr>
              <w:t xml:space="preserve"> (a defect in the summons)</w:t>
            </w:r>
          </w:p>
        </w:tc>
        <w:tc>
          <w:tcPr>
            <w:tcW w:w="5443" w:type="dxa"/>
            <w:tcBorders>
              <w:top w:val="single" w:sz="4" w:space="0" w:color="BFC9D9"/>
              <w:left w:val="single" w:sz="4" w:space="0" w:color="BFC9D9"/>
              <w:bottom w:val="single" w:sz="4" w:space="0" w:color="BFC9D9"/>
              <w:right w:val="single" w:sz="4" w:space="0" w:color="BFC9D9"/>
            </w:tcBorders>
            <w:shd w:val="clear" w:color="auto" w:fill="E8F8EE"/>
          </w:tcPr>
          <w:p>
            <w:pPr>
              <w:spacing w:after="0" w:line="240" w:lineRule="auto"/>
            </w:pPr>
            <w:r>
              <w:rPr>
                <w:sz w:val="17"/>
              </w:rPr>
              <w:t>Same as 12(b)(2).</w:t>
            </w:r>
          </w:p>
        </w:tc>
      </w:tr>
      <w:tr>
        <w:trPr>
          <w:cantSplit/>
          <w:jc w:val="center"/>
        </w:trPr>
        <w:tc>
          <w:tcPr>
            <w:tcW w:w="1008" w:type="dxa"/>
            <w:tcBorders>
              <w:top w:val="single" w:sz="4" w:space="0" w:color="BFC9D9"/>
              <w:left w:val="single" w:sz="24" w:space="0" w:color="3B82F6"/>
              <w:bottom w:val="single" w:sz="4" w:space="0" w:color="BFC9D9"/>
              <w:right w:val="single" w:sz="4" w:space="0" w:color="BFC9D9"/>
            </w:tcBorders>
            <w:shd w:val="clear" w:color="auto" w:fill="E8F0FE"/>
          </w:tcPr>
          <w:p>
            <w:pPr>
              <w:spacing w:after="0" w:line="240" w:lineRule="auto"/>
            </w:pPr>
            <w:r>
              <w:rPr>
                <w:b/>
                <w:sz w:val="17"/>
              </w:rPr>
              <w:t>12(b)(5)</w:t>
            </w:r>
          </w:p>
        </w:tc>
        <w:tc>
          <w:tcPr>
            <w:tcW w:w="3629"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sz w:val="17"/>
              </w:rPr>
              <w:t xml:space="preserve">Insufficient </w:t>
            </w:r>
            <w:r>
              <w:rPr>
                <w:b/>
                <w:sz w:val="17"/>
              </w:rPr>
              <w:t>service</w:t>
            </w:r>
            <w:r>
              <w:rPr>
                <w:sz w:val="17"/>
              </w:rPr>
              <w:t xml:space="preserve"> of process</w:t>
            </w:r>
          </w:p>
        </w:tc>
        <w:tc>
          <w:tcPr>
            <w:tcW w:w="5443" w:type="dxa"/>
            <w:tcBorders>
              <w:top w:val="single" w:sz="4" w:space="0" w:color="BFC9D9"/>
              <w:left w:val="single" w:sz="4" w:space="0" w:color="BFC9D9"/>
              <w:bottom w:val="single" w:sz="4" w:space="0" w:color="BFC9D9"/>
              <w:right w:val="single" w:sz="4" w:space="0" w:color="BFC9D9"/>
            </w:tcBorders>
            <w:shd w:val="clear" w:color="auto" w:fill="E8F0FE"/>
          </w:tcPr>
          <w:p>
            <w:pPr>
              <w:spacing w:after="0" w:line="240" w:lineRule="auto"/>
            </w:pPr>
            <w:r>
              <w:rPr>
                <w:sz w:val="17"/>
              </w:rPr>
              <w:t>Same as 12(b)(2).</w:t>
            </w:r>
          </w:p>
        </w:tc>
      </w:tr>
      <w:tr>
        <w:trPr>
          <w:cantSplit/>
          <w:jc w:val="center"/>
        </w:trPr>
        <w:tc>
          <w:tcPr>
            <w:tcW w:w="1008" w:type="dxa"/>
            <w:tcBorders>
              <w:top w:val="single" w:sz="4" w:space="0" w:color="BFC9D9"/>
              <w:left w:val="single" w:sz="24" w:space="0" w:color="A855F7"/>
              <w:bottom w:val="single" w:sz="4" w:space="0" w:color="BFC9D9"/>
              <w:right w:val="single" w:sz="4" w:space="0" w:color="BFC9D9"/>
            </w:tcBorders>
            <w:shd w:val="clear" w:color="auto" w:fill="F4ECFF"/>
          </w:tcPr>
          <w:p>
            <w:pPr>
              <w:spacing w:after="0" w:line="240" w:lineRule="auto"/>
            </w:pPr>
            <w:r>
              <w:rPr>
                <w:b/>
                <w:sz w:val="17"/>
              </w:rPr>
              <w:t>12(b)(6)</w:t>
            </w:r>
          </w:p>
        </w:tc>
        <w:tc>
          <w:tcPr>
            <w:tcW w:w="3629" w:type="dxa"/>
            <w:tcBorders>
              <w:top w:val="single" w:sz="4" w:space="0" w:color="BFC9D9"/>
              <w:left w:val="single" w:sz="4" w:space="0" w:color="BFC9D9"/>
              <w:bottom w:val="single" w:sz="4" w:space="0" w:color="BFC9D9"/>
              <w:right w:val="single" w:sz="4" w:space="0" w:color="BFC9D9"/>
            </w:tcBorders>
            <w:shd w:val="clear" w:color="auto" w:fill="F4ECFF"/>
          </w:tcPr>
          <w:p>
            <w:pPr>
              <w:spacing w:after="0" w:line="240" w:lineRule="auto"/>
            </w:pPr>
            <w:r>
              <w:rPr>
                <w:b/>
                <w:sz w:val="17"/>
              </w:rPr>
              <w:t>Failure to state a claim</w:t>
            </w:r>
            <w:r>
              <w:rPr>
                <w:sz w:val="17"/>
              </w:rPr>
              <w:t xml:space="preserve"> upon which relief can be granted</w:t>
            </w:r>
          </w:p>
        </w:tc>
        <w:tc>
          <w:tcPr>
            <w:tcW w:w="5443" w:type="dxa"/>
            <w:tcBorders>
              <w:top w:val="single" w:sz="4" w:space="0" w:color="BFC9D9"/>
              <w:left w:val="single" w:sz="4" w:space="0" w:color="BFC9D9"/>
              <w:bottom w:val="single" w:sz="4" w:space="0" w:color="BFC9D9"/>
              <w:right w:val="single" w:sz="4" w:space="0" w:color="BFC9D9"/>
            </w:tcBorders>
            <w:shd w:val="clear" w:color="auto" w:fill="F4ECFF"/>
          </w:tcPr>
          <w:p>
            <w:pPr>
              <w:spacing w:after="0" w:line="240" w:lineRule="auto"/>
            </w:pPr>
            <w:r>
              <w:rPr>
                <w:b/>
                <w:sz w:val="17"/>
              </w:rPr>
              <w:t>Preserved through trial:</w:t>
            </w:r>
            <w:r>
              <w:rPr>
                <w:sz w:val="17"/>
              </w:rPr>
              <w:t xml:space="preserve"> may be raised in any pleading, by a Rule 12(c) motion for judgment on the pleadings, or at trial (Rule 12(h)(2)), but not in a second pre-answer motion.</w:t>
            </w:r>
          </w:p>
        </w:tc>
      </w:tr>
      <w:tr>
        <w:trPr>
          <w:cantSplit/>
          <w:jc w:val="center"/>
        </w:trPr>
        <w:tc>
          <w:tcPr>
            <w:tcW w:w="1008" w:type="dxa"/>
            <w:tcBorders>
              <w:top w:val="single" w:sz="4" w:space="0" w:color="BFC9D9"/>
              <w:left w:val="single" w:sz="24" w:space="0" w:color="EF4444"/>
              <w:bottom w:val="single" w:sz="4" w:space="0" w:color="BFC9D9"/>
              <w:right w:val="single" w:sz="4" w:space="0" w:color="BFC9D9"/>
            </w:tcBorders>
            <w:shd w:val="clear" w:color="auto" w:fill="FDEDED"/>
          </w:tcPr>
          <w:p>
            <w:pPr>
              <w:spacing w:after="0" w:line="240" w:lineRule="auto"/>
            </w:pPr>
            <w:r>
              <w:rPr>
                <w:b/>
                <w:sz w:val="17"/>
              </w:rPr>
              <w:t>12(b)(7)</w:t>
            </w:r>
          </w:p>
        </w:tc>
        <w:tc>
          <w:tcPr>
            <w:tcW w:w="3629"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 xml:space="preserve">Failure to join a party under </w:t>
            </w:r>
            <w:r>
              <w:rPr>
                <w:b/>
                <w:sz w:val="17"/>
              </w:rPr>
              <w:t>Rule 19</w:t>
            </w:r>
          </w:p>
        </w:tc>
        <w:tc>
          <w:tcPr>
            <w:tcW w:w="5443" w:type="dxa"/>
            <w:tcBorders>
              <w:top w:val="single" w:sz="4" w:space="0" w:color="BFC9D9"/>
              <w:left w:val="single" w:sz="4" w:space="0" w:color="BFC9D9"/>
              <w:bottom w:val="single" w:sz="4" w:space="0" w:color="BFC9D9"/>
              <w:right w:val="single" w:sz="4" w:space="0" w:color="BFC9D9"/>
            </w:tcBorders>
            <w:shd w:val="clear" w:color="auto" w:fill="FDEDED"/>
          </w:tcPr>
          <w:p>
            <w:pPr>
              <w:spacing w:after="0" w:line="240" w:lineRule="auto"/>
            </w:pPr>
            <w:r>
              <w:rPr>
                <w:sz w:val="17"/>
              </w:rPr>
              <w:t>Same as 12(b)(6).</w:t>
            </w:r>
          </w:p>
        </w:tc>
      </w:tr>
    </w:tbl>
    <w:p>
      <w:pPr>
        <w:spacing w:after="0" w:line="100" w:lineRule="exact"/>
      </w:pPr>
    </w:p>
    <w:p>
      <w:pPr>
        <w:pStyle w:val="ListBullet"/>
      </w:pPr>
      <w:r>
        <w:rPr>
          <w:b/>
        </w:rPr>
        <w:t>Rule 12(b) motions</w:t>
      </w:r>
      <w:r>
        <w:t xml:space="preserve"> must be made </w:t>
      </w:r>
      <w:r>
        <w:rPr>
          <w:b/>
        </w:rPr>
        <w:t>before</w:t>
      </w:r>
      <w:r>
        <w:t xml:space="preserve"> a responsive pleading. No defense is waived by joining it with others in one motion or pleading.</w:t>
      </w:r>
    </w:p>
    <w:p>
      <w:pPr>
        <w:pStyle w:val="ListBullet"/>
      </w:pPr>
      <w:r>
        <w:rPr>
          <w:b/>
        </w:rPr>
        <w:t>Rule 12(c):</w:t>
      </w:r>
      <w:r>
        <w:t xml:space="preserve"> judgment on the pleadings after the pleadings close. </w:t>
      </w:r>
      <w:r>
        <w:rPr>
          <w:b/>
        </w:rPr>
        <w:t>Rule 12(d):</w:t>
      </w:r>
      <w:r>
        <w:t xml:space="preserve"> if matters outside the pleadings are presented on a 12(b)(6) or 12(c) motion and not excluded, the motion </w:t>
      </w:r>
      <w:r>
        <w:rPr>
          <w:b/>
        </w:rPr>
        <w:t>must be treated as one for summary judgment</w:t>
      </w:r>
      <w:r>
        <w:t>, with a reasonable opportunity for all parties to present material.</w:t>
      </w:r>
    </w:p>
    <w:p>
      <w:pPr>
        <w:pStyle w:val="ListBullet"/>
      </w:pPr>
      <w:r>
        <w:rPr>
          <w:b/>
        </w:rPr>
        <w:t>Rule 12(e):</w:t>
      </w:r>
      <w:r>
        <w:t xml:space="preserve"> a </w:t>
      </w:r>
      <w:r>
        <w:rPr>
          <w:b/>
        </w:rPr>
        <w:t>more definite statement</w:t>
      </w:r>
      <w:r>
        <w:t xml:space="preserve"> where a pleading is "so vague or ambiguous that the party cannot reasonably prepare a response," moved for before responding. </w:t>
      </w:r>
      <w:r>
        <w:rPr>
          <w:b/>
        </w:rPr>
        <w:t>Rule 12(f):</w:t>
      </w:r>
      <w:r>
        <w:t xml:space="preserve"> strike redundant, immaterial, impertinent, or scandalous matter or an insufficient defense.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t xml:space="preserve">Classic question: the defendant files a Rule 12(b)(6) motion, loses, then answers and raises lack of PJ. PJ is </w:t>
            </w:r>
            <w:r>
              <w:rPr>
                <w:b/>
              </w:rPr>
              <w:t>waived</w:t>
            </w:r>
            <w:r>
              <w:t xml:space="preserve"> because it was left out of the first Rule 12 motion. The defendant may still argue failure to state a claim at trial, and anyone may raise SMJ at any time.</w:t>
            </w:r>
          </w:p>
        </w:tc>
      </w:tr>
    </w:tbl>
    <w:p>
      <w:pPr>
        <w:spacing w:after="0" w:line="100" w:lineRule="exact"/>
      </w:pPr>
    </w:p>
    <w:p>
      <w:pPr>
        <w:pStyle w:val="Heading3"/>
      </w:pPr>
      <w:r>
        <w:rPr>
          <w:b w:val="0"/>
        </w:rPr>
        <w:t>The answer: Rule 8(b)</w:t>
      </w:r>
    </w:p>
    <w:p>
      <w:pPr>
        <w:pStyle w:val="ListBullet"/>
      </w:pPr>
      <w:r>
        <w:rPr>
          <w:b/>
        </w:rPr>
        <w:t>Rule 8(b)(1)–(2):</w:t>
      </w:r>
      <w:r>
        <w:t xml:space="preserve"> state defenses in short and plain terms and </w:t>
      </w:r>
      <w:r>
        <w:rPr>
          <w:b/>
        </w:rPr>
        <w:t>admit or deny</w:t>
      </w:r>
      <w:r>
        <w:t xml:space="preserve"> each allegation; a denial must </w:t>
      </w:r>
      <w:r>
        <w:rPr>
          <w:b/>
        </w:rPr>
        <w:t>fairly respond to the substance</w:t>
      </w:r>
      <w:r>
        <w:t xml:space="preserve"> of the allegation.</w:t>
      </w:r>
    </w:p>
    <w:p>
      <w:pPr>
        <w:pStyle w:val="ListBullet"/>
      </w:pPr>
      <w:r>
        <w:rPr>
          <w:b/>
        </w:rPr>
        <w:t>Rule 8(b)(3):</w:t>
      </w:r>
      <w:r>
        <w:t xml:space="preserve"> a </w:t>
      </w:r>
      <w:r>
        <w:rPr>
          <w:b/>
        </w:rPr>
        <w:t>general denial</w:t>
      </w:r>
      <w:r>
        <w:t xml:space="preserve"> is allowed only if the party in good faith intends to deny </w:t>
      </w:r>
      <w:r>
        <w:rPr>
          <w:b/>
        </w:rPr>
        <w:t>every</w:t>
      </w:r>
      <w:r>
        <w:t xml:space="preserve"> allegation, including jurisdiction; otherwise deny specific paragraphs or deny all except those specifically admitted.</w:t>
      </w:r>
    </w:p>
    <w:p>
      <w:pPr>
        <w:pStyle w:val="ListBullet"/>
      </w:pPr>
      <w:r>
        <w:rPr>
          <w:b/>
        </w:rPr>
        <w:t>Rule 8(b)(4):</w:t>
      </w:r>
      <w:r>
        <w:t xml:space="preserve"> a party that intends in good faith to deny </w:t>
      </w:r>
      <w:r>
        <w:rPr>
          <w:b/>
        </w:rPr>
        <w:t>only part</w:t>
      </w:r>
      <w:r>
        <w:t xml:space="preserve"> of an allegation </w:t>
      </w:r>
      <w:r>
        <w:rPr>
          <w:b/>
        </w:rPr>
        <w:t>must admit the part that is true</w:t>
      </w:r>
      <w:r>
        <w:t xml:space="preserve"> and deny the rest.</w:t>
      </w:r>
    </w:p>
    <w:p>
      <w:pPr>
        <w:pStyle w:val="ListBullet"/>
      </w:pPr>
      <w:r>
        <w:rPr>
          <w:b/>
        </w:rPr>
        <w:t>Rule 8(b)(5):</w:t>
      </w:r>
      <w:r>
        <w:t xml:space="preserve"> stating a lack of knowledge or information sufficient to form a belief about an allegation's truth </w:t>
      </w:r>
      <w:r>
        <w:rPr>
          <w:b/>
        </w:rPr>
        <w:t>has the effect of a denial</w:t>
      </w:r>
      <w:r>
        <w:t xml:space="preserve">. </w:t>
      </w:r>
      <w:r>
        <w:rPr>
          <w:i/>
          <w:color w:val="64748B"/>
        </w:rPr>
        <w:t>◆ Courts reject it where the information is within the party's own knowledge or control.</w:t>
      </w:r>
    </w:p>
    <w:p>
      <w:pPr>
        <w:pStyle w:val="ListBullet"/>
      </w:pPr>
      <w:r>
        <w:rPr>
          <w:b/>
        </w:rPr>
        <w:t>Rule 8(b)(6):</w:t>
      </w:r>
      <w:r>
        <w:t xml:space="preserve"> an allegation (other than one about the </w:t>
      </w:r>
      <w:r>
        <w:rPr>
          <w:b/>
        </w:rPr>
        <w:t>amount of damages</w:t>
      </w:r>
      <w:r>
        <w:t xml:space="preserve">) is </w:t>
      </w:r>
      <w:r>
        <w:rPr>
          <w:b/>
        </w:rPr>
        <w:t>admitted</w:t>
      </w:r>
      <w:r>
        <w:t xml:space="preserve"> if a responsive pleading is required and it isn't denied.</w:t>
      </w:r>
    </w:p>
    <w:p>
      <w:pPr>
        <w:pStyle w:val="ListBullet"/>
      </w:pPr>
      <w:r>
        <w:rPr>
          <w:b/>
        </w:rPr>
        <w:t>Rule 7(a)</w:t>
      </w:r>
      <w:r>
        <w:t xml:space="preserve"> allows only these pleadings: a complaint; an answer to a complaint; an answer to a counterclaim; an answer to a crossclaim; a third-party complaint; an answer to a third-party complaint; and a reply to an answer </w:t>
      </w:r>
      <w:r>
        <w:rPr>
          <w:b/>
        </w:rPr>
        <w:t>only if the court orders one</w:t>
      </w:r>
      <w:r>
        <w:t>.</w:t>
      </w:r>
    </w:p>
    <w:p>
      <w:pPr>
        <w:pStyle w:val="Heading3"/>
      </w:pPr>
      <w:r>
        <w:rPr>
          <w:b w:val="0"/>
        </w:rPr>
        <w:t>Affirmative defenses: Rule 8(c)</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t xml:space="preserve">A party must </w:t>
            </w:r>
            <w:r>
              <w:rPr>
                <w:b/>
              </w:rPr>
              <w:t>affirmatively state</w:t>
            </w:r>
            <w:r>
              <w:t xml:space="preserve"> in its responsive pleading any avoidance or affirmative defense, including accord and satisfaction, arbitration and award, assumption of risk, contributory negligence, duress, estoppel, failure of consideration, fraud, illegality, injury by fellow servant, laches, license, payment, release, res judicata, statute of frauds, statute of limitations, and waiver.</w:t>
            </w:r>
          </w:p>
        </w:tc>
      </w:tr>
    </w:tbl>
    <w:p>
      <w:pPr>
        <w:spacing w:after="0" w:line="100" w:lineRule="exact"/>
      </w:pPr>
    </w:p>
    <w:p>
      <w:pPr>
        <w:pStyle w:val="ListBullet"/>
      </w:pPr>
      <w:r>
        <w:t xml:space="preserve">An affirmative defense is an independent reason the defendant should win even if the plaintiff's allegations are true; the defendant usually bears the burden of proving it. </w:t>
      </w:r>
      <w:r>
        <w:rPr>
          <w:i/>
          <w:color w:val="64748B"/>
        </w:rPr>
        <w:t>◆ A defense not pleaded is generally waived, subject to amendment under Rule 15.</w:t>
      </w:r>
    </w:p>
    <w:p>
      <w:pPr>
        <w:pStyle w:val="Heading3"/>
      </w:pPr>
      <w:r>
        <w:rPr>
          <w:b w:val="0"/>
        </w:rPr>
        <w:t>Default and default judgment: Rule 55</w:t>
      </w:r>
    </w:p>
    <w:p>
      <w:pPr>
        <w:pBdr>
          <w:left w:val="single" w:sz="24" w:space="4" w:color="EF4444"/>
        </w:pBdr>
        <w:shd w:val="clear" w:color="auto" w:fill="FDE2E2"/>
        <w:ind w:left="360" w:hanging="288"/>
      </w:pPr>
      <w:r>
        <w:rPr>
          <w:b/>
          <w:color w:val="B91C1C"/>
        </w:rPr>
        <w:t xml:space="preserve">1.  </w:t>
      </w:r>
      <w:r>
        <w:rPr>
          <w:b/>
        </w:rPr>
        <w:t>Entry of default, Rule 55(a):</w:t>
      </w:r>
      <w:r>
        <w:t xml:space="preserve"> the </w:t>
      </w:r>
      <w:r>
        <w:rPr>
          <w:b/>
        </w:rPr>
        <w:t>clerk must enter</w:t>
      </w:r>
      <w:r>
        <w:t xml:space="preserve"> a party's default when it has failed to plead or otherwise defend and that failure is shown by affidavit or otherwise.</w:t>
      </w:r>
    </w:p>
    <w:p>
      <w:pPr>
        <w:pBdr>
          <w:left w:val="single" w:sz="24" w:space="4" w:color="F97316"/>
        </w:pBdr>
        <w:shd w:val="clear" w:color="auto" w:fill="FFE7D1"/>
        <w:ind w:left="360" w:hanging="288"/>
      </w:pPr>
      <w:r>
        <w:rPr>
          <w:b/>
          <w:color w:val="C2410C"/>
        </w:rPr>
        <w:t xml:space="preserve">2.  </w:t>
      </w:r>
      <w:r>
        <w:rPr>
          <w:b/>
        </w:rPr>
        <w:t>Default judgment by the clerk, Rule 55(b)(1):</w:t>
      </w:r>
      <w:r>
        <w:t xml:space="preserve"> for a </w:t>
      </w:r>
      <w:r>
        <w:rPr>
          <w:b/>
        </w:rPr>
        <w:t>sum certain</w:t>
      </w:r>
      <w:r>
        <w:t xml:space="preserve"> (or one that can be made certain by computation), on the plaintiff's request with an affidavit of the amount, against a defendant who </w:t>
      </w:r>
      <w:r>
        <w:rPr>
          <w:b/>
        </w:rPr>
        <w:t>has not appeared</w:t>
      </w:r>
      <w:r>
        <w:t xml:space="preserve"> and is neither a minor nor an incompetent person.</w:t>
      </w:r>
    </w:p>
    <w:p>
      <w:pPr>
        <w:pBdr>
          <w:left w:val="single" w:sz="24" w:space="4" w:color="EAB308"/>
        </w:pBdr>
        <w:shd w:val="clear" w:color="auto" w:fill="FDF1A8"/>
        <w:ind w:left="360" w:hanging="288"/>
      </w:pPr>
      <w:r>
        <w:rPr>
          <w:b/>
          <w:color w:val="854D0E"/>
        </w:rPr>
        <w:t xml:space="preserve">3.  </w:t>
      </w:r>
      <w:r>
        <w:rPr>
          <w:b/>
        </w:rPr>
        <w:t>Default judgment by the court, Rule 55(b)(2):</w:t>
      </w:r>
      <w:r>
        <w:t xml:space="preserve"> in all other cases. A party that </w:t>
      </w:r>
      <w:r>
        <w:rPr>
          <w:b/>
        </w:rPr>
        <w:t>has appeared</w:t>
      </w:r>
      <w:r>
        <w:t xml:space="preserve"> must receive written notice at least </w:t>
      </w:r>
      <w:r>
        <w:rPr>
          <w:b/>
        </w:rPr>
        <w:t>7 days</w:t>
      </w:r>
      <w:r>
        <w:t xml:space="preserve"> before the hearing. The court </w:t>
      </w:r>
      <w:r>
        <w:rPr>
          <w:b/>
        </w:rPr>
        <w:t>may</w:t>
      </w:r>
      <w:r>
        <w:t xml:space="preserve"> hold hearings to determine damages or establish the truth of an allegation.</w:t>
      </w:r>
    </w:p>
    <w:p>
      <w:pPr>
        <w:pBdr>
          <w:left w:val="single" w:sz="24" w:space="4" w:color="22C55E"/>
        </w:pBdr>
        <w:shd w:val="clear" w:color="auto" w:fill="D7F5E1"/>
        <w:ind w:left="360" w:hanging="288"/>
      </w:pPr>
      <w:r>
        <w:rPr>
          <w:b/>
          <w:color w:val="15803D"/>
        </w:rPr>
        <w:t xml:space="preserve">4.  </w:t>
      </w:r>
      <w:r>
        <w:rPr>
          <w:b/>
        </w:rPr>
        <w:t>Setting aside, Rule 55(c):</w:t>
      </w:r>
      <w:r>
        <w:t xml:space="preserve"> the court may set aside an </w:t>
      </w:r>
      <w:r>
        <w:rPr>
          <w:b/>
        </w:rPr>
        <w:t>entry of default</w:t>
      </w:r>
      <w:r>
        <w:t xml:space="preserve"> for </w:t>
      </w:r>
      <w:r>
        <w:rPr>
          <w:b/>
        </w:rPr>
        <w:t>good cause</w:t>
      </w:r>
      <w:r>
        <w:t xml:space="preserve"> and a </w:t>
      </w:r>
      <w:r>
        <w:rPr>
          <w:b/>
        </w:rPr>
        <w:t>default judgment</w:t>
      </w:r>
      <w:r>
        <w:t xml:space="preserve"> under Rule 60(b).</w:t>
      </w:r>
    </w:p>
    <w:p>
      <w:pPr>
        <w:pStyle w:val="ListBullet"/>
      </w:pPr>
      <w:r>
        <w:t xml:space="preserve">Default admits the well-pleaded factual allegations, but the court must still confirm the complaint states a claim (Virgin Records). Defaults are disfavored, and courts prefer decisions on the merits. </w:t>
      </w:r>
      <w:r>
        <w:rPr>
          <w:i/>
          <w:color w:val="64748B"/>
        </w:rPr>
        <w:t>◆ A default judgment must not differ in kind from, or exceed in amount, what the pleadings demand (Rule 54(c)).</w:t>
      </w:r>
    </w:p>
    <w:p>
      <w:pPr>
        <w:pStyle w:val="Heading3"/>
      </w:pPr>
      <w:r>
        <w:rPr>
          <w:b w:val="0"/>
        </w:rPr>
        <w:t>Cases</w:t>
      </w:r>
    </w:p>
    <w:p>
      <w:pPr>
        <w:keepNext/>
        <w:pBdr>
          <w:left w:val="single" w:sz="18" w:space="6" w:color="DC2626"/>
        </w:pBdr>
        <w:spacing w:before="100" w:after="20"/>
        <w:ind w:left="173"/>
      </w:pPr>
      <w:r>
        <w:rPr>
          <w:b/>
          <w:color w:val="B91C1C"/>
          <w:sz w:val="21"/>
        </w:rPr>
        <w:t>Zielinski v. Philadelphia Piers, Inc., 139 F. Supp. 408 (E.D. Pa. 1956)</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Zielinski was hurt on a pier when a forklift driven by Johnson struck him. His complaint alleged the forklift was "owned, operated and controlled" by Philadelphia Piers and its agents. Philadelphia Piers did own the forklift, but it had transferred its operations to Carload Contractors, which employed Johnson. Its answer </w:t>
      </w:r>
      <w:r>
        <w:rPr>
          <w:b/>
        </w:rPr>
        <w:t>generally denied</w:t>
      </w:r>
      <w:r>
        <w:t xml:space="preserve"> the whole paragraph, its witnesses' pretrial testimony let Zielinski keep believing Johnson was its employee, and the same insurer covered both companies. By the time the truth emerged, the statute of limitations had run against Carload.</w:t>
      </w:r>
    </w:p>
    <w:p>
      <w:pPr>
        <w:keepNext/>
        <w:pBdr>
          <w:left w:val="single" w:sz="18" w:space="6" w:color="DC2626"/>
        </w:pBdr>
        <w:shd w:val="clear" w:color="auto" w:fill="E7F8EE"/>
        <w:spacing w:after="30"/>
        <w:ind w:left="173"/>
      </w:pPr>
      <w:r>
        <w:rPr>
          <w:b/>
          <w:color w:val="15803D"/>
        </w:rPr>
        <w:t xml:space="preserve">Held:  </w:t>
      </w:r>
      <w:r>
        <w:t xml:space="preserve">The general denial of a partly true paragraph was ineffective. Philadelphia Piers was treated as having admitted that Johnson was its agent acting within the scope of his employment, and it was </w:t>
      </w:r>
      <w:r>
        <w:rPr>
          <w:b/>
        </w:rPr>
        <w:t>equitably estopped</w:t>
      </w:r>
      <w:r>
        <w:t xml:space="preserve"> from denying agency at trial.</w:t>
      </w:r>
    </w:p>
    <w:p>
      <w:pPr>
        <w:pBdr>
          <w:left w:val="single" w:sz="18" w:space="6" w:color="DC2626"/>
        </w:pBdr>
        <w:shd w:val="clear" w:color="auto" w:fill="FEF6C2"/>
        <w:spacing w:after="80"/>
        <w:ind w:left="173"/>
      </w:pPr>
      <w:r>
        <w:rPr>
          <w:b/>
          <w:color w:val="8A6100"/>
        </w:rPr>
        <w:t xml:space="preserve">Why it matters:  </w:t>
      </w:r>
      <w:r>
        <w:t>Deny with specificity: admit what is true and deny only the rest (Rule 8(b)(4)). A misleading denial can be treated as an admission.</w:t>
      </w:r>
    </w:p>
    <w:p>
      <w:pPr>
        <w:keepNext/>
        <w:pBdr>
          <w:left w:val="single" w:sz="18" w:space="6" w:color="EA580C"/>
        </w:pBdr>
        <w:spacing w:before="100" w:after="20"/>
        <w:ind w:left="173"/>
      </w:pPr>
      <w:r>
        <w:rPr>
          <w:b/>
          <w:color w:val="C2410C"/>
          <w:sz w:val="21"/>
        </w:rPr>
        <w:t>Virgin Records America, Inc. v. Lacey, 510 F. Supp. 2d 588 (S.D. Ala. 2007)</w:t>
      </w:r>
      <w:r>
        <w:rPr>
          <w:color w:val="C2410C"/>
          <w:sz w:val="15"/>
        </w:rPr>
        <w:t xml:space="preserve">  </w:t>
      </w:r>
      <w:r>
        <w:rPr>
          <w:b/>
          <w:color w:val="FFFFFF"/>
          <w:sz w:val="15"/>
          <w:shd w:val="clear" w:color="auto" w:fill="EA580C"/>
        </w:rPr>
        <w:t xml:space="preserve"> SUPPLEMENTAL READING · WEEK 9 </w:t>
      </w:r>
    </w:p>
    <w:p>
      <w:pPr>
        <w:keepNext/>
        <w:pBdr>
          <w:left w:val="single" w:sz="18" w:space="6" w:color="EA580C"/>
        </w:pBdr>
        <w:shd w:val="clear" w:color="auto" w:fill="EAF2FF"/>
        <w:spacing w:after="30"/>
        <w:ind w:left="173"/>
      </w:pPr>
      <w:r>
        <w:rPr>
          <w:b/>
          <w:color w:val="1D4ED8"/>
        </w:rPr>
        <w:t xml:space="preserve">Facts:  </w:t>
      </w:r>
      <w:r>
        <w:t>Record companies sued Bertha Lacey for copyright infringement, alleging she downloaded and distributed eight identified songs online. She was served by leaving the papers with her son at her home (Rule 4(e)(2)(B)), never answered, and the clerk entered her default. The plaintiffs moved for a default judgment seeking only the statutory minimum damages.</w:t>
      </w:r>
    </w:p>
    <w:p>
      <w:pPr>
        <w:keepNext/>
        <w:pBdr>
          <w:left w:val="single" w:sz="18" w:space="6" w:color="EA580C"/>
        </w:pBdr>
        <w:shd w:val="clear" w:color="auto" w:fill="E7F8EE"/>
        <w:spacing w:after="30"/>
        <w:ind w:left="173"/>
      </w:pPr>
      <w:r>
        <w:rPr>
          <w:b/>
          <w:color w:val="15803D"/>
        </w:rPr>
        <w:t xml:space="preserve">Held:  </w:t>
      </w:r>
      <w:r>
        <w:t>Default judgment granted under Rule 55(b)(2): $6,000 in statutory damages ($750 for each of the eight works), a permanent injunction, and costs. No evidentiary hearing was needed because the minimum statutory damages were fixed by law.</w:t>
      </w:r>
    </w:p>
    <w:p>
      <w:pPr>
        <w:pBdr>
          <w:left w:val="single" w:sz="18" w:space="6" w:color="EA580C"/>
        </w:pBdr>
        <w:shd w:val="clear" w:color="auto" w:fill="FEF6C2"/>
        <w:spacing w:after="80"/>
        <w:ind w:left="173"/>
      </w:pPr>
      <w:r>
        <w:rPr>
          <w:b/>
          <w:color w:val="8A6100"/>
        </w:rPr>
        <w:t xml:space="preserve">Why it matters:  </w:t>
      </w:r>
      <w:r>
        <w:t>Default admits the well-pleaded facts, but the court must still find that the complaint states a claim, and it holds a damages hearing only when needed.</w:t>
      </w:r>
    </w:p>
    <w:sectPr w:rsidR="00B844AC" w:rsidSect="00034616">
      <w:headerReference w:type="default" r:id="rId8"/>
      <w:footerReference w:type="default" r:id="rId9"/>
      <w:pgSz w:w="12240" w:h="15840"/>
      <w:pgMar w:top="1008" w:right="1080" w:bottom="936"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16D4" w14:textId="77777777" w:rsidR="00F62A06" w:rsidRDefault="00F62A06">
      <w:pPr>
        <w:spacing w:after="0" w:line="240" w:lineRule="auto"/>
      </w:pPr>
      <w:r>
        <w:separator/>
      </w:r>
    </w:p>
  </w:endnote>
  <w:endnote w:type="continuationSeparator" w:id="0">
    <w:p w14:paraId="548B1001" w14:textId="77777777" w:rsidR="00F62A06" w:rsidRDefault="00F62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654E" w14:textId="77777777" w:rsidR="00B844AC" w:rsidRDefault="00F62A06">
    <w:pPr>
      <w:pStyle w:val="Footer"/>
      <w:jc w:val="center"/>
    </w:pPr>
    <w:r>
      <w:rPr>
        <w:color w:val="595959"/>
        <w:sz w:val="17"/>
      </w:rPr>
      <w:fldChar w:fldCharType="begin"/>
    </w:r>
    <w:r>
      <w:rPr>
        <w:color w:val="595959"/>
        <w:sz w:val="17"/>
      </w:rPr>
      <w:instrText>PAGE</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6833" w14:textId="77777777" w:rsidR="00F62A06" w:rsidRDefault="00F62A06">
      <w:pPr>
        <w:spacing w:after="0" w:line="240" w:lineRule="auto"/>
      </w:pPr>
      <w:r>
        <w:separator/>
      </w:r>
    </w:p>
  </w:footnote>
  <w:footnote w:type="continuationSeparator" w:id="0">
    <w:p w14:paraId="1F107A26" w14:textId="77777777" w:rsidR="00F62A06" w:rsidRDefault="00F62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F9E1" w14:textId="77777777" w:rsidR="00B844AC" w:rsidRDefault="00F62A06">
    <w:pPr>
      <w:pStyle w:val="Header"/>
      <w:pBdr>
        <w:bottom w:val="single" w:sz="4" w:space="2" w:color="BFC9D9"/>
      </w:pBdr>
      <w:jc w:val="right"/>
    </w:pPr>
    <w:r>
      <w:rPr>
        <w:i/>
        <w:color w:val="595959"/>
        <w:sz w:val="16"/>
      </w:rPr>
      <w:t>Civil Procedure — Condensed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557058">
    <w:abstractNumId w:val="8"/>
  </w:num>
  <w:num w:numId="2" w16cid:durableId="437607293">
    <w:abstractNumId w:val="6"/>
  </w:num>
  <w:num w:numId="3" w16cid:durableId="905921200">
    <w:abstractNumId w:val="5"/>
  </w:num>
  <w:num w:numId="4" w16cid:durableId="477764164">
    <w:abstractNumId w:val="4"/>
  </w:num>
  <w:num w:numId="5" w16cid:durableId="1163618920">
    <w:abstractNumId w:val="7"/>
  </w:num>
  <w:num w:numId="6" w16cid:durableId="1561015886">
    <w:abstractNumId w:val="3"/>
  </w:num>
  <w:num w:numId="7" w16cid:durableId="627711265">
    <w:abstractNumId w:val="2"/>
  </w:num>
  <w:num w:numId="8" w16cid:durableId="2051416566">
    <w:abstractNumId w:val="1"/>
  </w:num>
  <w:num w:numId="9" w16cid:durableId="7355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88"/>
    <w:rsid w:val="0015074B"/>
    <w:rsid w:val="0029639D"/>
    <w:rsid w:val="00326F90"/>
    <w:rsid w:val="00827FED"/>
    <w:rsid w:val="00AA1D8D"/>
    <w:rsid w:val="00B47730"/>
    <w:rsid w:val="00B844AC"/>
    <w:rsid w:val="00CB0664"/>
    <w:rsid w:val="00F62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C94C4"/>
  <w14:defaultImageDpi w14:val="300"/>
  <w15:docId w15:val="{437C0AE7-FA68-4240-94C1-80A21118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after="160"/>
      <w:outlineLvl w:val="0"/>
    </w:pPr>
    <w:rPr>
      <w:rFonts w:ascii="Georgia" w:eastAsia="Georgia" w:hAnsi="Georgia" w:cs="Georgia"/>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Georgia" w:eastAsia="Georgia" w:hAnsi="Georgia" w:cs="Georgia"/>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Calibri"/>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1888"/>
    <w:pPr>
      <w:spacing w:after="100"/>
    </w:pPr>
  </w:style>
  <w:style w:type="paragraph" w:styleId="TOC2">
    <w:name w:val="toc 2"/>
    <w:basedOn w:val="Normal"/>
    <w:next w:val="Normal"/>
    <w:autoRedefine/>
    <w:uiPriority w:val="39"/>
    <w:unhideWhenUsed/>
    <w:rsid w:val="000B1888"/>
    <w:pPr>
      <w:spacing w:after="100"/>
      <w:ind w:left="200"/>
    </w:pPr>
  </w:style>
  <w:style w:type="character" w:styleId="Hyperlink">
    <w:name w:val="Hyperlink"/>
    <w:basedOn w:val="DefaultParagraphFont"/>
    <w:uiPriority w:val="99"/>
    <w:unhideWhenUsed/>
    <w:rsid w:val="000B18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15901</Words>
  <Characters>90640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Procedure — Condensed Outline</dc:title>
  <dc:subject/>
  <dc:creator>python-docx</dc:creator>
  <cp:keywords/>
  <dc:description>generated by python-docx</dc:description>
  <cp:lastModifiedBy>Steven Wynn</cp:lastModifiedBy>
  <cp:revision>2</cp:revision>
  <dcterms:created xsi:type="dcterms:W3CDTF">2013-12-23T23:15:00Z</dcterms:created>
  <dcterms:modified xsi:type="dcterms:W3CDTF">2026-10-18T15:41:00Z</dcterms:modified>
  <cp:category/>
</cp:coreProperties>
</file>