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c>
          <w:tcPr>
            <w:tcW w:type="dxa" w:w="10512"/>
            <w:shd w:val="clear" w:color="auto" w:fill="1F3A5F"/>
            <w:tcMar>
              <w:top w:w="180" w:type="dxa"/>
              <w:bottom w:w="160" w:type="dxa"/>
              <w:left w:w="240" w:type="dxa"/>
              <w:right w:w="240" w:type="dxa"/>
            </w:tcMar>
          </w:tcPr>
          <w:p>
            <w:pPr>
              <w:spacing w:after="80"/>
            </w:pPr>
            <w:r>
              <w:rPr>
                <w:b/>
                <w:i w:val="0"/>
                <w:color w:val="FFFFFF"/>
                <w:sz w:val="44"/>
              </w:rPr>
              <w:t>Sales &amp; Leases — Week 10 Study Outline</w:t>
            </w:r>
          </w:p>
          <w:p>
            <w:pPr>
              <w:spacing w:after="20"/>
            </w:pPr>
            <w:r>
              <w:rPr>
                <w:b/>
                <w:i w:val="0"/>
                <w:color w:val="D6E4F5"/>
                <w:sz w:val="22"/>
              </w:rPr>
              <w:t xml:space="preserve">Condensed Outline · Weeks 1–8 · Sepinuck Chs. 1–6 · Uniform Commercial Code (UCC) Articles 1 &amp; 2</w:t>
            </w:r>
          </w:p>
          <w:p>
            <w:pPr>
              <w:spacing w:after="20"/>
            </w:pPr>
            <w:r>
              <w:rPr>
                <w:b w:val="0"/>
                <w:i w:val="0"/>
                <w:color w:val="B8CCE4"/>
                <w:sz w:val="19"/>
              </w:rPr>
              <w:t>Prof. Richardson · Week 10 Assessment: 30 minutes · closed book · multiple choice · 15% of grade</w:t>
            </w:r>
          </w:p>
        </w:tc>
      </w:tr>
    </w:tbl>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c>
          <w:tcPr>
            <w:tcW w:type="dxa" w:w="10512"/>
            <w:shd w:val="clear" w:color="auto" w:fill="C9A227"/>
            <w:tcMar>
              <w:top w:w="0" w:type="dxa"/>
              <w:bottom w:w="0" w:type="dxa"/>
              <w:left w:w="0" w:type="dxa"/>
              <w:right w:w="0" w:type="dxa"/>
            </w:tcMar>
          </w:tcPr>
          <w:p>
            <w:pPr>
              <w:spacing w:line="60" w:lineRule="exact" w:after="0"/>
            </w:pPr>
          </w:p>
        </w:tc>
      </w:tr>
    </w:tbl>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F3F3F3"/>
            <w:tcMar>
              <w:top w:w="70" w:type="dxa"/>
              <w:bottom w:w="70" w:type="dxa"/>
              <w:left w:w="140" w:type="dxa"/>
              <w:right w:w="120" w:type="dxa"/>
            </w:tcMar>
            <w:tcBorders>
              <w:left w:val="single" w:sz="30" w:space="0" w:color="595959"/>
            </w:tcBorders>
          </w:tcPr>
          <w:p>
            <w:pPr>
              <w:spacing w:after="30" w:line="240" w:lineRule="auto"/>
            </w:pPr>
            <w:r>
              <w:rPr>
                <w:b/>
                <w:color w:val="595959"/>
                <w:sz w:val="15"/>
              </w:rPr>
              <w:t xml:space="preserve">ROADMAP   </w:t>
            </w:r>
            <w:r>
              <w:rPr>
                <w:b/>
                <w:i w:val="0"/>
                <w:sz w:val="21"/>
              </w:rPr>
              <w:t>Exam game plan — run every fact pattern through this sequence</w:t>
            </w:r>
          </w:p>
          <w:p>
            <w:pPr>
              <w:spacing w:after="30" w:line="240" w:lineRule="auto"/>
              <w:ind w:left="317" w:hanging="259"/>
            </w:pPr>
            <w:r>
              <w:rPr>
                <w:b/>
                <w:color w:val="595959"/>
                <w:sz w:val="21"/>
              </w:rPr>
              <w:t xml:space="preserve">1.  </w:t>
            </w:r>
            <w:r>
              <w:rPr>
                <w:b/>
                <w:i w:val="0"/>
                <w:sz w:val="21"/>
              </w:rPr>
              <w:t>Governing law?</w:t>
            </w:r>
            <w:r>
              <w:rPr>
                <w:b w:val="0"/>
                <w:i w:val="0"/>
                <w:sz w:val="21"/>
              </w:rPr>
              <w:t xml:space="preserve"> Goods (§ 2-105, § 2-107) · hybrid (§ 2-102(2)) · disguised security interest (§ 2-102(3)(a)).</w:t>
            </w:r>
          </w:p>
          <w:p>
            <w:pPr>
              <w:spacing w:after="30" w:line="240" w:lineRule="auto"/>
              <w:ind w:left="317" w:hanging="259"/>
            </w:pPr>
            <w:r>
              <w:rPr>
                <w:b/>
                <w:color w:val="595959"/>
                <w:sz w:val="21"/>
              </w:rPr>
              <w:t xml:space="preserve">2.  </w:t>
            </w:r>
            <w:r>
              <w:rPr>
                <w:b/>
                <w:i w:val="0"/>
                <w:sz w:val="21"/>
              </w:rPr>
              <w:t>Agreement formed?</w:t>
            </w:r>
            <w:r>
              <w:rPr>
                <w:b w:val="0"/>
                <w:i w:val="0"/>
                <w:sz w:val="21"/>
              </w:rPr>
              <w:t xml:space="preserve"> §§ 2-204 → 2-206 → 2-205 → 2-207.</w:t>
            </w:r>
          </w:p>
          <w:p>
            <w:pPr>
              <w:spacing w:after="30" w:line="240" w:lineRule="auto"/>
              <w:ind w:left="317" w:hanging="259"/>
            </w:pPr>
            <w:r>
              <w:rPr>
                <w:b/>
                <w:color w:val="595959"/>
                <w:sz w:val="21"/>
              </w:rPr>
              <w:t xml:space="preserve">3.  </w:t>
            </w:r>
            <w:r>
              <w:rPr>
                <w:b/>
                <w:i w:val="0"/>
                <w:sz w:val="21"/>
              </w:rPr>
              <w:t>Enforceable?</w:t>
            </w:r>
            <w:r>
              <w:rPr>
                <w:b w:val="0"/>
                <w:i w:val="0"/>
                <w:sz w:val="21"/>
              </w:rPr>
              <w:t xml:space="preserve"> Statute of frauds (§ 2-201) · unconscionability (§ 2-302).</w:t>
            </w:r>
          </w:p>
          <w:p>
            <w:pPr>
              <w:spacing w:after="30" w:line="240" w:lineRule="auto"/>
              <w:ind w:left="317" w:hanging="259"/>
            </w:pPr>
            <w:r>
              <w:rPr>
                <w:b/>
                <w:color w:val="595959"/>
                <w:sz w:val="21"/>
              </w:rPr>
              <w:t xml:space="preserve">4.  </w:t>
            </w:r>
            <w:r>
              <w:rPr>
                <w:b/>
                <w:i w:val="0"/>
                <w:sz w:val="21"/>
              </w:rPr>
              <w:t>Terms?</w:t>
            </w:r>
            <w:r>
              <w:rPr>
                <w:b w:val="0"/>
                <w:i w:val="0"/>
                <w:sz w:val="21"/>
              </w:rPr>
              <w:t xml:space="preserve"> Express terms → course of performance (CoP) / course of dealing (CoD) / usage of trade (UoT) (§ 1-303) → express warranties (§ 2-313) → gap fillers → disclaimers/remedy limits → parol evidence rule (§ 2-202).</w:t>
            </w:r>
          </w:p>
          <w:p>
            <w:pPr>
              <w:spacing w:after="30" w:line="240" w:lineRule="auto"/>
              <w:ind w:left="317" w:hanging="259"/>
            </w:pPr>
            <w:r>
              <w:rPr>
                <w:b/>
                <w:color w:val="595959"/>
                <w:sz w:val="21"/>
              </w:rPr>
              <w:t xml:space="preserve">5.  </w:t>
            </w:r>
            <w:r>
              <w:rPr>
                <w:b/>
                <w:i w:val="0"/>
                <w:sz w:val="21"/>
              </w:rPr>
              <w:t>Changed?</w:t>
            </w:r>
            <w:r>
              <w:rPr>
                <w:b w:val="0"/>
                <w:i w:val="0"/>
                <w:sz w:val="21"/>
              </w:rPr>
              <w:t xml:space="preserve"> Modification · statute of frauds (SOF) / no-oral-modification (NOM) clauses · waiver · estoppel · course of performance.</w:t>
            </w:r>
          </w:p>
          <w:p>
            <w:pPr>
              <w:spacing w:after="30" w:line="240" w:lineRule="auto"/>
              <w:ind w:left="317" w:hanging="259"/>
            </w:pPr>
            <w:r>
              <w:rPr>
                <w:b/>
                <w:color w:val="595959"/>
                <w:sz w:val="21"/>
              </w:rPr>
              <w:t xml:space="preserve">6.  </w:t>
            </w:r>
            <w:r>
              <w:rPr>
                <w:b/>
                <w:i w:val="0"/>
                <w:sz w:val="21"/>
              </w:rPr>
              <w:t>Performance:</w:t>
            </w:r>
            <w:r>
              <w:rPr>
                <w:b w:val="0"/>
                <w:i w:val="0"/>
                <w:sz w:val="21"/>
              </w:rPr>
              <w:t xml:space="preserve"> tender → inspection → accept/reject → payment → risk of loss · assignment/delegation · termination · insecurity/repudiation · excuse.</w:t>
            </w:r>
          </w:p>
        </w:tc>
      </w:tr>
    </w:tbl>
    <w:p>
      <w:pPr>
        <w:spacing w:after="0" w:line="10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F7F7F8"/>
            <w:tcMar>
              <w:top w:w="70" w:type="dxa"/>
              <w:bottom w:w="70" w:type="dxa"/>
              <w:left w:w="140" w:type="dxa"/>
              <w:right w:w="120" w:type="dxa"/>
            </w:tcMar>
            <w:tcBorders>
              <w:left w:val="single" w:sz="30" w:space="0" w:color="6B7280"/>
            </w:tcBorders>
          </w:tcPr>
          <w:p>
            <w:pPr>
              <w:spacing w:after="30" w:line="240" w:lineRule="auto"/>
            </w:pPr>
            <w:r>
              <w:rPr>
                <w:b/>
                <w:color w:val="6B7280"/>
                <w:sz w:val="15"/>
              </w:rPr>
              <w:t xml:space="preserve">KEY   </w:t>
            </w:r>
            <w:r>
              <w:rPr>
                <w:b/>
                <w:i w:val="0"/>
                <w:sz w:val="21"/>
              </w:rPr>
              <w:t xml:space="preserve">How cases are marked in this outline</w:t>
            </w:r>
          </w:p>
          <w:p>
            <w:pPr>
              <w:spacing w:after="30" w:line="240" w:lineRule="auto"/>
            </w:pPr>
            <w:r>
              <w:rPr>
                <w:b/>
                <w:i w:val="0"/>
                <w:sz w:val="21"/>
              </w:rPr>
              <w:t xml:space="preserve">MAIN CASE</w:t>
            </w:r>
            <w:r>
              <w:rPr>
                <w:b w:val="0"/>
                <w:i w:val="0"/>
                <w:sz w:val="21"/>
              </w:rPr>
              <w:t xml:space="preserve"> — a principal case: the casebook prints the opinion. There are seven: Daitom, Casazza, Market Street, Roth Steel, Rogath, Razor, Top of Iowa.</w:t>
            </w:r>
          </w:p>
          <w:p>
            <w:pPr>
              <w:spacing w:after="30" w:line="240" w:lineRule="auto"/>
            </w:pPr>
            <w:r>
              <w:rPr>
                <w:b/>
                <w:i w:val="0"/>
                <w:sz w:val="21"/>
              </w:rPr>
              <w:t xml:space="preserve">NOTE CASE</w:t>
            </w:r>
            <w:r>
              <w:rPr>
                <w:b w:val="0"/>
                <w:i w:val="0"/>
                <w:sz w:val="21"/>
              </w:rPr>
              <w:t xml:space="preserve"> — not a principal case; the casebook quotes or summarizes it in its text or notes (e.g., Mathis, Ingram River, Orange &amp; Rockland, Santa Fe, PDM, NIPSCO, Anthony Pools).</w:t>
            </w:r>
          </w:p>
          <w:p>
            <w:pPr>
              <w:spacing w:after="30" w:line="240" w:lineRule="auto"/>
            </w:pPr>
            <w:r>
              <w:rPr>
                <w:b/>
                <w:i w:val="0"/>
                <w:sz w:val="21"/>
              </w:rPr>
              <w:t xml:space="preserve">CITED ONLY</w:t>
            </w:r>
            <w:r>
              <w:rPr>
                <w:b w:val="0"/>
                <w:i w:val="0"/>
                <w:sz w:val="21"/>
              </w:rPr>
              <w:t xml:space="preserve"> — the casebook just cites it, usually under a problem, and gives no facts (e.g., Webster, Windows v. Jordan Panel, Keith v. Buchanan).</w:t>
            </w:r>
          </w:p>
          <w:p>
            <w:pPr>
              <w:spacing w:after="30" w:line="240" w:lineRule="auto"/>
            </w:pPr>
            <w:r>
              <w:rPr>
                <w:b/>
                <w:i w:val="0"/>
                <w:sz w:val="21"/>
              </w:rPr>
              <w:t xml:space="preserve">★</w:t>
            </w:r>
            <w:r>
              <w:rPr>
                <w:b w:val="0"/>
                <w:i w:val="0"/>
                <w:sz w:val="21"/>
              </w:rPr>
              <w:t xml:space="preserve"> = the case has its own slide(s) in class (Roth Steel, Rogath, Mathis, Razor, Top of Iowa). Each box's </w:t>
            </w:r>
            <w:r>
              <w:rPr>
                <w:b/>
                <w:i w:val="0"/>
                <w:sz w:val="21"/>
              </w:rPr>
              <w:t xml:space="preserve">Source</w:t>
            </w:r>
            <w:r>
              <w:rPr>
                <w:b w:val="0"/>
                <w:i w:val="0"/>
                <w:sz w:val="21"/>
              </w:rPr>
              <w:t xml:space="preserve"> line gives the casebook pages and class slides (W1-S44 = Week 1 slides, slide 44).</w:t>
            </w:r>
          </w:p>
          <w:p>
            <w:pPr>
              <w:spacing w:after="0" w:line="240" w:lineRule="auto"/>
            </w:pPr>
            <w:r>
              <w:rPr>
                <w:b w:val="0"/>
                <w:i/>
                <w:color w:val="64748B"/>
                <w:sz w:val="21"/>
              </w:rPr>
              <w:t xml:space="preserve">Gray italic text = outside the class materials</w:t>
            </w:r>
            <w:r>
              <w:rPr>
                <w:b w:val="0"/>
                <w:i w:val="0"/>
                <w:sz w:val="21"/>
              </w:rPr>
              <w:t xml:space="preserve">: facts or labels taken from the published opinions or general legal knowledge — not from the casebook, slides, or statutory supplement. It is context only: verify before relying on it, and don't build an exam answer on it.</w:t>
            </w:r>
          </w:p>
        </w:tc>
      </w:tr>
    </w:tbl>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I. The UCC &amp; Which Law Governs</w:t>
            </w:r>
            <w:r>
              <w:rPr>
                <w:b/>
                <w:color w:val="C9D9EE"/>
                <w:sz w:val="16"/>
              </w:rPr>
              <w:t xml:space="preserve">    WEEK 1</w:t>
            </w:r>
          </w:p>
        </w:tc>
      </w:tr>
    </w:tbl>
    <w:p>
      <w:pPr>
        <w:keepNext/>
        <w:spacing w:after="0" w:line="80" w:lineRule="exact"/>
      </w:pPr>
    </w:p>
    <w:p>
      <w:pPr>
        <w:keepNext/>
        <w:spacing w:before="120" w:after="40"/>
        <w:pBdr>
          <w:bottom w:val="single" w:sz="6" w:space="1" w:color="8EAADB"/>
        </w:pBdr>
      </w:pPr>
      <w:r>
        <w:rPr>
          <w:b/>
          <w:i w:val="0"/>
          <w:color w:val="1F3A5F"/>
          <w:sz w:val="25"/>
        </w:rPr>
        <w:t>The UCC and the common law</w:t>
      </w:r>
    </w:p>
    <w:p>
      <w:pPr>
        <w:pStyle w:val="ListBullet"/>
      </w:pPr>
      <w:r>
        <w:rPr>
          <w:b/>
          <w:i w:val="0"/>
        </w:rPr>
        <w:t>What it is:</w:t>
      </w:r>
      <w:r>
        <w:rPr>
          <w:b w:val="0"/>
          <w:i w:val="0"/>
        </w:rPr>
        <w:t xml:space="preserve"> a model code (Uniform Law Commission (ULC) + American Law Institute (ALI)) </w:t>
      </w:r>
      <w:r>
        <w:rPr>
          <w:b/>
          <w:i w:val="0"/>
        </w:rPr>
        <w:t>adopted by the states</w:t>
      </w:r>
      <w:r>
        <w:rPr>
          <w:b w:val="0"/>
          <w:i w:val="0"/>
        </w:rPr>
        <w:t xml:space="preserve"> to standardize commerce and protect those in business transactions. Not law until enacted; check each state's version. Louisiana never enacted Art. 2/2A.</w:t>
      </w:r>
    </w:p>
    <w:p>
      <w:pPr>
        <w:pStyle w:val="ListBullet"/>
      </w:pPr>
      <w:r>
        <w:rPr>
          <w:b/>
          <w:i w:val="0"/>
        </w:rPr>
        <w:t>§ 1-103(a) purposes</w:t>
      </w:r>
      <w:r>
        <w:rPr>
          <w:b w:val="0"/>
          <w:i w:val="0"/>
        </w:rPr>
        <w:t xml:space="preserve"> (construe liberally to promote): </w:t>
      </w:r>
      <w:r>
        <w:rPr>
          <w:b/>
          <w:i w:val="0"/>
        </w:rPr>
        <w:t>(1) simplify, clarify, modernize</w:t>
      </w:r>
      <w:r>
        <w:rPr>
          <w:b w:val="0"/>
          <w:i w:val="0"/>
        </w:rPr>
        <w:t xml:space="preserve"> commercial law; </w:t>
      </w:r>
      <w:r>
        <w:rPr>
          <w:b/>
          <w:i w:val="0"/>
        </w:rPr>
        <w:t>(2) permit continued expansion of commercial practices</w:t>
      </w:r>
      <w:r>
        <w:rPr>
          <w:b w:val="0"/>
          <w:i w:val="0"/>
        </w:rPr>
        <w:t xml:space="preserve"> through custom, usage, and agreement; </w:t>
      </w:r>
      <w:r>
        <w:rPr>
          <w:b/>
          <w:i w:val="0"/>
        </w:rPr>
        <w:t>(3) make the law uniform</w:t>
      </w:r>
      <w:r>
        <w:rPr>
          <w:b w:val="0"/>
          <w:i w:val="0"/>
        </w:rPr>
        <w:t xml:space="preserve"> among jurisdictions.</w:t>
      </w:r>
    </w:p>
    <w:p>
      <w:pPr>
        <w:pStyle w:val="ListBullet"/>
      </w:pPr>
      <w:r>
        <w:rPr>
          <w:b/>
          <w:i w:val="0"/>
        </w:rPr>
        <w:t>§ 1-103(b):</w:t>
      </w:r>
      <w:r>
        <w:rPr>
          <w:b w:val="0"/>
          <w:i w:val="0"/>
        </w:rPr>
        <w:t xml:space="preserve"> </w:t>
      </w:r>
      <w:r>
        <w:rPr>
          <w:b/>
          <w:i w:val="0"/>
        </w:rPr>
        <w:t>unless displaced</w:t>
      </w:r>
      <w:r>
        <w:rPr>
          <w:b w:val="0"/>
          <w:i w:val="0"/>
        </w:rPr>
        <w:t xml:space="preserve"> by a particular UCC provision, common law and equity (capacity, agency, </w:t>
      </w:r>
      <w:r>
        <w:rPr>
          <w:b/>
          <w:i w:val="0"/>
        </w:rPr>
        <w:t>estoppel, fraud, misrepresentation, duress, coercion, mistake</w:t>
      </w:r>
      <w:r>
        <w:rPr>
          <w:b w:val="0"/>
          <w:i w:val="0"/>
        </w:rPr>
        <w:t xml:space="preserve">, bankruptcy, other validating/invalidating causes) </w:t>
      </w:r>
      <w:r>
        <w:rPr>
          <w:b/>
          <w:i w:val="0"/>
        </w:rPr>
        <w:t>supplement</w:t>
      </w:r>
      <w:r>
        <w:rPr>
          <w:b w:val="0"/>
          <w:i w:val="0"/>
        </w:rPr>
        <w:t xml:space="preserve"> the Code.</w:t>
      </w:r>
    </w:p>
    <w:p>
      <w:pPr>
        <w:pStyle w:val="ListBullet"/>
      </w:pPr>
      <w:r>
        <w:rPr>
          <w:b/>
          <w:i w:val="0"/>
        </w:rPr>
        <w:t>Sales law is broader than commercial law</w:t>
      </w:r>
      <w:r>
        <w:rPr>
          <w:b w:val="0"/>
          <w:i w:val="0"/>
        </w:rPr>
        <w:t xml:space="preserve"> — buying and selling goods by individuals, businesses, and others; a cumulative subject, not one law.</w:t>
      </w:r>
    </w:p>
    <w:p>
      <w:pPr>
        <w:pStyle w:val="ListBullet"/>
      </w:pPr>
      <w:r>
        <w:rPr>
          <w:b/>
          <w:i w:val="0"/>
        </w:rPr>
        <w:t>Role of sales systems:</w:t>
      </w:r>
      <w:r>
        <w:rPr>
          <w:b w:val="0"/>
          <w:i w:val="0"/>
        </w:rPr>
        <w:t xml:space="preserve"> bring buyers and sellers together; supply standard terms; supply mechanisms for performing; supply mechanisms for resolving disputes.</w:t>
      </w:r>
    </w:p>
    <w:p>
      <w:pPr>
        <w:pStyle w:val="ListBullet"/>
      </w:pPr>
      <w:r>
        <w:rPr>
          <w:b/>
          <w:i w:val="0"/>
        </w:rPr>
        <w:t>Recurring themes:</w:t>
      </w:r>
      <w:r>
        <w:rPr>
          <w:b w:val="0"/>
          <w:i w:val="0"/>
        </w:rPr>
        <w:t xml:space="preserve"> certainty · responsiveness · laissez-faire · simplicity · efficiency · international.</w:t>
      </w:r>
    </w:p>
    <w:p>
      <w:pPr>
        <w:keepNext/>
        <w:spacing w:before="120" w:after="40"/>
        <w:pBdr>
          <w:bottom w:val="single" w:sz="6" w:space="1" w:color="8EAADB"/>
        </w:pBdr>
      </w:pPr>
      <w:r>
        <w:rPr>
          <w:b/>
          <w:i w:val="0"/>
          <w:color w:val="1F3A5F"/>
          <w:sz w:val="25"/>
        </w:rPr>
        <w:t>Statutory interpretation (slides + text)</w:t>
      </w:r>
    </w:p>
    <w:p>
      <w:pPr>
        <w:pStyle w:val="ListBullet"/>
      </w:pPr>
      <w:r>
        <w:rPr>
          <w:b/>
          <w:i w:val="0"/>
        </w:rPr>
        <w:t>Three rules:</w:t>
      </w:r>
      <w:r>
        <w:rPr>
          <w:b w:val="0"/>
          <w:i w:val="0"/>
        </w:rPr>
        <w:t xml:space="preserve"> (1) </w:t>
      </w:r>
      <w:r>
        <w:rPr>
          <w:b/>
          <w:i w:val="0"/>
        </w:rPr>
        <w:t>read it all, then read it again</w:t>
      </w:r>
      <w:r>
        <w:rPr>
          <w:b w:val="0"/>
          <w:i w:val="0"/>
        </w:rPr>
        <w:t xml:space="preserve"> — parse grammar, find the pauses, test hypotheticals; (2) </w:t>
      </w:r>
      <w:r>
        <w:rPr>
          <w:b/>
          <w:i w:val="0"/>
        </w:rPr>
        <w:t>find the definitions</w:t>
      </w:r>
      <w:r>
        <w:rPr>
          <w:b w:val="0"/>
          <w:i w:val="0"/>
        </w:rPr>
        <w:t xml:space="preserve"> (§ 1-201 for all Articles; §§ 2-103 to 2-106; "purchase" includes a </w:t>
      </w:r>
      <w:r>
        <w:rPr>
          <w:b/>
          <w:i w:val="0"/>
        </w:rPr>
        <w:t>gift</w:t>
      </w:r>
      <w:r>
        <w:rPr>
          <w:b w:val="0"/>
          <w:i w:val="0"/>
        </w:rPr>
        <w:t xml:space="preserve">; "goods" includes </w:t>
      </w:r>
      <w:r>
        <w:rPr>
          <w:b/>
          <w:i w:val="0"/>
        </w:rPr>
        <w:t>unborn animals</w:t>
      </w:r>
      <w:r>
        <w:rPr>
          <w:b w:val="0"/>
          <w:i w:val="0"/>
        </w:rPr>
        <w:t xml:space="preserve">); (3) read </w:t>
      </w:r>
      <w:r>
        <w:rPr>
          <w:b/>
          <w:i w:val="0"/>
        </w:rPr>
        <w:t>in context</w:t>
      </w:r>
      <w:r>
        <w:rPr>
          <w:b w:val="0"/>
          <w:i w:val="0"/>
        </w:rPr>
        <w:t xml:space="preserve"> of the provision's and the Code's purposes.</w:t>
      </w:r>
    </w:p>
    <w:p>
      <w:pPr>
        <w:pStyle w:val="ListBullet"/>
      </w:pPr>
      <w:r>
        <w:rPr>
          <w:b w:val="0"/>
          <w:i w:val="0"/>
        </w:rPr>
        <w:t xml:space="preserve">Then consult: </w:t>
      </w:r>
      <w:r>
        <w:rPr>
          <w:b/>
          <w:i w:val="0"/>
        </w:rPr>
        <w:t>Official Comments</w:t>
      </w:r>
      <w:r>
        <w:rPr>
          <w:b w:val="0"/>
          <w:i w:val="0"/>
        </w:rPr>
        <w:t xml:space="preserve"> (most important aid, but </w:t>
      </w:r>
      <w:r>
        <w:rPr>
          <w:b/>
          <w:i w:val="0"/>
        </w:rPr>
        <w:t>not law</w:t>
      </w:r>
      <w:r>
        <w:rPr>
          <w:b w:val="0"/>
          <w:i w:val="0"/>
        </w:rPr>
        <w:t xml:space="preserve"> — the </w:t>
      </w:r>
      <w:r>
        <w:rPr>
          <w:b/>
          <w:i w:val="0"/>
        </w:rPr>
        <w:t>text controls</w:t>
      </w:r>
      <w:r>
        <w:rPr>
          <w:b w:val="0"/>
          <w:i w:val="0"/>
        </w:rPr>
        <w:t xml:space="preserve"> if they conflict), case law (other states are persuasive), treatises, state legislative history, earlier drafts; last resort, a tie-breaker policy.</w:t>
      </w:r>
    </w:p>
    <w:p>
      <w:pPr>
        <w:pStyle w:val="ListBullet"/>
      </w:pPr>
      <w:r>
        <w:rPr>
          <w:b w:val="0"/>
          <w:i w:val="0"/>
        </w:rPr>
        <w:t xml:space="preserve">Keep the </w:t>
      </w:r>
      <w:r>
        <w:rPr>
          <w:b/>
          <w:i w:val="0"/>
        </w:rPr>
        <w:t>client's goals</w:t>
      </w:r>
      <w:r>
        <w:rPr>
          <w:b w:val="0"/>
          <w:i w:val="0"/>
        </w:rPr>
        <w:t xml:space="preserve"> in view. </w:t>
      </w:r>
      <w:r>
        <w:rPr>
          <w:b/>
          <w:i w:val="0"/>
        </w:rPr>
        <w:t>Good drafting:</w:t>
      </w:r>
      <w:r>
        <w:rPr>
          <w:b w:val="0"/>
          <w:i w:val="0"/>
        </w:rPr>
        <w:t xml:space="preserve"> understand the deal; know the rules and risk-allocation options; attention to detail; concise, clear, simple language — goal: an </w:t>
      </w:r>
      <w:r>
        <w:rPr>
          <w:b/>
          <w:i w:val="0"/>
        </w:rPr>
        <w:t>enforceable</w:t>
      </w:r>
      <w:r>
        <w:rPr>
          <w:b w:val="0"/>
          <w:i w:val="0"/>
        </w:rPr>
        <w:t xml:space="preserve"> agreement that </w:t>
      </w:r>
      <w:r>
        <w:rPr>
          <w:b/>
          <w:i w:val="0"/>
        </w:rPr>
        <w:t>clearly reflects the deal</w:t>
      </w:r>
      <w:r>
        <w:rPr>
          <w:b w:val="0"/>
          <w:i w:val="0"/>
        </w:rPr>
        <w:t>.</w:t>
      </w:r>
    </w:p>
    <w:p>
      <w:pPr>
        <w:keepNext/>
        <w:spacing w:before="120" w:after="40"/>
        <w:pBdr>
          <w:bottom w:val="single" w:sz="6" w:space="1" w:color="8EAADB"/>
        </w:pBdr>
      </w:pPr>
      <w:r>
        <w:rPr>
          <w:b/>
          <w:i w:val="0"/>
          <w:color w:val="1F3A5F"/>
          <w:sz w:val="25"/>
        </w:rPr>
        <w:t>Which law governs — four factors (in this order)</w:t>
      </w:r>
    </w:p>
    <w:p>
      <w:pPr>
        <w:spacing w:after="20"/>
        <w:ind w:left="403" w:hanging="288"/>
      </w:pPr>
      <w:r>
        <w:rPr>
          <w:b/>
          <w:color w:val="2E74B5"/>
        </w:rPr>
        <w:t xml:space="preserve">1.  </w:t>
      </w:r>
      <w:r>
        <w:rPr>
          <w:b/>
          <w:i w:val="0"/>
        </w:rPr>
        <w:t>Type of property</w:t>
      </w:r>
      <w:r>
        <w:rPr>
          <w:b w:val="0"/>
          <w:i w:val="0"/>
        </w:rPr>
        <w:t xml:space="preserve"> (goods, real estate, services, intellectual property (IP)…);</w:t>
      </w:r>
    </w:p>
    <w:p>
      <w:pPr>
        <w:spacing w:after="20"/>
        <w:ind w:left="403" w:hanging="288"/>
      </w:pPr>
      <w:r>
        <w:rPr>
          <w:b/>
          <w:color w:val="2E74B5"/>
        </w:rPr>
        <w:t xml:space="preserve">2.  </w:t>
      </w:r>
      <w:r>
        <w:rPr>
          <w:b/>
          <w:i w:val="0"/>
        </w:rPr>
        <w:t>Nature of the rights transferred</w:t>
      </w:r>
      <w:r>
        <w:rPr>
          <w:b w:val="0"/>
          <w:i w:val="0"/>
        </w:rPr>
        <w:t xml:space="preserve"> (sale, lease, license, lien, gift);</w:t>
      </w:r>
    </w:p>
    <w:p>
      <w:pPr>
        <w:spacing w:after="20"/>
        <w:ind w:left="403" w:hanging="288"/>
      </w:pPr>
      <w:r>
        <w:rPr>
          <w:b/>
          <w:color w:val="2E74B5"/>
        </w:rPr>
        <w:t xml:space="preserve">3.  </w:t>
      </w:r>
      <w:r>
        <w:rPr>
          <w:b/>
          <w:i w:val="0"/>
        </w:rPr>
        <w:t>Location of the parties</w:t>
      </w:r>
      <w:r>
        <w:rPr>
          <w:b w:val="0"/>
          <w:i w:val="0"/>
        </w:rPr>
        <w:t xml:space="preserve"> (domestic vs. international / United Nations Convention on Contracts for the International Sale of Goods (CISG));</w:t>
      </w:r>
    </w:p>
    <w:p>
      <w:pPr>
        <w:spacing w:after="20"/>
        <w:ind w:left="403" w:hanging="288"/>
      </w:pPr>
      <w:r>
        <w:rPr>
          <w:b/>
          <w:color w:val="2E74B5"/>
        </w:rPr>
        <w:t xml:space="preserve">4.  </w:t>
      </w:r>
      <w:r>
        <w:rPr>
          <w:b/>
          <w:i w:val="0"/>
        </w:rPr>
        <w:t>The parties' agreement</w:t>
      </w:r>
      <w:r>
        <w:rPr>
          <w:b w:val="0"/>
          <w:i w:val="0"/>
        </w:rPr>
        <w:t xml:space="preserve"> on governing law.</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4095"/>
        <w:gridCol w:w="6416"/>
      </w:tblGrid>
      <w:tr>
        <w:trPr>
          <w:tblHeader w:val="true"/>
        </w:trPr>
        <w:tc>
          <w:tcPr>
            <w:tcW w:type="dxa" w:w="4096"/>
            <w:shd w:val="clear" w:color="auto" w:fill="1F3A5F"/>
            <w:tcMar>
              <w:top w:w="40" w:type="dxa"/>
              <w:bottom w:w="40" w:type="dxa"/>
              <w:left w:w="80" w:type="dxa"/>
              <w:right w:w="80" w:type="dxa"/>
            </w:tcMar>
          </w:tcPr>
          <w:p>
            <w:pPr>
              <w:spacing w:after="0"/>
            </w:pPr>
            <w:r>
              <w:rPr>
                <w:b/>
                <w:i w:val="0"/>
                <w:color w:val="FFFFFF"/>
                <w:sz w:val="20"/>
              </w:rPr>
              <w:t xml:space="preserve">Transaction in </w:t>
            </w:r>
            <w:r>
              <w:rPr>
                <w:b/>
                <w:i w:val="0"/>
                <w:color w:val="FFFFFF"/>
                <w:sz w:val="20"/>
              </w:rPr>
              <w:t>goods</w:t>
            </w:r>
          </w:p>
        </w:tc>
        <w:tc>
          <w:tcPr>
            <w:tcW w:type="dxa" w:w="6416"/>
            <w:shd w:val="clear" w:color="auto" w:fill="1F3A5F"/>
            <w:tcMar>
              <w:top w:w="40" w:type="dxa"/>
              <w:bottom w:w="40" w:type="dxa"/>
              <w:left w:w="80" w:type="dxa"/>
              <w:right w:w="80" w:type="dxa"/>
            </w:tcMar>
          </w:tcPr>
          <w:p>
            <w:pPr>
              <w:spacing w:after="0"/>
            </w:pPr>
            <w:r>
              <w:rPr>
                <w:b/>
                <w:i w:val="0"/>
                <w:color w:val="FFFFFF"/>
                <w:sz w:val="20"/>
              </w:rPr>
              <w:t>Governing law</w:t>
            </w:r>
          </w:p>
        </w:tc>
      </w:tr>
      <w:tr>
        <w:trPr>
          <w:cantSplit w:val="true"/>
        </w:trPr>
        <w:tc>
          <w:tcPr>
            <w:tcW w:type="dxa" w:w="4096"/>
            <w:tcMar>
              <w:top w:w="30" w:type="dxa"/>
              <w:bottom w:w="30" w:type="dxa"/>
              <w:left w:w="80" w:type="dxa"/>
              <w:right w:w="80" w:type="dxa"/>
            </w:tcMar>
          </w:tcPr>
          <w:p>
            <w:pPr>
              <w:spacing w:after="0" w:line="240" w:lineRule="auto"/>
            </w:pPr>
            <w:r>
              <w:rPr>
                <w:b/>
                <w:i w:val="0"/>
                <w:sz w:val="20"/>
              </w:rPr>
              <w:t>Sale</w:t>
            </w:r>
          </w:p>
        </w:tc>
        <w:tc>
          <w:tcPr>
            <w:tcW w:type="dxa" w:w="6416"/>
            <w:tcMar>
              <w:top w:w="30" w:type="dxa"/>
              <w:bottom w:w="30" w:type="dxa"/>
              <w:left w:w="80" w:type="dxa"/>
              <w:right w:w="80" w:type="dxa"/>
            </w:tcMar>
          </w:tcPr>
          <w:p>
            <w:pPr>
              <w:spacing w:after="0" w:line="240" w:lineRule="auto"/>
            </w:pPr>
            <w:r>
              <w:rPr>
                <w:b/>
                <w:i w:val="0"/>
                <w:sz w:val="20"/>
              </w:rPr>
              <w:t>UCC Article 2</w:t>
            </w:r>
            <w:r>
              <w:rPr>
                <w:b w:val="0"/>
                <w:i w:val="0"/>
                <w:sz w:val="20"/>
              </w:rPr>
              <w:t xml:space="preserve"> (or CISG if international)</w:t>
            </w:r>
          </w:p>
        </w:tc>
      </w:tr>
      <w:tr>
        <w:trPr>
          <w:cantSplit w:val="true"/>
        </w:trPr>
        <w:tc>
          <w:tcPr>
            <w:tcW w:type="dxa" w:w="4096"/>
            <w:tcMar>
              <w:top w:w="30" w:type="dxa"/>
              <w:bottom w:w="30" w:type="dxa"/>
              <w:left w:w="80" w:type="dxa"/>
              <w:right w:w="80" w:type="dxa"/>
            </w:tcMar>
            <w:shd w:val="clear" w:color="auto" w:fill="F2F6FB"/>
          </w:tcPr>
          <w:p>
            <w:pPr>
              <w:spacing w:after="0" w:line="240" w:lineRule="auto"/>
            </w:pPr>
            <w:r>
              <w:rPr>
                <w:b/>
                <w:i w:val="0"/>
                <w:sz w:val="20"/>
              </w:rPr>
              <w:t>Lease</w:t>
            </w:r>
          </w:p>
        </w:tc>
        <w:tc>
          <w:tcPr>
            <w:tcW w:type="dxa" w:w="6416"/>
            <w:tcMar>
              <w:top w:w="30" w:type="dxa"/>
              <w:bottom w:w="30" w:type="dxa"/>
              <w:left w:w="80" w:type="dxa"/>
              <w:right w:w="80" w:type="dxa"/>
            </w:tcMar>
            <w:shd w:val="clear" w:color="auto" w:fill="F2F6FB"/>
          </w:tcPr>
          <w:p>
            <w:pPr>
              <w:spacing w:after="0" w:line="240" w:lineRule="auto"/>
            </w:pPr>
            <w:r>
              <w:rPr>
                <w:b/>
                <w:i w:val="0"/>
                <w:sz w:val="20"/>
              </w:rPr>
              <w:t>UCC Article 2A</w:t>
            </w:r>
          </w:p>
        </w:tc>
      </w:tr>
      <w:tr>
        <w:trPr>
          <w:cantSplit w:val="true"/>
        </w:trPr>
        <w:tc>
          <w:tcPr>
            <w:tcW w:type="dxa" w:w="4096"/>
            <w:tcMar>
              <w:top w:w="30" w:type="dxa"/>
              <w:bottom w:w="30" w:type="dxa"/>
              <w:left w:w="80" w:type="dxa"/>
              <w:right w:w="80" w:type="dxa"/>
            </w:tcMar>
          </w:tcPr>
          <w:p>
            <w:pPr>
              <w:spacing w:after="0" w:line="240" w:lineRule="auto"/>
            </w:pPr>
            <w:r>
              <w:rPr>
                <w:b/>
                <w:i w:val="0"/>
                <w:sz w:val="20"/>
              </w:rPr>
              <w:t>Security interest</w:t>
            </w:r>
          </w:p>
        </w:tc>
        <w:tc>
          <w:tcPr>
            <w:tcW w:type="dxa" w:w="6416"/>
            <w:tcMar>
              <w:top w:w="30" w:type="dxa"/>
              <w:bottom w:w="30" w:type="dxa"/>
              <w:left w:w="80" w:type="dxa"/>
              <w:right w:w="80" w:type="dxa"/>
            </w:tcMar>
          </w:tcPr>
          <w:p>
            <w:pPr>
              <w:spacing w:after="0" w:line="240" w:lineRule="auto"/>
            </w:pPr>
            <w:r>
              <w:rPr>
                <w:b/>
                <w:i w:val="0"/>
                <w:sz w:val="20"/>
              </w:rPr>
              <w:t>UCC Article 9</w:t>
            </w:r>
          </w:p>
        </w:tc>
      </w:tr>
      <w:tr>
        <w:trPr>
          <w:cantSplit w:val="true"/>
        </w:trPr>
        <w:tc>
          <w:tcPr>
            <w:tcW w:type="dxa" w:w="4096"/>
            <w:tcMar>
              <w:top w:w="30" w:type="dxa"/>
              <w:bottom w:w="30" w:type="dxa"/>
              <w:left w:w="80" w:type="dxa"/>
              <w:right w:w="80" w:type="dxa"/>
            </w:tcMar>
            <w:shd w:val="clear" w:color="auto" w:fill="F2F6FB"/>
          </w:tcPr>
          <w:p>
            <w:pPr>
              <w:spacing w:after="0" w:line="240" w:lineRule="auto"/>
            </w:pPr>
            <w:r>
              <w:rPr>
                <w:b/>
                <w:i w:val="0"/>
                <w:sz w:val="20"/>
              </w:rPr>
              <w:t>Gift</w:t>
            </w:r>
          </w:p>
        </w:tc>
        <w:tc>
          <w:tcPr>
            <w:tcW w:type="dxa" w:w="6416"/>
            <w:tcMar>
              <w:top w:w="30" w:type="dxa"/>
              <w:bottom w:w="30" w:type="dxa"/>
              <w:left w:w="80" w:type="dxa"/>
              <w:right w:w="80" w:type="dxa"/>
            </w:tcMar>
            <w:shd w:val="clear" w:color="auto" w:fill="F2F6FB"/>
          </w:tcPr>
          <w:p>
            <w:pPr>
              <w:spacing w:after="0" w:line="240" w:lineRule="auto"/>
            </w:pPr>
            <w:r>
              <w:rPr>
                <w:b w:val="0"/>
                <w:i w:val="0"/>
                <w:sz w:val="20"/>
              </w:rPr>
              <w:t>Common law</w:t>
            </w:r>
          </w:p>
        </w:tc>
      </w:tr>
      <w:tr>
        <w:trPr>
          <w:cantSplit w:val="true"/>
        </w:trPr>
        <w:tc>
          <w:tcPr>
            <w:tcW w:type="dxa" w:w="4096"/>
            <w:tcMar>
              <w:top w:w="30" w:type="dxa"/>
              <w:bottom w:w="30" w:type="dxa"/>
              <w:left w:w="80" w:type="dxa"/>
              <w:right w:w="80" w:type="dxa"/>
            </w:tcMar>
          </w:tcPr>
          <w:p>
            <w:pPr>
              <w:spacing w:after="0" w:line="240" w:lineRule="auto"/>
            </w:pPr>
            <w:r>
              <w:rPr>
                <w:b/>
                <w:i w:val="0"/>
                <w:sz w:val="20"/>
              </w:rPr>
              <w:t>Bequest/devise</w:t>
            </w:r>
          </w:p>
        </w:tc>
        <w:tc>
          <w:tcPr>
            <w:tcW w:type="dxa" w:w="6416"/>
            <w:tcMar>
              <w:top w:w="30" w:type="dxa"/>
              <w:bottom w:w="30" w:type="dxa"/>
              <w:left w:w="80" w:type="dxa"/>
              <w:right w:w="80" w:type="dxa"/>
            </w:tcMar>
          </w:tcPr>
          <w:p>
            <w:pPr>
              <w:spacing w:after="0" w:line="240" w:lineRule="auto"/>
            </w:pPr>
            <w:r>
              <w:rPr>
                <w:b w:val="0"/>
                <w:i w:val="0"/>
                <w:sz w:val="20"/>
              </w:rPr>
              <w:t>Law of wills</w:t>
            </w:r>
          </w:p>
        </w:tc>
      </w:tr>
    </w:tbl>
    <w:p>
      <w:pPr>
        <w:spacing w:after="0" w:line="120" w:lineRule="exact"/>
      </w:pPr>
    </w:p>
    <w:p>
      <w:r>
        <w:rPr>
          <w:b w:val="0"/>
          <w:i/>
        </w:rPr>
        <w:t>Other columns of the slide chart: real property → real-property law; securities → Art. 8 (+ securities law; Art. 9 for security interests); negotiable instruments → Arts. 3 &amp; 4; IP → common law &amp; federal law; controllable electronic records → Art. 12.</w:t>
      </w:r>
    </w:p>
    <w:p>
      <w:pPr>
        <w:keepNext/>
        <w:spacing w:before="120" w:after="40"/>
        <w:pBdr>
          <w:bottom w:val="single" w:sz="6" w:space="1" w:color="8EAADB"/>
        </w:pBdr>
      </w:pPr>
      <w:r>
        <w:rPr>
          <w:b/>
          <w:i w:val="0"/>
          <w:color w:val="1F3A5F"/>
          <w:sz w:val="25"/>
        </w:rPr>
        <w:t>Is it a "good"? — § 2-105(1), § 2-107</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Goods</w:t>
            </w:r>
            <w:r>
              <w:rPr>
                <w:b w:val="0"/>
                <w:i w:val="0"/>
                <w:sz w:val="21"/>
              </w:rPr>
              <w:t xml:space="preserve"> = all things (including </w:t>
            </w:r>
            <w:r>
              <w:rPr>
                <w:b/>
                <w:i w:val="0"/>
                <w:sz w:val="21"/>
              </w:rPr>
              <w:t>specially manufactured</w:t>
            </w:r>
            <w:r>
              <w:rPr>
                <w:b w:val="0"/>
                <w:i w:val="0"/>
                <w:sz w:val="21"/>
              </w:rPr>
              <w:t xml:space="preserve"> goods) </w:t>
            </w:r>
            <w:r>
              <w:rPr>
                <w:b/>
                <w:i w:val="0"/>
                <w:sz w:val="21"/>
              </w:rPr>
              <w:t>movable at the time of identification</w:t>
            </w:r>
            <w:r>
              <w:rPr>
                <w:b w:val="0"/>
                <w:i w:val="0"/>
                <w:sz w:val="21"/>
              </w:rPr>
              <w:t xml:space="preserve"> to the contract, </w:t>
            </w:r>
            <w:r>
              <w:rPr>
                <w:b/>
                <w:i w:val="0"/>
                <w:sz w:val="21"/>
              </w:rPr>
              <w:t>except</w:t>
            </w:r>
            <w:r>
              <w:rPr>
                <w:b w:val="0"/>
                <w:i w:val="0"/>
                <w:sz w:val="21"/>
              </w:rPr>
              <w:t xml:space="preserve"> (1) </w:t>
            </w:r>
            <w:r>
              <w:rPr>
                <w:b/>
                <w:i w:val="0"/>
                <w:sz w:val="21"/>
              </w:rPr>
              <w:t>the money in which the price is to be paid</w:t>
            </w:r>
            <w:r>
              <w:rPr>
                <w:b w:val="0"/>
                <w:i w:val="0"/>
                <w:sz w:val="21"/>
              </w:rPr>
              <w:t xml:space="preserve">, (2) </w:t>
            </w:r>
            <w:r>
              <w:rPr>
                <w:b/>
                <w:i w:val="0"/>
                <w:sz w:val="21"/>
              </w:rPr>
              <w:t>investment securities</w:t>
            </w:r>
            <w:r>
              <w:rPr>
                <w:b w:val="0"/>
                <w:i w:val="0"/>
                <w:sz w:val="21"/>
              </w:rPr>
              <w:t xml:space="preserve"> (Art. 8), and (3) </w:t>
            </w:r>
            <w:r>
              <w:rPr>
                <w:b/>
                <w:i w:val="0"/>
                <w:sz w:val="21"/>
              </w:rPr>
              <w:t>things in action</w:t>
            </w:r>
            <w:r>
              <w:rPr>
                <w:b w:val="0"/>
                <w:i w:val="0"/>
                <w:sz w:val="21"/>
              </w:rPr>
              <w:t xml:space="preserve">. Also includes </w:t>
            </w:r>
            <w:r>
              <w:rPr>
                <w:b/>
                <w:i w:val="0"/>
                <w:sz w:val="21"/>
              </w:rPr>
              <w:t>unborn young of animals</w:t>
            </w:r>
            <w:r>
              <w:rPr>
                <w:b w:val="0"/>
                <w:i w:val="0"/>
                <w:sz w:val="21"/>
              </w:rPr>
              <w:t xml:space="preserve">, </w:t>
            </w:r>
            <w:r>
              <w:rPr>
                <w:b/>
                <w:i w:val="0"/>
                <w:sz w:val="21"/>
              </w:rPr>
              <w:t>growing crops</w:t>
            </w:r>
            <w:r>
              <w:rPr>
                <w:b w:val="0"/>
                <w:i w:val="0"/>
                <w:sz w:val="21"/>
              </w:rPr>
              <w:t>, and things attached to realty under § 2-107.</w:t>
            </w:r>
          </w:p>
        </w:tc>
      </w:tr>
    </w:tbl>
    <w:p>
      <w:pPr>
        <w:spacing w:after="0" w:line="100" w:lineRule="exact"/>
      </w:pPr>
    </w:p>
    <w:p>
      <w:pPr>
        <w:pStyle w:val="ListBullet"/>
      </w:pPr>
      <w:r>
        <w:rPr>
          <w:b/>
          <w:i w:val="0"/>
        </w:rPr>
        <w:t>§ 2-107(1):</w:t>
      </w:r>
      <w:r>
        <w:rPr>
          <w:b w:val="0"/>
          <w:i w:val="0"/>
        </w:rPr>
        <w:t xml:space="preserve"> </w:t>
      </w:r>
      <w:r>
        <w:rPr>
          <w:b/>
          <w:i w:val="0"/>
        </w:rPr>
        <w:t>minerals (oil, gas)</w:t>
      </w:r>
      <w:r>
        <w:rPr>
          <w:b w:val="0"/>
          <w:i w:val="0"/>
        </w:rPr>
        <w:t xml:space="preserve"> or a </w:t>
      </w:r>
      <w:r>
        <w:rPr>
          <w:b/>
          <w:i w:val="0"/>
        </w:rPr>
        <w:t>structure</w:t>
      </w:r>
      <w:r>
        <w:rPr>
          <w:b w:val="0"/>
          <w:i w:val="0"/>
        </w:rPr>
        <w:t xml:space="preserve"> to be removed from realty → goods </w:t>
      </w:r>
      <w:r>
        <w:rPr>
          <w:b/>
          <w:i w:val="0"/>
        </w:rPr>
        <w:t>only if severed by the SELLER</w:t>
      </w:r>
      <w:r>
        <w:rPr>
          <w:b w:val="0"/>
          <w:i w:val="0"/>
        </w:rPr>
        <w:t>.</w:t>
      </w:r>
    </w:p>
    <w:p>
      <w:pPr>
        <w:pStyle w:val="ListBullet"/>
      </w:pPr>
      <w:r>
        <w:rPr>
          <w:b/>
          <w:i w:val="0"/>
        </w:rPr>
        <w:t>§ 2-107(2):</w:t>
      </w:r>
      <w:r>
        <w:rPr>
          <w:b w:val="0"/>
          <w:i w:val="0"/>
        </w:rPr>
        <w:t xml:space="preserve"> </w:t>
      </w:r>
      <w:r>
        <w:rPr>
          <w:b/>
          <w:i w:val="0"/>
        </w:rPr>
        <w:t>growing crops, timber to be cut</w:t>
      </w:r>
      <w:r>
        <w:rPr>
          <w:b w:val="0"/>
          <w:i w:val="0"/>
        </w:rPr>
        <w:t xml:space="preserve">, other things severable without material harm → goods </w:t>
      </w:r>
      <w:r>
        <w:rPr>
          <w:b/>
          <w:i w:val="0"/>
        </w:rPr>
        <w:t>whether buyer or seller severs</w:t>
      </w:r>
      <w:r>
        <w:rPr>
          <w:b w:val="0"/>
          <w:i w:val="0"/>
        </w:rPr>
        <w:t>.</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3821"/>
        <w:gridCol w:w="1317"/>
        <w:gridCol w:w="5373"/>
      </w:tblGrid>
      <w:tr>
        <w:trPr>
          <w:tblHeader w:val="true"/>
        </w:trPr>
        <w:tc>
          <w:tcPr>
            <w:tcW w:type="dxa" w:w="3821"/>
            <w:shd w:val="clear" w:color="auto" w:fill="1F3A5F"/>
            <w:tcMar>
              <w:top w:w="40" w:type="dxa"/>
              <w:bottom w:w="40" w:type="dxa"/>
              <w:left w:w="80" w:type="dxa"/>
              <w:right w:w="80" w:type="dxa"/>
            </w:tcMar>
          </w:tcPr>
          <w:p>
            <w:pPr>
              <w:spacing w:after="0"/>
            </w:pPr>
            <w:r>
              <w:rPr>
                <w:b/>
                <w:i w:val="0"/>
                <w:color w:val="FFFFFF"/>
                <w:sz w:val="20"/>
              </w:rPr>
              <w:t>Problem 1-1 item</w:t>
            </w:r>
          </w:p>
        </w:tc>
        <w:tc>
          <w:tcPr>
            <w:tcW w:type="dxa" w:w="1318"/>
            <w:shd w:val="clear" w:color="auto" w:fill="1F3A5F"/>
            <w:tcMar>
              <w:top w:w="40" w:type="dxa"/>
              <w:bottom w:w="40" w:type="dxa"/>
              <w:left w:w="80" w:type="dxa"/>
              <w:right w:w="80" w:type="dxa"/>
            </w:tcMar>
          </w:tcPr>
          <w:p>
            <w:pPr>
              <w:spacing w:after="0"/>
            </w:pPr>
            <w:r>
              <w:rPr>
                <w:b/>
                <w:i w:val="0"/>
                <w:color w:val="FFFFFF"/>
                <w:sz w:val="20"/>
              </w:rPr>
              <w:t>Goods?</w:t>
            </w:r>
          </w:p>
        </w:tc>
        <w:tc>
          <w:tcPr>
            <w:tcW w:type="dxa" w:w="5373"/>
            <w:shd w:val="clear" w:color="auto" w:fill="1F3A5F"/>
            <w:tcMar>
              <w:top w:w="40" w:type="dxa"/>
              <w:bottom w:w="40" w:type="dxa"/>
              <w:left w:w="80" w:type="dxa"/>
              <w:right w:w="80" w:type="dxa"/>
            </w:tcMar>
          </w:tcPr>
          <w:p>
            <w:pPr>
              <w:spacing w:after="0"/>
            </w:pPr>
            <w:r>
              <w:rPr>
                <w:b/>
                <w:i w:val="0"/>
                <w:color w:val="FFFFFF"/>
                <w:sz w:val="20"/>
              </w:rPr>
              <w:t>Why</w:t>
            </w:r>
          </w:p>
        </w:tc>
      </w:tr>
      <w:tr>
        <w:trPr>
          <w:cantSplit w:val="true"/>
        </w:trPr>
        <w:tc>
          <w:tcPr>
            <w:tcW w:type="dxa" w:w="3821"/>
            <w:tcMar>
              <w:top w:w="30" w:type="dxa"/>
              <w:bottom w:w="30" w:type="dxa"/>
              <w:left w:w="80" w:type="dxa"/>
              <w:right w:w="80" w:type="dxa"/>
            </w:tcMar>
          </w:tcPr>
          <w:p>
            <w:pPr>
              <w:spacing w:after="0" w:line="240" w:lineRule="auto"/>
            </w:pPr>
            <w:r>
              <w:rPr>
                <w:b w:val="0"/>
                <w:i w:val="0"/>
                <w:sz w:val="20"/>
              </w:rPr>
              <w:t>Isotopes in solution · oxygen</w:t>
            </w:r>
          </w:p>
        </w:tc>
        <w:tc>
          <w:tcPr>
            <w:tcW w:type="dxa" w:w="1318"/>
            <w:tcMar>
              <w:top w:w="30" w:type="dxa"/>
              <w:bottom w:w="30" w:type="dxa"/>
              <w:left w:w="80" w:type="dxa"/>
              <w:right w:w="80" w:type="dxa"/>
            </w:tcMar>
          </w:tcPr>
          <w:p>
            <w:pPr>
              <w:spacing w:after="0" w:line="240" w:lineRule="auto"/>
            </w:pPr>
            <w:r>
              <w:rPr>
                <w:b w:val="0"/>
                <w:i w:val="0"/>
                <w:sz w:val="20"/>
              </w:rPr>
              <w:t>✓</w:t>
            </w:r>
          </w:p>
        </w:tc>
        <w:tc>
          <w:tcPr>
            <w:tcW w:type="dxa" w:w="5373"/>
            <w:tcMar>
              <w:top w:w="30" w:type="dxa"/>
              <w:bottom w:w="30" w:type="dxa"/>
              <w:left w:w="80" w:type="dxa"/>
              <w:right w:w="80" w:type="dxa"/>
            </w:tcMar>
          </w:tcPr>
          <w:p>
            <w:pPr>
              <w:spacing w:after="0" w:line="240" w:lineRule="auto"/>
            </w:pPr>
            <w:r>
              <w:rPr>
                <w:b w:val="0"/>
                <w:i w:val="0"/>
                <w:sz w:val="20"/>
              </w:rPr>
              <w:t>Liquids and gases are movable things</w:t>
            </w:r>
          </w:p>
        </w:tc>
      </w:tr>
      <w:tr>
        <w:trPr>
          <w:cantSplit w:val="true"/>
        </w:trPr>
        <w:tc>
          <w:tcPr>
            <w:tcW w:type="dxa" w:w="3821"/>
            <w:tcMar>
              <w:top w:w="30" w:type="dxa"/>
              <w:bottom w:w="30" w:type="dxa"/>
              <w:left w:w="80" w:type="dxa"/>
              <w:right w:w="80" w:type="dxa"/>
            </w:tcMar>
            <w:shd w:val="clear" w:color="auto" w:fill="F2F6FB"/>
          </w:tcPr>
          <w:p>
            <w:pPr>
              <w:spacing w:after="0" w:line="240" w:lineRule="auto"/>
            </w:pPr>
            <w:r>
              <w:rPr>
                <w:b w:val="0"/>
                <w:i w:val="0"/>
                <w:sz w:val="20"/>
              </w:rPr>
              <w:t>Excess solar electricity</w:t>
            </w:r>
          </w:p>
        </w:tc>
        <w:tc>
          <w:tcPr>
            <w:tcW w:type="dxa" w:w="1318"/>
            <w:tcMar>
              <w:top w:w="30" w:type="dxa"/>
              <w:bottom w:w="30" w:type="dxa"/>
              <w:left w:w="80" w:type="dxa"/>
              <w:right w:w="80" w:type="dxa"/>
            </w:tcMar>
            <w:shd w:val="clear" w:color="auto" w:fill="F2F6FB"/>
          </w:tcPr>
          <w:p>
            <w:pPr>
              <w:spacing w:after="0" w:line="240" w:lineRule="auto"/>
            </w:pPr>
            <w:r>
              <w:rPr>
                <w:b w:val="0"/>
                <w:i w:val="0"/>
                <w:sz w:val="20"/>
              </w:rPr>
              <w:t>✓ (maybe)</w:t>
            </w:r>
          </w:p>
        </w:tc>
        <w:tc>
          <w:tcPr>
            <w:tcW w:type="dxa" w:w="5373"/>
            <w:tcMar>
              <w:top w:w="30" w:type="dxa"/>
              <w:bottom w:w="30" w:type="dxa"/>
              <w:left w:w="80" w:type="dxa"/>
              <w:right w:w="80" w:type="dxa"/>
            </w:tcMar>
            <w:shd w:val="clear" w:color="auto" w:fill="F2F6FB"/>
          </w:tcPr>
          <w:p>
            <w:pPr>
              <w:spacing w:after="0" w:line="240" w:lineRule="auto"/>
            </w:pPr>
            <w:r>
              <w:rPr>
                <w:b w:val="0"/>
                <w:i w:val="0"/>
                <w:sz w:val="20"/>
              </w:rPr>
              <w:t>Courts split — good once metered vs. a service</w:t>
            </w:r>
          </w:p>
        </w:tc>
      </w:tr>
      <w:tr>
        <w:trPr>
          <w:cantSplit w:val="true"/>
        </w:trPr>
        <w:tc>
          <w:tcPr>
            <w:tcW w:type="dxa" w:w="3821"/>
            <w:tcMar>
              <w:top w:w="30" w:type="dxa"/>
              <w:bottom w:w="30" w:type="dxa"/>
              <w:left w:w="80" w:type="dxa"/>
              <w:right w:w="80" w:type="dxa"/>
            </w:tcMar>
          </w:tcPr>
          <w:p>
            <w:pPr>
              <w:spacing w:after="0" w:line="240" w:lineRule="auto"/>
            </w:pPr>
            <w:r>
              <w:rPr>
                <w:b w:val="0"/>
                <w:i w:val="0"/>
                <w:sz w:val="20"/>
              </w:rPr>
              <w:t>Gold coin from a coin dealer</w:t>
            </w:r>
          </w:p>
        </w:tc>
        <w:tc>
          <w:tcPr>
            <w:tcW w:type="dxa" w:w="1318"/>
            <w:tcMar>
              <w:top w:w="30" w:type="dxa"/>
              <w:bottom w:w="30" w:type="dxa"/>
              <w:left w:w="80" w:type="dxa"/>
              <w:right w:w="80" w:type="dxa"/>
            </w:tcMar>
          </w:tcPr>
          <w:p>
            <w:pPr>
              <w:spacing w:after="0" w:line="240" w:lineRule="auto"/>
            </w:pPr>
            <w:r>
              <w:rPr>
                <w:b w:val="0"/>
                <w:i w:val="0"/>
                <w:sz w:val="20"/>
              </w:rPr>
              <w:t>✓</w:t>
            </w:r>
          </w:p>
        </w:tc>
        <w:tc>
          <w:tcPr>
            <w:tcW w:type="dxa" w:w="5373"/>
            <w:tcMar>
              <w:top w:w="30" w:type="dxa"/>
              <w:bottom w:w="30" w:type="dxa"/>
              <w:left w:w="80" w:type="dxa"/>
              <w:right w:w="80" w:type="dxa"/>
            </w:tcMar>
          </w:tcPr>
          <w:p>
            <w:pPr>
              <w:spacing w:after="0" w:line="240" w:lineRule="auto"/>
            </w:pPr>
            <w:r>
              <w:rPr>
                <w:b w:val="0"/>
                <w:i w:val="0"/>
                <w:sz w:val="20"/>
              </w:rPr>
              <w:t>It's the subject of the sale, not the money paying the price</w:t>
            </w:r>
          </w:p>
        </w:tc>
      </w:tr>
      <w:tr>
        <w:trPr>
          <w:cantSplit w:val="true"/>
        </w:trPr>
        <w:tc>
          <w:tcPr>
            <w:tcW w:type="dxa" w:w="3821"/>
            <w:tcMar>
              <w:top w:w="30" w:type="dxa"/>
              <w:bottom w:w="30" w:type="dxa"/>
              <w:left w:w="80" w:type="dxa"/>
              <w:right w:w="80" w:type="dxa"/>
            </w:tcMar>
            <w:shd w:val="clear" w:color="auto" w:fill="F2F6FB"/>
          </w:tcPr>
          <w:p>
            <w:pPr>
              <w:spacing w:after="0" w:line="240" w:lineRule="auto"/>
            </w:pPr>
            <w:r>
              <w:rPr>
                <w:b w:val="0"/>
                <w:i w:val="0"/>
                <w:sz w:val="20"/>
              </w:rPr>
              <w:t>500 euro notes for a trip</w:t>
            </w:r>
          </w:p>
        </w:tc>
        <w:tc>
          <w:tcPr>
            <w:tcW w:type="dxa" w:w="1318"/>
            <w:tcMar>
              <w:top w:w="30" w:type="dxa"/>
              <w:bottom w:w="30" w:type="dxa"/>
              <w:left w:w="80" w:type="dxa"/>
              <w:right w:w="80" w:type="dxa"/>
            </w:tcMar>
            <w:shd w:val="clear" w:color="auto" w:fill="F2F6FB"/>
          </w:tcPr>
          <w:p>
            <w:pPr>
              <w:spacing w:after="0" w:line="240" w:lineRule="auto"/>
            </w:pPr>
            <w:r>
              <w:rPr>
                <w:b w:val="0"/>
                <w:i w:val="0"/>
                <w:sz w:val="20"/>
              </w:rPr>
              <w:t>Depends</w:t>
            </w:r>
          </w:p>
        </w:tc>
        <w:tc>
          <w:tcPr>
            <w:tcW w:type="dxa" w:w="5373"/>
            <w:tcMar>
              <w:top w:w="30" w:type="dxa"/>
              <w:bottom w:w="30" w:type="dxa"/>
              <w:left w:w="80" w:type="dxa"/>
              <w:right w:w="80" w:type="dxa"/>
            </w:tcMar>
            <w:shd w:val="clear" w:color="auto" w:fill="F2F6FB"/>
          </w:tcPr>
          <w:p>
            <w:pPr>
              <w:spacing w:after="0" w:line="240" w:lineRule="auto"/>
            </w:pPr>
            <w:r>
              <w:rPr>
                <w:b w:val="0"/>
                <w:i w:val="0"/>
                <w:sz w:val="20"/>
              </w:rPr>
              <w:t>Currency bought as a commodity vs. as money</w:t>
            </w:r>
          </w:p>
        </w:tc>
      </w:tr>
      <w:tr>
        <w:trPr>
          <w:cantSplit w:val="true"/>
        </w:trPr>
        <w:tc>
          <w:tcPr>
            <w:tcW w:type="dxa" w:w="3821"/>
            <w:tcMar>
              <w:top w:w="30" w:type="dxa"/>
              <w:bottom w:w="30" w:type="dxa"/>
              <w:left w:w="80" w:type="dxa"/>
              <w:right w:w="80" w:type="dxa"/>
            </w:tcMar>
          </w:tcPr>
          <w:p>
            <w:pPr>
              <w:spacing w:after="0" w:line="240" w:lineRule="auto"/>
            </w:pPr>
            <w:r>
              <w:rPr>
                <w:b w:val="0"/>
                <w:i w:val="0"/>
                <w:sz w:val="20"/>
              </w:rPr>
              <w:t>Yen credited to a brokerage account</w:t>
            </w:r>
          </w:p>
        </w:tc>
        <w:tc>
          <w:tcPr>
            <w:tcW w:type="dxa" w:w="1318"/>
            <w:tcMar>
              <w:top w:w="30" w:type="dxa"/>
              <w:bottom w:w="30" w:type="dxa"/>
              <w:left w:w="80" w:type="dxa"/>
              <w:right w:w="80" w:type="dxa"/>
            </w:tcMar>
          </w:tcPr>
          <w:p>
            <w:pPr>
              <w:spacing w:after="0" w:line="240" w:lineRule="auto"/>
            </w:pPr>
            <w:r>
              <w:rPr>
                <w:b w:val="0"/>
                <w:i w:val="0"/>
                <w:sz w:val="20"/>
              </w:rPr>
              <w:t>Unlikely</w:t>
            </w:r>
          </w:p>
        </w:tc>
        <w:tc>
          <w:tcPr>
            <w:tcW w:type="dxa" w:w="5373"/>
            <w:tcMar>
              <w:top w:w="30" w:type="dxa"/>
              <w:bottom w:w="30" w:type="dxa"/>
              <w:left w:w="80" w:type="dxa"/>
              <w:right w:w="80" w:type="dxa"/>
            </w:tcMar>
          </w:tcPr>
          <w:p>
            <w:pPr>
              <w:spacing w:after="0" w:line="240" w:lineRule="auto"/>
            </w:pPr>
            <w:r>
              <w:rPr>
                <w:b w:val="0"/>
                <w:i w:val="0"/>
                <w:sz w:val="20"/>
              </w:rPr>
              <w:t>Not a movable thing — a financial asset/thing in action</w:t>
            </w:r>
          </w:p>
        </w:tc>
      </w:tr>
      <w:tr>
        <w:trPr>
          <w:cantSplit w:val="true"/>
        </w:trPr>
        <w:tc>
          <w:tcPr>
            <w:tcW w:type="dxa" w:w="3821"/>
            <w:tcMar>
              <w:top w:w="30" w:type="dxa"/>
              <w:bottom w:w="30" w:type="dxa"/>
              <w:left w:w="80" w:type="dxa"/>
              <w:right w:w="80" w:type="dxa"/>
            </w:tcMar>
            <w:shd w:val="clear" w:color="auto" w:fill="F2F6FB"/>
          </w:tcPr>
          <w:p>
            <w:pPr>
              <w:spacing w:after="0" w:line="240" w:lineRule="auto"/>
            </w:pPr>
            <w:r>
              <w:rPr>
                <w:b w:val="0"/>
                <w:i w:val="0"/>
                <w:sz w:val="20"/>
              </w:rPr>
              <w:t>Lottery ticket</w:t>
            </w:r>
          </w:p>
        </w:tc>
        <w:tc>
          <w:tcPr>
            <w:tcW w:type="dxa" w:w="1318"/>
            <w:tcMar>
              <w:top w:w="30" w:type="dxa"/>
              <w:bottom w:w="30" w:type="dxa"/>
              <w:left w:w="80" w:type="dxa"/>
              <w:right w:w="80" w:type="dxa"/>
            </w:tcMar>
            <w:shd w:val="clear" w:color="auto" w:fill="F2F6FB"/>
          </w:tcPr>
          <w:p>
            <w:pPr>
              <w:spacing w:after="0" w:line="240" w:lineRule="auto"/>
            </w:pPr>
            <w:r>
              <w:rPr>
                <w:b w:val="0"/>
                <w:i w:val="0"/>
                <w:sz w:val="20"/>
              </w:rPr>
              <w:t>✗</w:t>
            </w:r>
          </w:p>
        </w:tc>
        <w:tc>
          <w:tcPr>
            <w:tcW w:type="dxa" w:w="5373"/>
            <w:tcMar>
              <w:top w:w="30" w:type="dxa"/>
              <w:bottom w:w="30" w:type="dxa"/>
              <w:left w:w="80" w:type="dxa"/>
              <w:right w:w="80" w:type="dxa"/>
            </w:tcMar>
            <w:shd w:val="clear" w:color="auto" w:fill="F2F6FB"/>
          </w:tcPr>
          <w:p>
            <w:pPr>
              <w:spacing w:after="0" w:line="240" w:lineRule="auto"/>
            </w:pPr>
            <w:r>
              <w:rPr>
                <w:b w:val="0"/>
                <w:i w:val="0"/>
                <w:sz w:val="20"/>
              </w:rPr>
              <w:t>Thing in action</w:t>
            </w:r>
          </w:p>
        </w:tc>
      </w:tr>
      <w:tr>
        <w:trPr>
          <w:cantSplit w:val="true"/>
        </w:trPr>
        <w:tc>
          <w:tcPr>
            <w:tcW w:type="dxa" w:w="3821"/>
            <w:tcMar>
              <w:top w:w="30" w:type="dxa"/>
              <w:bottom w:w="30" w:type="dxa"/>
              <w:left w:w="80" w:type="dxa"/>
              <w:right w:w="80" w:type="dxa"/>
            </w:tcMar>
          </w:tcPr>
          <w:p>
            <w:pPr>
              <w:spacing w:after="0" w:line="240" w:lineRule="auto"/>
            </w:pPr>
            <w:r>
              <w:rPr>
                <w:b w:val="0"/>
                <w:i w:val="0"/>
                <w:sz w:val="20"/>
              </w:rPr>
              <w:t>Microsoft stock (certificated)</w:t>
            </w:r>
          </w:p>
        </w:tc>
        <w:tc>
          <w:tcPr>
            <w:tcW w:type="dxa" w:w="1318"/>
            <w:tcMar>
              <w:top w:w="30" w:type="dxa"/>
              <w:bottom w:w="30" w:type="dxa"/>
              <w:left w:w="80" w:type="dxa"/>
              <w:right w:w="80" w:type="dxa"/>
            </w:tcMar>
          </w:tcPr>
          <w:p>
            <w:pPr>
              <w:spacing w:after="0" w:line="240" w:lineRule="auto"/>
            </w:pPr>
            <w:r>
              <w:rPr>
                <w:b w:val="0"/>
                <w:i w:val="0"/>
                <w:sz w:val="20"/>
              </w:rPr>
              <w:t>✗</w:t>
            </w:r>
          </w:p>
        </w:tc>
        <w:tc>
          <w:tcPr>
            <w:tcW w:type="dxa" w:w="5373"/>
            <w:tcMar>
              <w:top w:w="30" w:type="dxa"/>
              <w:bottom w:w="30" w:type="dxa"/>
              <w:left w:w="80" w:type="dxa"/>
              <w:right w:w="80" w:type="dxa"/>
            </w:tcMar>
          </w:tcPr>
          <w:p>
            <w:pPr>
              <w:spacing w:after="0" w:line="240" w:lineRule="auto"/>
            </w:pPr>
            <w:r>
              <w:rPr>
                <w:b w:val="0"/>
                <w:i w:val="0"/>
                <w:sz w:val="20"/>
              </w:rPr>
              <w:t>Investment security</w:t>
            </w:r>
          </w:p>
        </w:tc>
      </w:tr>
      <w:tr>
        <w:trPr>
          <w:cantSplit w:val="true"/>
        </w:trPr>
        <w:tc>
          <w:tcPr>
            <w:tcW w:type="dxa" w:w="3821"/>
            <w:tcMar>
              <w:top w:w="30" w:type="dxa"/>
              <w:bottom w:w="30" w:type="dxa"/>
              <w:left w:w="80" w:type="dxa"/>
              <w:right w:w="80" w:type="dxa"/>
            </w:tcMar>
            <w:shd w:val="clear" w:color="auto" w:fill="F2F6FB"/>
          </w:tcPr>
          <w:p>
            <w:pPr>
              <w:spacing w:after="0" w:line="240" w:lineRule="auto"/>
            </w:pPr>
            <w:r>
              <w:rPr>
                <w:b w:val="0"/>
                <w:i w:val="0"/>
                <w:sz w:val="20"/>
              </w:rPr>
              <w:t>Building — seller removes it</w:t>
            </w:r>
          </w:p>
        </w:tc>
        <w:tc>
          <w:tcPr>
            <w:tcW w:type="dxa" w:w="1318"/>
            <w:tcMar>
              <w:top w:w="30" w:type="dxa"/>
              <w:bottom w:w="30" w:type="dxa"/>
              <w:left w:w="80" w:type="dxa"/>
              <w:right w:w="80" w:type="dxa"/>
            </w:tcMar>
            <w:shd w:val="clear" w:color="auto" w:fill="F2F6FB"/>
          </w:tcPr>
          <w:p>
            <w:pPr>
              <w:spacing w:after="0" w:line="240" w:lineRule="auto"/>
            </w:pPr>
            <w:r>
              <w:rPr>
                <w:b w:val="0"/>
                <w:i w:val="0"/>
                <w:sz w:val="20"/>
              </w:rPr>
              <w:t>✓</w:t>
            </w:r>
          </w:p>
        </w:tc>
        <w:tc>
          <w:tcPr>
            <w:tcW w:type="dxa" w:w="5373"/>
            <w:tcMar>
              <w:top w:w="30" w:type="dxa"/>
              <w:bottom w:w="30" w:type="dxa"/>
              <w:left w:w="80" w:type="dxa"/>
              <w:right w:w="80" w:type="dxa"/>
            </w:tcMar>
            <w:shd w:val="clear" w:color="auto" w:fill="F2F6FB"/>
          </w:tcPr>
          <w:p>
            <w:pPr>
              <w:spacing w:after="0" w:line="240" w:lineRule="auto"/>
            </w:pPr>
            <w:r>
              <w:rPr>
                <w:b w:val="0"/>
                <w:i w:val="0"/>
                <w:sz w:val="20"/>
              </w:rPr>
              <w:t>Structure severed by seller (§ 2-107(1))</w:t>
            </w:r>
          </w:p>
        </w:tc>
      </w:tr>
      <w:tr>
        <w:trPr>
          <w:cantSplit w:val="true"/>
        </w:trPr>
        <w:tc>
          <w:tcPr>
            <w:tcW w:type="dxa" w:w="3821"/>
            <w:tcMar>
              <w:top w:w="30" w:type="dxa"/>
              <w:bottom w:w="30" w:type="dxa"/>
              <w:left w:w="80" w:type="dxa"/>
              <w:right w:w="80" w:type="dxa"/>
            </w:tcMar>
          </w:tcPr>
          <w:p>
            <w:pPr>
              <w:spacing w:after="0" w:line="240" w:lineRule="auto"/>
            </w:pPr>
            <w:r>
              <w:rPr>
                <w:b w:val="0"/>
                <w:i w:val="0"/>
                <w:sz w:val="20"/>
              </w:rPr>
              <w:t>Timber — buyer cuts</w:t>
            </w:r>
          </w:p>
        </w:tc>
        <w:tc>
          <w:tcPr>
            <w:tcW w:type="dxa" w:w="1318"/>
            <w:tcMar>
              <w:top w:w="30" w:type="dxa"/>
              <w:bottom w:w="30" w:type="dxa"/>
              <w:left w:w="80" w:type="dxa"/>
              <w:right w:w="80" w:type="dxa"/>
            </w:tcMar>
          </w:tcPr>
          <w:p>
            <w:pPr>
              <w:spacing w:after="0" w:line="240" w:lineRule="auto"/>
            </w:pPr>
            <w:r>
              <w:rPr>
                <w:b w:val="0"/>
                <w:i w:val="0"/>
                <w:sz w:val="20"/>
              </w:rPr>
              <w:t>✓</w:t>
            </w:r>
          </w:p>
        </w:tc>
        <w:tc>
          <w:tcPr>
            <w:tcW w:type="dxa" w:w="5373"/>
            <w:tcMar>
              <w:top w:w="30" w:type="dxa"/>
              <w:bottom w:w="30" w:type="dxa"/>
              <w:left w:w="80" w:type="dxa"/>
              <w:right w:w="80" w:type="dxa"/>
            </w:tcMar>
          </w:tcPr>
          <w:p>
            <w:pPr>
              <w:spacing w:after="0" w:line="240" w:lineRule="auto"/>
            </w:pPr>
            <w:r>
              <w:rPr>
                <w:b w:val="0"/>
                <w:i w:val="0"/>
                <w:sz w:val="20"/>
              </w:rPr>
              <w:t>Timber is goods regardless (§ 2-107(2))</w:t>
            </w:r>
          </w:p>
        </w:tc>
      </w:tr>
      <w:tr>
        <w:trPr>
          <w:cantSplit w:val="true"/>
        </w:trPr>
        <w:tc>
          <w:tcPr>
            <w:tcW w:type="dxa" w:w="3821"/>
            <w:tcMar>
              <w:top w:w="30" w:type="dxa"/>
              <w:bottom w:w="30" w:type="dxa"/>
              <w:left w:w="80" w:type="dxa"/>
              <w:right w:w="80" w:type="dxa"/>
            </w:tcMar>
            <w:shd w:val="clear" w:color="auto" w:fill="F2F6FB"/>
          </w:tcPr>
          <w:p>
            <w:pPr>
              <w:spacing w:after="0" w:line="240" w:lineRule="auto"/>
            </w:pPr>
            <w:r>
              <w:rPr>
                <w:b w:val="0"/>
                <w:i w:val="0"/>
                <w:sz w:val="20"/>
              </w:rPr>
              <w:t>Oil &amp; gas — buyer extracts</w:t>
            </w:r>
          </w:p>
        </w:tc>
        <w:tc>
          <w:tcPr>
            <w:tcW w:type="dxa" w:w="1318"/>
            <w:tcMar>
              <w:top w:w="30" w:type="dxa"/>
              <w:bottom w:w="30" w:type="dxa"/>
              <w:left w:w="80" w:type="dxa"/>
              <w:right w:w="80" w:type="dxa"/>
            </w:tcMar>
            <w:shd w:val="clear" w:color="auto" w:fill="F2F6FB"/>
          </w:tcPr>
          <w:p>
            <w:pPr>
              <w:spacing w:after="0" w:line="240" w:lineRule="auto"/>
            </w:pPr>
            <w:r>
              <w:rPr>
                <w:b w:val="0"/>
                <w:i w:val="0"/>
                <w:sz w:val="20"/>
              </w:rPr>
              <w:t>✗</w:t>
            </w:r>
          </w:p>
        </w:tc>
        <w:tc>
          <w:tcPr>
            <w:tcW w:type="dxa" w:w="5373"/>
            <w:tcMar>
              <w:top w:w="30" w:type="dxa"/>
              <w:bottom w:w="30" w:type="dxa"/>
              <w:left w:w="80" w:type="dxa"/>
              <w:right w:w="80" w:type="dxa"/>
            </w:tcMar>
            <w:shd w:val="clear" w:color="auto" w:fill="F2F6FB"/>
          </w:tcPr>
          <w:p>
            <w:pPr>
              <w:spacing w:after="0" w:line="240" w:lineRule="auto"/>
            </w:pPr>
            <w:r>
              <w:rPr>
                <w:b w:val="0"/>
                <w:i w:val="0"/>
                <w:sz w:val="20"/>
              </w:rPr>
              <w:t>Minerals are goods only if seller severs</w:t>
            </w:r>
          </w:p>
        </w:tc>
      </w:tr>
    </w:tbl>
    <w:p>
      <w:pPr>
        <w:spacing w:after="0" w:line="120" w:lineRule="exact"/>
      </w:pPr>
    </w:p>
    <w:p>
      <w:pPr>
        <w:keepNext/>
        <w:spacing w:before="120" w:after="40"/>
        <w:pBdr>
          <w:bottom w:val="single" w:sz="6" w:space="1" w:color="8EAADB"/>
        </w:pBdr>
      </w:pPr>
      <w:r>
        <w:rPr>
          <w:b/>
          <w:i w:val="0"/>
          <w:color w:val="1F3A5F"/>
          <w:sz w:val="25"/>
        </w:rPr>
        <w:t>Hybrid transactions (goods + services/other property)</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2322"/>
        <w:gridCol w:w="2812"/>
        <w:gridCol w:w="5376"/>
      </w:tblGrid>
      <w:tr>
        <w:trPr>
          <w:tblHeader w:val="true"/>
        </w:trPr>
        <w:tc>
          <w:tcPr>
            <w:tcW w:type="dxa" w:w="2323"/>
            <w:shd w:val="clear" w:color="auto" w:fill="1F3A5F"/>
            <w:tcMar>
              <w:top w:w="40" w:type="dxa"/>
              <w:bottom w:w="40" w:type="dxa"/>
              <w:left w:w="80" w:type="dxa"/>
              <w:right w:w="80" w:type="dxa"/>
            </w:tcMar>
          </w:tcPr>
          <w:p>
            <w:pPr>
              <w:spacing w:after="0"/>
            </w:pPr>
            <w:r>
              <w:rPr>
                <w:b/>
                <w:i w:val="0"/>
                <w:color w:val="FFFFFF"/>
                <w:sz w:val="20"/>
              </w:rPr>
              <w:t>Test</w:t>
            </w:r>
          </w:p>
        </w:tc>
        <w:tc>
          <w:tcPr>
            <w:tcW w:type="dxa" w:w="2813"/>
            <w:shd w:val="clear" w:color="auto" w:fill="1F3A5F"/>
            <w:tcMar>
              <w:top w:w="40" w:type="dxa"/>
              <w:bottom w:w="40" w:type="dxa"/>
              <w:left w:w="80" w:type="dxa"/>
              <w:right w:w="80" w:type="dxa"/>
            </w:tcMar>
          </w:tcPr>
          <w:p>
            <w:pPr>
              <w:spacing w:after="0"/>
            </w:pPr>
            <w:r>
              <w:rPr>
                <w:b/>
                <w:i w:val="0"/>
                <w:color w:val="FFFFFF"/>
                <w:sz w:val="20"/>
              </w:rPr>
              <w:t>Question</w:t>
            </w:r>
          </w:p>
        </w:tc>
        <w:tc>
          <w:tcPr>
            <w:tcW w:type="dxa" w:w="5377"/>
            <w:shd w:val="clear" w:color="auto" w:fill="1F3A5F"/>
            <w:tcMar>
              <w:top w:w="40" w:type="dxa"/>
              <w:bottom w:w="40" w:type="dxa"/>
              <w:left w:w="80" w:type="dxa"/>
              <w:right w:w="80" w:type="dxa"/>
            </w:tcMar>
          </w:tcPr>
          <w:p>
            <w:pPr>
              <w:spacing w:after="0"/>
            </w:pPr>
            <w:r>
              <w:rPr>
                <w:b/>
                <w:i w:val="0"/>
                <w:color w:val="FFFFFF"/>
                <w:sz w:val="20"/>
              </w:rPr>
              <w:t>Notes</w:t>
            </w:r>
          </w:p>
        </w:tc>
      </w:tr>
      <w:tr>
        <w:trPr>
          <w:cantSplit w:val="true"/>
        </w:trPr>
        <w:tc>
          <w:tcPr>
            <w:tcW w:type="dxa" w:w="2323"/>
            <w:tcMar>
              <w:top w:w="30" w:type="dxa"/>
              <w:bottom w:w="30" w:type="dxa"/>
              <w:left w:w="80" w:type="dxa"/>
              <w:right w:w="80" w:type="dxa"/>
            </w:tcMar>
          </w:tcPr>
          <w:p>
            <w:pPr>
              <w:spacing w:after="0" w:line="240" w:lineRule="auto"/>
            </w:pPr>
            <w:r>
              <w:rPr>
                <w:b/>
                <w:i w:val="0"/>
                <w:sz w:val="20"/>
              </w:rPr>
              <w:t>Predominant purpose</w:t>
            </w:r>
            <w:r>
              <w:rPr>
                <w:b w:val="0"/>
                <w:i w:val="0"/>
                <w:sz w:val="20"/>
              </w:rPr>
              <w:t xml:space="preserve"> (majority, pre-2022)</w:t>
            </w:r>
          </w:p>
        </w:tc>
        <w:tc>
          <w:tcPr>
            <w:tcW w:type="dxa" w:w="2813"/>
            <w:tcMar>
              <w:top w:w="30" w:type="dxa"/>
              <w:bottom w:w="30" w:type="dxa"/>
              <w:left w:w="80" w:type="dxa"/>
              <w:right w:w="80" w:type="dxa"/>
            </w:tcMar>
          </w:tcPr>
          <w:p>
            <w:pPr>
              <w:spacing w:after="0" w:line="240" w:lineRule="auto"/>
            </w:pPr>
            <w:r>
              <w:rPr>
                <w:b w:val="0"/>
                <w:i w:val="0"/>
                <w:sz w:val="20"/>
              </w:rPr>
              <w:t>Is the predominant purpose goods or services? All-or-nothing.</w:t>
            </w:r>
          </w:p>
        </w:tc>
        <w:tc>
          <w:tcPr>
            <w:tcW w:type="dxa" w:w="5377"/>
            <w:tcMar>
              <w:top w:w="30" w:type="dxa"/>
              <w:bottom w:w="30" w:type="dxa"/>
              <w:left w:w="80" w:type="dxa"/>
              <w:right w:w="80" w:type="dxa"/>
            </w:tcMar>
          </w:tcPr>
          <w:p>
            <w:pPr>
              <w:spacing w:after="0" w:line="240" w:lineRule="auto"/>
            </w:pPr>
            <w:r>
              <w:rPr>
                <w:b w:val="0"/>
                <w:i w:val="0"/>
                <w:sz w:val="20"/>
              </w:rPr>
              <w:t xml:space="preserve">Factors: </w:t>
            </w:r>
            <w:r>
              <w:rPr>
                <w:b/>
                <w:i w:val="0"/>
                <w:sz w:val="20"/>
              </w:rPr>
              <w:t>contract language · nature of supplier's business · relative value of goods vs. services · whether applying Art. 2 makes sense.</w:t>
            </w:r>
            <w:r>
              <w:rPr>
                <w:b w:val="0"/>
                <w:i w:val="0"/>
                <w:sz w:val="20"/>
              </w:rPr>
              <w:t xml:space="preserve"> Hard to apply; why should services insulate goods from warranties?</w:t>
            </w:r>
          </w:p>
        </w:tc>
      </w:tr>
      <w:tr>
        <w:trPr>
          <w:cantSplit w:val="true"/>
        </w:trPr>
        <w:tc>
          <w:tcPr>
            <w:tcW w:type="dxa" w:w="2323"/>
            <w:tcMar>
              <w:top w:w="30" w:type="dxa"/>
              <w:bottom w:w="30" w:type="dxa"/>
              <w:left w:w="80" w:type="dxa"/>
              <w:right w:w="80" w:type="dxa"/>
            </w:tcMar>
            <w:shd w:val="clear" w:color="auto" w:fill="F2F6FB"/>
          </w:tcPr>
          <w:p>
            <w:pPr>
              <w:spacing w:after="0" w:line="240" w:lineRule="auto"/>
            </w:pPr>
            <w:r>
              <w:rPr>
                <w:b/>
                <w:i w:val="0"/>
                <w:sz w:val="20"/>
              </w:rPr>
              <w:t>Gravamen of the claim</w:t>
            </w:r>
            <w:r>
              <w:rPr>
                <w:b w:val="0"/>
                <w:i w:val="0"/>
                <w:sz w:val="20"/>
              </w:rPr>
              <w:t xml:space="preserve"> (Anthony Pools, Md.)</w:t>
            </w:r>
          </w:p>
        </w:tc>
        <w:tc>
          <w:tcPr>
            <w:tcW w:type="dxa" w:w="2813"/>
            <w:tcMar>
              <w:top w:w="30" w:type="dxa"/>
              <w:bottom w:w="30" w:type="dxa"/>
              <w:left w:w="80" w:type="dxa"/>
              <w:right w:w="80" w:type="dxa"/>
            </w:tcMar>
            <w:shd w:val="clear" w:color="auto" w:fill="F2F6FB"/>
          </w:tcPr>
          <w:p>
            <w:pPr>
              <w:spacing w:after="0" w:line="240" w:lineRule="auto"/>
            </w:pPr>
            <w:r>
              <w:rPr>
                <w:b w:val="0"/>
                <w:i w:val="0"/>
                <w:sz w:val="20"/>
              </w:rPr>
              <w:t xml:space="preserve">Does the </w:t>
            </w:r>
            <w:r>
              <w:rPr>
                <w:b/>
                <w:i w:val="0"/>
                <w:sz w:val="20"/>
              </w:rPr>
              <w:t>claim</w:t>
            </w:r>
            <w:r>
              <w:rPr>
                <w:b w:val="0"/>
                <w:i w:val="0"/>
                <w:sz w:val="20"/>
              </w:rPr>
              <w:t xml:space="preserve"> relate to the goods or the services?</w:t>
            </w:r>
          </w:p>
        </w:tc>
        <w:tc>
          <w:tcPr>
            <w:tcW w:type="dxa" w:w="5377"/>
            <w:tcMar>
              <w:top w:w="30" w:type="dxa"/>
              <w:bottom w:w="30" w:type="dxa"/>
              <w:left w:w="80" w:type="dxa"/>
              <w:right w:w="80" w:type="dxa"/>
            </w:tcMar>
            <w:shd w:val="clear" w:color="auto" w:fill="F2F6FB"/>
          </w:tcPr>
          <w:p>
            <w:pPr>
              <w:spacing w:after="0" w:line="240" w:lineRule="auto"/>
            </w:pPr>
            <w:r>
              <w:rPr>
                <w:b w:val="0"/>
                <w:i/>
                <w:sz w:val="20"/>
              </w:rPr>
              <w:t xml:space="preserve">Anthony Pools</w:t>
            </w:r>
            <w:r>
              <w:rPr>
                <w:b w:val="0"/>
                <w:i w:val="0"/>
                <w:sz w:val="20"/>
              </w:rPr>
              <w:t xml:space="preserve"> (note case, casebook p. 24): an unmerchantable </w:t>
            </w:r>
            <w:r>
              <w:rPr>
                <w:b/>
                <w:i w:val="0"/>
                <w:sz w:val="20"/>
              </w:rPr>
              <w:t xml:space="preserve">diving board</w:t>
            </w:r>
            <w:r>
              <w:rPr>
                <w:b w:val="0"/>
                <w:i w:val="0"/>
                <w:sz w:val="20"/>
              </w:rPr>
              <w:t xml:space="preserve">, supplied under a pool-construction contract in which services predominated, caused personal injuries → </w:t>
            </w:r>
            <w:r>
              <w:rPr>
                <w:b/>
                <w:i w:val="0"/>
                <w:sz w:val="20"/>
              </w:rPr>
              <w:t xml:space="preserve">Art. 2 applied</w:t>
            </w:r>
            <w:r>
              <w:rPr>
                <w:b w:val="0"/>
                <w:i w:val="0"/>
                <w:sz w:val="20"/>
              </w:rPr>
              <w:t xml:space="preserve"> to impose the merchantability warranty and to test the disclaimer. </w:t>
            </w:r>
            <w:r>
              <w:rPr>
                <w:b w:val="0"/>
                <w:i/>
                <w:color w:val="64748B"/>
                <w:sz w:val="20"/>
              </w:rPr>
              <w:t xml:space="preserve">Outside class materials: the homeowner slipped off the board.</w:t>
            </w:r>
            <w:r>
              <w:rPr>
                <w:b w:val="0"/>
                <w:i w:val="0"/>
                <w:sz w:val="20"/>
              </w:rPr>
              <w:t xml:space="preserve"> Hard to apply (contact lenses — bad lens or bad exam?); multiple statutes of limitations may apply to one deal. Little traction.</w:t>
            </w:r>
          </w:p>
        </w:tc>
      </w:tr>
      <w:tr>
        <w:trPr>
          <w:cantSplit w:val="true"/>
        </w:trPr>
        <w:tc>
          <w:tcPr>
            <w:tcW w:type="dxa" w:w="2323"/>
            <w:tcMar>
              <w:top w:w="30" w:type="dxa"/>
              <w:bottom w:w="30" w:type="dxa"/>
              <w:left w:w="80" w:type="dxa"/>
              <w:right w:w="80" w:type="dxa"/>
            </w:tcMar>
          </w:tcPr>
          <w:p>
            <w:pPr>
              <w:spacing w:after="0" w:line="240" w:lineRule="auto"/>
            </w:pPr>
            <w:r>
              <w:rPr>
                <w:b/>
                <w:i w:val="0"/>
                <w:sz w:val="20"/>
              </w:rPr>
              <w:t>2022 Amendments — § 2-102(2)</w:t>
            </w:r>
          </w:p>
        </w:tc>
        <w:tc>
          <w:tcPr>
            <w:tcW w:type="dxa" w:w="2813"/>
            <w:tcMar>
              <w:top w:w="30" w:type="dxa"/>
              <w:bottom w:w="30" w:type="dxa"/>
              <w:left w:w="80" w:type="dxa"/>
              <w:right w:w="80" w:type="dxa"/>
            </w:tcMar>
          </w:tcPr>
          <w:p>
            <w:pPr>
              <w:spacing w:after="0" w:line="240" w:lineRule="auto"/>
            </w:pPr>
            <w:r>
              <w:rPr>
                <w:b w:val="0"/>
                <w:i w:val="0"/>
                <w:sz w:val="20"/>
              </w:rPr>
              <w:t>Two tiers</w:t>
            </w:r>
          </w:p>
        </w:tc>
        <w:tc>
          <w:tcPr>
            <w:tcW w:type="dxa" w:w="5377"/>
            <w:tcMar>
              <w:top w:w="30" w:type="dxa"/>
              <w:bottom w:w="30" w:type="dxa"/>
              <w:left w:w="80" w:type="dxa"/>
              <w:right w:w="80" w:type="dxa"/>
            </w:tcMar>
          </w:tcPr>
          <w:p>
            <w:pPr>
              <w:spacing w:after="0" w:line="240" w:lineRule="auto"/>
            </w:pPr>
            <w:r>
              <w:rPr>
                <w:b/>
                <w:i w:val="0"/>
                <w:sz w:val="20"/>
              </w:rPr>
              <w:t>Goods predominate</w:t>
            </w:r>
            <w:r>
              <w:rPr>
                <w:b w:val="0"/>
                <w:i w:val="0"/>
                <w:sz w:val="20"/>
              </w:rPr>
              <w:t xml:space="preserve"> → Art. 2 applies. </w:t>
            </w:r>
            <w:r>
              <w:rPr>
                <w:b/>
                <w:i w:val="0"/>
                <w:sz w:val="20"/>
              </w:rPr>
              <w:t>Goods don't predominate</w:t>
            </w:r>
            <w:r>
              <w:rPr>
                <w:b w:val="0"/>
                <w:i w:val="0"/>
                <w:sz w:val="20"/>
              </w:rPr>
              <w:t xml:space="preserve"> → only provisions relating </w:t>
            </w:r>
            <w:r>
              <w:rPr>
                <w:b/>
                <w:i w:val="0"/>
                <w:sz w:val="20"/>
              </w:rPr>
              <w:t>primarily to the goods</w:t>
            </w:r>
            <w:r>
              <w:rPr>
                <w:b w:val="0"/>
                <w:i w:val="0"/>
                <w:sz w:val="20"/>
              </w:rPr>
              <w:t xml:space="preserve"> apply.</w:t>
            </w:r>
          </w:p>
        </w:tc>
      </w:tr>
    </w:tbl>
    <w:p>
      <w:pPr>
        <w:spacing w:after="0" w:line="120" w:lineRule="exact"/>
      </w:pPr>
    </w:p>
    <w:p>
      <w:pPr>
        <w:pStyle w:val="ListBullet"/>
      </w:pPr>
      <w:r>
        <w:rPr>
          <w:b/>
          <w:i w:val="0"/>
        </w:rPr>
        <w:t>§ 2-106(5) "hybrid transaction":</w:t>
      </w:r>
      <w:r>
        <w:rPr>
          <w:b w:val="0"/>
          <w:i w:val="0"/>
        </w:rPr>
        <w:t xml:space="preserve"> a sale of goods </w:t>
      </w:r>
      <w:r>
        <w:rPr>
          <w:b/>
          <w:i w:val="0"/>
        </w:rPr>
        <w:t>plus</w:t>
      </w:r>
      <w:r>
        <w:rPr>
          <w:b w:val="0"/>
          <w:i w:val="0"/>
        </w:rPr>
        <w:t xml:space="preserve"> services, a lease of other goods, or a sale/lease/license of non-goods property (provided by the seller).</w:t>
      </w:r>
    </w:p>
    <w:p>
      <w:pPr>
        <w:pStyle w:val="ListBullet"/>
      </w:pPr>
      <w:r>
        <w:rPr>
          <w:b/>
          <w:i w:val="0"/>
        </w:rPr>
        <w:t>Still apply when goods don't predominate (cmt. 5):</w:t>
      </w:r>
      <w:r>
        <w:rPr>
          <w:b w:val="0"/>
          <w:i w:val="0"/>
        </w:rPr>
        <w:t xml:space="preserve"> </w:t>
      </w:r>
      <w:r>
        <w:rPr>
          <w:b/>
          <w:i w:val="0"/>
        </w:rPr>
        <w:t>warranties</w:t>
      </w:r>
      <w:r>
        <w:rPr>
          <w:b w:val="0"/>
          <w:i w:val="0"/>
        </w:rPr>
        <w:t xml:space="preserve"> (§§ 2-312–2-318), </w:t>
      </w:r>
      <w:r>
        <w:rPr>
          <w:b/>
          <w:i w:val="0"/>
        </w:rPr>
        <w:t>tender &amp; risk of loss</w:t>
      </w:r>
      <w:r>
        <w:rPr>
          <w:b w:val="0"/>
          <w:i w:val="0"/>
        </w:rPr>
        <w:t xml:space="preserve">, </w:t>
      </w:r>
      <w:r>
        <w:rPr>
          <w:b/>
          <w:i w:val="0"/>
        </w:rPr>
        <w:t>acceptance/rejection/cure</w:t>
      </w:r>
      <w:r>
        <w:rPr>
          <w:b w:val="0"/>
          <w:i w:val="0"/>
        </w:rPr>
        <w:t xml:space="preserve">, buyer's remedies for nondelivery/nonconforming goods. </w:t>
      </w:r>
      <w:r>
        <w:rPr>
          <w:b/>
          <w:i w:val="0"/>
        </w:rPr>
        <w:t>Don't apply:</w:t>
      </w:r>
      <w:r>
        <w:rPr>
          <w:b w:val="0"/>
          <w:i w:val="0"/>
        </w:rPr>
        <w:t xml:space="preserve"> </w:t>
      </w:r>
      <w:r>
        <w:rPr>
          <w:b/>
          <w:i w:val="0"/>
        </w:rPr>
        <w:t>§ 2-201</w:t>
      </w:r>
      <w:r>
        <w:rPr>
          <w:b w:val="0"/>
          <w:i w:val="0"/>
        </w:rPr>
        <w:t xml:space="preserve">, </w:t>
      </w:r>
      <w:r>
        <w:rPr>
          <w:b/>
          <w:i w:val="0"/>
        </w:rPr>
        <w:t>§§ 2-204–2-207</w:t>
      </w:r>
      <w:r>
        <w:rPr>
          <w:b w:val="0"/>
          <w:i w:val="0"/>
        </w:rPr>
        <w:t xml:space="preserve">, </w:t>
      </w:r>
      <w:r>
        <w:rPr>
          <w:b/>
          <w:i w:val="0"/>
        </w:rPr>
        <w:t>§ 2-209</w:t>
      </w:r>
      <w:r>
        <w:rPr>
          <w:b w:val="0"/>
          <w:i w:val="0"/>
        </w:rPr>
        <w:t>.</w:t>
      </w:r>
    </w:p>
    <w:p>
      <w:pPr>
        <w:pStyle w:val="ListBullet"/>
      </w:pPr>
      <w:r>
        <w:rPr>
          <w:b/>
          <w:i w:val="0"/>
        </w:rPr>
        <w:t>Predominance factors (cmt. 3):</w:t>
      </w:r>
      <w:r>
        <w:rPr>
          <w:b w:val="0"/>
          <w:i w:val="0"/>
        </w:rPr>
        <w:t xml:space="preserve"> agreement's language; </w:t>
      </w:r>
      <w:r>
        <w:rPr>
          <w:b/>
          <w:i w:val="0"/>
        </w:rPr>
        <w:t>share of price</w:t>
      </w:r>
      <w:r>
        <w:rPr>
          <w:b w:val="0"/>
          <w:i w:val="0"/>
        </w:rPr>
        <w:t xml:space="preserve"> for the goods (an agreed allocation usually binds); parties' purposes; nature of businesses. </w:t>
      </w:r>
      <w:r>
        <w:rPr>
          <w:b/>
          <w:i w:val="0"/>
        </w:rPr>
        <w:t>Manufacturing</w:t>
      </w:r>
      <w:r>
        <w:rPr>
          <w:b w:val="0"/>
          <w:i w:val="0"/>
        </w:rPr>
        <w:t xml:space="preserve"> services count toward goods; </w:t>
      </w:r>
      <w:r>
        <w:rPr>
          <w:b/>
          <w:i w:val="0"/>
        </w:rPr>
        <w:t>design</w:t>
      </w:r>
      <w:r>
        <w:rPr>
          <w:b w:val="0"/>
          <w:i w:val="0"/>
        </w:rPr>
        <w:t xml:space="preserve"> services don't.</w:t>
      </w:r>
    </w:p>
    <w:p>
      <w:pPr>
        <w:pStyle w:val="ListBullet"/>
      </w:pPr>
      <w:r>
        <w:rPr>
          <w:b/>
          <w:i w:val="0"/>
        </w:rPr>
        <w:t>Problem 1-2 (Speedy Offset prints &amp; binds 500 art books):</w:t>
      </w:r>
      <w:r>
        <w:rPr>
          <w:b w:val="0"/>
          <w:i w:val="0"/>
        </w:rPr>
        <w:t xml:space="preserve"> printing/binding = services in </w:t>
      </w:r>
      <w:r>
        <w:rPr>
          <w:b/>
          <w:i w:val="0"/>
        </w:rPr>
        <w:t>manufacturing</w:t>
      </w:r>
      <w:r>
        <w:rPr>
          <w:b w:val="0"/>
          <w:i w:val="0"/>
        </w:rPr>
        <w:t xml:space="preserve"> goods → goods predominate → </w:t>
      </w:r>
      <w:r>
        <w:rPr>
          <w:b/>
          <w:i w:val="0"/>
        </w:rPr>
        <w:t>Art. 2 applies</w:t>
      </w:r>
      <w:r>
        <w:rPr>
          <w:b w:val="0"/>
          <w:i w:val="0"/>
        </w:rPr>
        <w:t>; claims concern conformity of the books, so warranty rules apply either way.</w:t>
      </w:r>
    </w:p>
    <w:p>
      <w:pPr>
        <w:pStyle w:val="ListBullet"/>
      </w:pPr>
      <w:r>
        <w:rPr>
          <w:b/>
          <w:i w:val="0"/>
        </w:rPr>
        <w:t>Problem 1-4:</w:t>
      </w:r>
      <w:r>
        <w:rPr>
          <w:b w:val="0"/>
          <w:i w:val="0"/>
        </w:rPr>
        <w:t xml:space="preserve"> Art. 2 governs </w:t>
      </w:r>
      <w:r>
        <w:rPr>
          <w:b/>
          <w:i w:val="0"/>
        </w:rPr>
        <w:t>merchant→merchant, merchant→consumer, consumer→merchant, and consumer→consumer</w:t>
      </w:r>
      <w:r>
        <w:rPr>
          <w:b w:val="0"/>
          <w:i w:val="0"/>
        </w:rPr>
        <w:t xml:space="preserve"> (garage sale) — </w:t>
      </w:r>
      <w:r>
        <w:rPr>
          <w:b/>
          <w:i w:val="0"/>
        </w:rPr>
        <w:t>scope never depends on merchant status</w:t>
      </w:r>
      <w:r>
        <w:rPr>
          <w:b w:val="0"/>
          <w:i w:val="0"/>
        </w:rPr>
        <w:t>.</w:t>
      </w:r>
    </w:p>
    <w:p>
      <w:pPr>
        <w:pStyle w:val="ListBullet"/>
      </w:pPr>
      <w:r>
        <w:rPr>
          <w:b/>
          <w:i w:val="0"/>
        </w:rPr>
        <w:t>Disguised security interest:</w:t>
      </w:r>
      <w:r>
        <w:rPr>
          <w:b w:val="0"/>
          <w:i w:val="0"/>
        </w:rPr>
        <w:t xml:space="preserve"> a "sale" with a mandatory repurchase at a higher price is really a secured loan → </w:t>
      </w:r>
      <w:r>
        <w:rPr>
          <w:b/>
          <w:i w:val="0"/>
        </w:rPr>
        <w:t>Art. 9</w:t>
      </w:r>
      <w:r>
        <w:rPr>
          <w:b w:val="0"/>
          <w:i w:val="0"/>
        </w:rPr>
        <w:t>, not Art. 2 (§ 2-102(3)(a)).</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II. Formation</w:t>
            </w:r>
            <w:r>
              <w:rPr>
                <w:b/>
                <w:color w:val="C9D9EE"/>
                <w:sz w:val="16"/>
              </w:rPr>
              <w:t xml:space="preserve">    WEEK 1</w:t>
            </w:r>
          </w:p>
        </w:tc>
      </w:tr>
    </w:tbl>
    <w:p>
      <w:pPr>
        <w:keepNext/>
        <w:spacing w:after="0" w:line="80" w:lineRule="exact"/>
      </w:pPr>
    </w:p>
    <w:p>
      <w:pPr>
        <w:keepNext/>
        <w:spacing w:before="120" w:after="40"/>
        <w:pBdr>
          <w:bottom w:val="single" w:sz="6" w:space="1" w:color="8EAADB"/>
        </w:pBdr>
      </w:pPr>
      <w:r>
        <w:rPr>
          <w:b/>
          <w:i w:val="0"/>
          <w:color w:val="1F3A5F"/>
          <w:sz w:val="25"/>
        </w:rPr>
        <w:t>Common law vs. UCC; agreement vs. contract</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4288"/>
        <w:gridCol w:w="6223"/>
      </w:tblGrid>
      <w:tr>
        <w:trPr>
          <w:tblHeader w:val="true"/>
        </w:trPr>
        <w:tc>
          <w:tcPr>
            <w:tcW w:type="dxa" w:w="4289"/>
            <w:shd w:val="clear" w:color="auto" w:fill="1F3A5F"/>
            <w:tcMar>
              <w:top w:w="40" w:type="dxa"/>
              <w:bottom w:w="40" w:type="dxa"/>
              <w:left w:w="80" w:type="dxa"/>
              <w:right w:w="80" w:type="dxa"/>
            </w:tcMar>
          </w:tcPr>
          <w:p>
            <w:pPr>
              <w:spacing w:after="0"/>
            </w:pPr>
            <w:r>
              <w:rPr>
                <w:b/>
                <w:i w:val="0"/>
                <w:color w:val="FFFFFF"/>
                <w:sz w:val="20"/>
              </w:rPr>
              <w:t>Common law</w:t>
            </w:r>
          </w:p>
        </w:tc>
        <w:tc>
          <w:tcPr>
            <w:tcW w:type="dxa" w:w="6223"/>
            <w:shd w:val="clear" w:color="auto" w:fill="1F3A5F"/>
            <w:tcMar>
              <w:top w:w="40" w:type="dxa"/>
              <w:bottom w:w="40" w:type="dxa"/>
              <w:left w:w="80" w:type="dxa"/>
              <w:right w:w="80" w:type="dxa"/>
            </w:tcMar>
          </w:tcPr>
          <w:p>
            <w:pPr>
              <w:spacing w:after="0"/>
            </w:pPr>
            <w:r>
              <w:rPr>
                <w:b/>
                <w:i w:val="0"/>
                <w:color w:val="FFFFFF"/>
                <w:sz w:val="20"/>
              </w:rPr>
              <w:t>UCC Article 2</w:t>
            </w:r>
          </w:p>
        </w:tc>
      </w:tr>
      <w:tr>
        <w:trPr>
          <w:cantSplit w:val="true"/>
        </w:trPr>
        <w:tc>
          <w:tcPr>
            <w:tcW w:type="dxa" w:w="4289"/>
            <w:tcMar>
              <w:top w:w="30" w:type="dxa"/>
              <w:bottom w:w="30" w:type="dxa"/>
              <w:left w:w="80" w:type="dxa"/>
              <w:right w:w="80" w:type="dxa"/>
            </w:tcMar>
          </w:tcPr>
          <w:p>
            <w:pPr>
              <w:spacing w:after="0" w:line="240" w:lineRule="auto"/>
            </w:pPr>
            <w:r>
              <w:rPr>
                <w:b w:val="0"/>
                <w:i w:val="0"/>
                <w:sz w:val="20"/>
              </w:rPr>
              <w:t xml:space="preserve">Mutual assent; based on </w:t>
            </w:r>
            <w:r>
              <w:rPr>
                <w:b/>
                <w:i w:val="0"/>
                <w:sz w:val="20"/>
              </w:rPr>
              <w:t>promise</w:t>
            </w:r>
          </w:p>
        </w:tc>
        <w:tc>
          <w:tcPr>
            <w:tcW w:type="dxa" w:w="6223"/>
            <w:tcMar>
              <w:top w:w="30" w:type="dxa"/>
              <w:bottom w:w="30" w:type="dxa"/>
              <w:left w:w="80" w:type="dxa"/>
              <w:right w:w="80" w:type="dxa"/>
            </w:tcMar>
          </w:tcPr>
          <w:p>
            <w:pPr>
              <w:spacing w:after="0" w:line="240" w:lineRule="auto"/>
            </w:pPr>
            <w:r>
              <w:rPr>
                <w:b w:val="0"/>
                <w:i w:val="0"/>
                <w:sz w:val="20"/>
              </w:rPr>
              <w:t xml:space="preserve">Based on </w:t>
            </w:r>
            <w:r>
              <w:rPr>
                <w:b/>
                <w:i w:val="0"/>
                <w:sz w:val="20"/>
              </w:rPr>
              <w:t>bargain</w:t>
            </w:r>
            <w:r>
              <w:rPr>
                <w:b w:val="0"/>
                <w:i w:val="0"/>
                <w:sz w:val="20"/>
              </w:rPr>
              <w:t xml:space="preserve">, as to </w:t>
            </w:r>
            <w:r>
              <w:rPr>
                <w:b/>
                <w:i w:val="0"/>
                <w:sz w:val="20"/>
              </w:rPr>
              <w:t>goods</w:t>
            </w:r>
          </w:p>
        </w:tc>
      </w:tr>
      <w:tr>
        <w:trPr>
          <w:cantSplit w:val="true"/>
        </w:trPr>
        <w:tc>
          <w:tcPr>
            <w:tcW w:type="dxa" w:w="4289"/>
            <w:tcMar>
              <w:top w:w="30" w:type="dxa"/>
              <w:bottom w:w="30" w:type="dxa"/>
              <w:left w:w="80" w:type="dxa"/>
              <w:right w:w="80" w:type="dxa"/>
            </w:tcMar>
            <w:shd w:val="clear" w:color="auto" w:fill="F2F6FB"/>
          </w:tcPr>
          <w:p>
            <w:pPr>
              <w:spacing w:after="0" w:line="240" w:lineRule="auto"/>
            </w:pPr>
            <w:r>
              <w:rPr>
                <w:b/>
                <w:i w:val="0"/>
                <w:sz w:val="20"/>
              </w:rPr>
              <w:t>Mirror-image rule</w:t>
            </w:r>
            <w:r>
              <w:rPr>
                <w:b w:val="0"/>
                <w:i w:val="0"/>
                <w:sz w:val="20"/>
              </w:rPr>
              <w:t xml:space="preserve"> — acceptance must match the offer</w:t>
            </w:r>
          </w:p>
        </w:tc>
        <w:tc>
          <w:tcPr>
            <w:tcW w:type="dxa" w:w="6223"/>
            <w:tcMar>
              <w:top w:w="30" w:type="dxa"/>
              <w:bottom w:w="30" w:type="dxa"/>
              <w:left w:w="80" w:type="dxa"/>
              <w:right w:w="80" w:type="dxa"/>
            </w:tcMar>
            <w:shd w:val="clear" w:color="auto" w:fill="F2F6FB"/>
          </w:tcPr>
          <w:p>
            <w:pPr>
              <w:spacing w:after="0" w:line="240" w:lineRule="auto"/>
            </w:pPr>
            <w:r>
              <w:rPr>
                <w:b w:val="0"/>
                <w:i w:val="0"/>
                <w:sz w:val="20"/>
              </w:rPr>
              <w:t xml:space="preserve">Contract formed </w:t>
            </w:r>
            <w:r>
              <w:rPr>
                <w:b/>
                <w:i w:val="0"/>
                <w:sz w:val="20"/>
              </w:rPr>
              <w:t>"in any manner sufficient to show agreement"</w:t>
            </w:r>
            <w:r>
              <w:rPr>
                <w:b w:val="0"/>
                <w:i w:val="0"/>
                <w:sz w:val="20"/>
              </w:rPr>
              <w:t>; acceptance need not mirror</w:t>
            </w:r>
          </w:p>
        </w:tc>
      </w:tr>
      <w:tr>
        <w:trPr>
          <w:cantSplit w:val="true"/>
        </w:trPr>
        <w:tc>
          <w:tcPr>
            <w:tcW w:type="dxa" w:w="4289"/>
            <w:tcMar>
              <w:top w:w="30" w:type="dxa"/>
              <w:bottom w:w="30" w:type="dxa"/>
              <w:left w:w="80" w:type="dxa"/>
              <w:right w:w="80" w:type="dxa"/>
            </w:tcMar>
          </w:tcPr>
          <w:p>
            <w:pPr>
              <w:spacing w:after="0" w:line="240" w:lineRule="auto"/>
            </w:pPr>
            <w:r>
              <w:rPr>
                <w:b w:val="0"/>
                <w:i w:val="0"/>
                <w:sz w:val="20"/>
              </w:rPr>
              <w:t>All material terms needed</w:t>
            </w:r>
          </w:p>
        </w:tc>
        <w:tc>
          <w:tcPr>
            <w:tcW w:type="dxa" w:w="6223"/>
            <w:tcMar>
              <w:top w:w="30" w:type="dxa"/>
              <w:bottom w:w="30" w:type="dxa"/>
              <w:left w:w="80" w:type="dxa"/>
              <w:right w:w="80" w:type="dxa"/>
            </w:tcMar>
          </w:tcPr>
          <w:p>
            <w:pPr>
              <w:spacing w:after="0" w:line="240" w:lineRule="auto"/>
            </w:pPr>
            <w:r>
              <w:rPr>
                <w:b w:val="0"/>
                <w:i w:val="0"/>
                <w:sz w:val="20"/>
              </w:rPr>
              <w:t>Open terms OK; fewer formalities; many ways to form</w:t>
            </w:r>
          </w:p>
        </w:tc>
      </w:tr>
    </w:tbl>
    <w:p>
      <w:pPr>
        <w:spacing w:after="0" w:line="120" w:lineRule="exact"/>
      </w:pPr>
    </w:p>
    <w:p>
      <w:pPr>
        <w:pStyle w:val="ListBullet"/>
      </w:pPr>
      <w:r>
        <w:rPr>
          <w:b/>
          <w:i w:val="0"/>
        </w:rPr>
        <w:t>"Agreement"</w:t>
      </w:r>
      <w:r>
        <w:rPr>
          <w:b w:val="0"/>
          <w:i w:val="0"/>
        </w:rPr>
        <w:t xml:space="preserve"> (§ 1-201(b)(3)) = the parties' </w:t>
      </w:r>
      <w:r>
        <w:rPr>
          <w:b/>
          <w:i w:val="0"/>
        </w:rPr>
        <w:t>bargain in fact</w:t>
      </w:r>
      <w:r>
        <w:rPr>
          <w:b w:val="0"/>
          <w:i w:val="0"/>
        </w:rPr>
        <w:t xml:space="preserve">, from language </w:t>
      </w:r>
      <w:r>
        <w:rPr>
          <w:b/>
          <w:i w:val="0"/>
        </w:rPr>
        <w:t>and</w:t>
      </w:r>
      <w:r>
        <w:rPr>
          <w:b w:val="0"/>
          <w:i w:val="0"/>
        </w:rPr>
        <w:t xml:space="preserve"> CoP/CoD/UoT. </w:t>
      </w:r>
      <w:r>
        <w:rPr>
          <w:b/>
          <w:i w:val="0"/>
        </w:rPr>
        <w:t>"Contract"</w:t>
      </w:r>
      <w:r>
        <w:rPr>
          <w:b w:val="0"/>
          <w:i w:val="0"/>
        </w:rPr>
        <w:t xml:space="preserve"> (§ 1-201(b)(12)) = the </w:t>
      </w:r>
      <w:r>
        <w:rPr>
          <w:b/>
          <w:i w:val="0"/>
        </w:rPr>
        <w:t>total legal obligation</w:t>
      </w:r>
      <w:r>
        <w:rPr>
          <w:b w:val="0"/>
          <w:i w:val="0"/>
        </w:rPr>
        <w:t xml:space="preserve"> that results, as determined by the UCC and other law. The contract can be </w:t>
      </w:r>
      <w:r>
        <w:rPr>
          <w:b/>
          <w:i w:val="0"/>
        </w:rPr>
        <w:t>more</w:t>
      </w:r>
      <w:r>
        <w:rPr>
          <w:b w:val="0"/>
          <w:i w:val="0"/>
        </w:rPr>
        <w:t xml:space="preserve"> (gap fillers, implied warranties) or </w:t>
      </w:r>
      <w:r>
        <w:rPr>
          <w:b/>
          <w:i w:val="0"/>
        </w:rPr>
        <w:t>less</w:t>
      </w:r>
      <w:r>
        <w:rPr>
          <w:b w:val="0"/>
          <w:i w:val="0"/>
        </w:rPr>
        <w:t xml:space="preserve"> (SOF, unconscionable term) than the agreement.</w:t>
      </w:r>
    </w:p>
    <w:p>
      <w:pPr>
        <w:pStyle w:val="ListBullet"/>
      </w:pPr>
      <w:r>
        <w:rPr>
          <w:b/>
          <w:i w:val="0"/>
        </w:rPr>
        <w:t>Questions to ask:</w:t>
      </w:r>
      <w:r>
        <w:rPr>
          <w:b w:val="0"/>
          <w:i w:val="0"/>
        </w:rPr>
        <w:t xml:space="preserve"> (1) Offer? (common law — </w:t>
      </w:r>
      <w:r>
        <w:rPr>
          <w:b/>
          <w:i w:val="0"/>
        </w:rPr>
        <w:t>Restatement § 24</w:t>
      </w:r>
      <w:r>
        <w:rPr>
          <w:b w:val="0"/>
          <w:i w:val="0"/>
        </w:rPr>
        <w:t xml:space="preserve">: manifestation of willingness to bargain that justifies another in understanding assent is invited and will conclude it) (2) </w:t>
      </w:r>
      <w:r>
        <w:rPr>
          <w:b/>
          <w:i w:val="0"/>
        </w:rPr>
        <w:t>Firm offer</w:t>
      </w:r>
      <w:r>
        <w:rPr>
          <w:b w:val="0"/>
          <w:i w:val="0"/>
        </w:rPr>
        <w:t xml:space="preserve"> by a merchant (§ 2-205)? (3) Properly </w:t>
      </w:r>
      <w:r>
        <w:rPr>
          <w:b/>
          <w:i w:val="0"/>
        </w:rPr>
        <w:t>accepted</w:t>
      </w:r>
      <w:r>
        <w:rPr>
          <w:b w:val="0"/>
          <w:i w:val="0"/>
        </w:rPr>
        <w:t xml:space="preserve"> (§ 2-206)? (4) Do the terms </w:t>
      </w:r>
      <w:r>
        <w:rPr>
          <w:b/>
          <w:i w:val="0"/>
        </w:rPr>
        <w:t>conflict</w:t>
      </w:r>
      <w:r>
        <w:rPr>
          <w:b w:val="0"/>
          <w:i w:val="0"/>
        </w:rPr>
        <w:t xml:space="preserve"> (§ 2-207)?</w:t>
      </w:r>
    </w:p>
    <w:p>
      <w:pPr>
        <w:keepNext/>
        <w:spacing w:before="120" w:after="40"/>
        <w:pBdr>
          <w:bottom w:val="single" w:sz="6" w:space="1" w:color="8EAADB"/>
        </w:pBdr>
      </w:pPr>
      <w:r>
        <w:rPr>
          <w:b/>
          <w:i w:val="0"/>
          <w:color w:val="1F3A5F"/>
          <w:sz w:val="25"/>
        </w:rPr>
        <w:t>§ 2-204 — formation in general</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(1) Contract may be made </w:t>
            </w:r>
            <w:r>
              <w:rPr>
                <w:b/>
                <w:i w:val="0"/>
                <w:sz w:val="21"/>
              </w:rPr>
              <w:t>in any manner sufficient to show agreement</w:t>
            </w:r>
            <w:r>
              <w:rPr>
                <w:b w:val="0"/>
                <w:i w:val="0"/>
                <w:sz w:val="21"/>
              </w:rPr>
              <w:t xml:space="preserve">, including </w:t>
            </w:r>
            <w:r>
              <w:rPr>
                <w:b/>
                <w:i w:val="0"/>
                <w:sz w:val="21"/>
              </w:rPr>
              <w:t>conduct</w:t>
            </w:r>
            <w:r>
              <w:rPr>
                <w:b w:val="0"/>
                <w:i w:val="0"/>
                <w:sz w:val="21"/>
              </w:rPr>
              <w:t xml:space="preserve"> by both parties. (2) OK even if the </w:t>
            </w:r>
            <w:r>
              <w:rPr>
                <w:b/>
                <w:i w:val="0"/>
                <w:sz w:val="21"/>
              </w:rPr>
              <w:t>moment of making is undetermined</w:t>
            </w:r>
            <w:r>
              <w:rPr>
                <w:b w:val="0"/>
                <w:i w:val="0"/>
                <w:sz w:val="21"/>
              </w:rPr>
              <w:t xml:space="preserve">. (3) </w:t>
            </w:r>
            <w:r>
              <w:rPr>
                <w:b/>
                <w:i w:val="0"/>
                <w:sz w:val="21"/>
              </w:rPr>
              <w:t>Open terms don't defeat a contract if the parties intended to contract AND there is a reasonably certain basis for giving an appropriate remedy.</w:t>
            </w:r>
          </w:p>
        </w:tc>
      </w:tr>
    </w:tbl>
    <w:p>
      <w:pPr>
        <w:spacing w:after="0" w:line="100" w:lineRule="exact"/>
      </w:pPr>
    </w:p>
    <w:p>
      <w:pPr>
        <w:keepNext/>
        <w:spacing w:before="120" w:after="40"/>
        <w:pBdr>
          <w:bottom w:val="single" w:sz="6" w:space="1" w:color="8EAADB"/>
        </w:pBdr>
      </w:pPr>
      <w:r>
        <w:rPr>
          <w:b/>
          <w:i w:val="0"/>
          <w:color w:val="1F3A5F"/>
          <w:sz w:val="25"/>
        </w:rPr>
        <w:t>§ 2-206 — offer &amp; acceptance</w:t>
      </w:r>
    </w:p>
    <w:p>
      <w:pPr>
        <w:pStyle w:val="ListBullet"/>
      </w:pPr>
      <w:r>
        <w:rPr>
          <w:b/>
          <w:i w:val="0"/>
        </w:rPr>
        <w:t>(1)(a)</w:t>
      </w:r>
      <w:r>
        <w:rPr>
          <w:b w:val="0"/>
          <w:i w:val="0"/>
        </w:rPr>
        <w:t xml:space="preserve"> Unless unambiguously indicated otherwise, acceptance </w:t>
      </w:r>
      <w:r>
        <w:rPr>
          <w:b/>
          <w:i w:val="0"/>
        </w:rPr>
        <w:t>in any reasonable manner and medium</w:t>
      </w:r>
      <w:r>
        <w:rPr>
          <w:b w:val="0"/>
          <w:i w:val="0"/>
        </w:rPr>
        <w:t>. (Offeror can still be "master of the offer.")</w:t>
      </w:r>
    </w:p>
    <w:p>
      <w:pPr>
        <w:pStyle w:val="ListBullet"/>
      </w:pPr>
      <w:r>
        <w:rPr>
          <w:b/>
          <w:i w:val="0"/>
        </w:rPr>
        <w:t>(1)(b)</w:t>
      </w:r>
      <w:r>
        <w:rPr>
          <w:b w:val="0"/>
          <w:i w:val="0"/>
        </w:rPr>
        <w:t xml:space="preserve"> An order for </w:t>
      </w:r>
      <w:r>
        <w:rPr>
          <w:b/>
          <w:i w:val="0"/>
        </w:rPr>
        <w:t>prompt or current shipment</w:t>
      </w:r>
      <w:r>
        <w:rPr>
          <w:b w:val="0"/>
          <w:i w:val="0"/>
        </w:rPr>
        <w:t xml:space="preserve"> may be accepted by a </w:t>
      </w:r>
      <w:r>
        <w:rPr>
          <w:b/>
          <w:i w:val="0"/>
        </w:rPr>
        <w:t>prompt promise to ship</w:t>
      </w:r>
      <w:r>
        <w:rPr>
          <w:b w:val="0"/>
          <w:i w:val="0"/>
        </w:rPr>
        <w:t xml:space="preserve"> or by </w:t>
      </w:r>
      <w:r>
        <w:rPr>
          <w:b/>
          <w:i w:val="0"/>
        </w:rPr>
        <w:t>prompt shipment of conforming OR nonconforming goods</w:t>
      </w:r>
      <w:r>
        <w:rPr>
          <w:b w:val="0"/>
          <w:i w:val="0"/>
        </w:rPr>
        <w:t xml:space="preserve"> — but shipping nonconforming goods is </w:t>
      </w:r>
      <w:r>
        <w:rPr>
          <w:b/>
          <w:i w:val="0"/>
        </w:rPr>
        <w:t>not</w:t>
      </w:r>
      <w:r>
        <w:rPr>
          <w:b w:val="0"/>
          <w:i w:val="0"/>
        </w:rPr>
        <w:t xml:space="preserve"> an acceptance if seller </w:t>
      </w:r>
      <w:r>
        <w:rPr>
          <w:b/>
          <w:i w:val="0"/>
        </w:rPr>
        <w:t>seasonably notifies</w:t>
      </w:r>
      <w:r>
        <w:rPr>
          <w:b w:val="0"/>
          <w:i w:val="0"/>
        </w:rPr>
        <w:t xml:space="preserve"> it's an </w:t>
      </w:r>
      <w:r>
        <w:rPr>
          <w:b/>
          <w:i w:val="0"/>
        </w:rPr>
        <w:t>accommodation</w:t>
      </w:r>
      <w:r>
        <w:rPr>
          <w:b w:val="0"/>
          <w:i w:val="0"/>
        </w:rPr>
        <w:t xml:space="preserve">. (No notice → acceptance </w:t>
      </w:r>
      <w:r>
        <w:rPr>
          <w:b/>
          <w:i w:val="0"/>
        </w:rPr>
        <w:t>and</w:t>
      </w:r>
      <w:r>
        <w:rPr>
          <w:b w:val="0"/>
          <w:i w:val="0"/>
        </w:rPr>
        <w:t xml:space="preserve"> breach.)</w:t>
      </w:r>
    </w:p>
    <w:p>
      <w:pPr>
        <w:pStyle w:val="ListBullet"/>
      </w:pPr>
      <w:r>
        <w:rPr>
          <w:b/>
          <w:i w:val="0"/>
        </w:rPr>
        <w:t>(2)</w:t>
      </w:r>
      <w:r>
        <w:rPr>
          <w:b w:val="0"/>
          <w:i w:val="0"/>
        </w:rPr>
        <w:t xml:space="preserve"> Where </w:t>
      </w:r>
      <w:r>
        <w:rPr>
          <w:b/>
          <w:i w:val="0"/>
        </w:rPr>
        <w:t>beginning performance</w:t>
      </w:r>
      <w:r>
        <w:rPr>
          <w:b w:val="0"/>
          <w:i w:val="0"/>
        </w:rPr>
        <w:t xml:space="preserve"> is a reasonable mode of acceptance, an offeror </w:t>
      </w:r>
      <w:r>
        <w:rPr>
          <w:b/>
          <w:i w:val="0"/>
        </w:rPr>
        <w:t>not notified within a reasonable time</w:t>
      </w:r>
      <w:r>
        <w:rPr>
          <w:b w:val="0"/>
          <w:i w:val="0"/>
        </w:rPr>
        <w:t xml:space="preserve"> may treat the offer as </w:t>
      </w:r>
      <w:r>
        <w:rPr>
          <w:b/>
          <w:i w:val="0"/>
        </w:rPr>
        <w:t>lapsed</w:t>
      </w:r>
      <w:r>
        <w:rPr>
          <w:b w:val="0"/>
          <w:i w:val="0"/>
        </w:rPr>
        <w:t>.</w:t>
      </w:r>
    </w:p>
    <w:p>
      <w:pPr>
        <w:keepNext/>
        <w:spacing w:before="120" w:after="40"/>
        <w:pBdr>
          <w:bottom w:val="single" w:sz="6" w:space="1" w:color="8EAADB"/>
        </w:pBdr>
      </w:pPr>
      <w:r>
        <w:rPr>
          <w:b/>
          <w:i w:val="0"/>
          <w:color w:val="1F3A5F"/>
          <w:sz w:val="25"/>
        </w:rPr>
        <w:t>§ 2-205 — firm offers</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An offer by a </w:t>
            </w:r>
            <w:r>
              <w:rPr>
                <w:b/>
                <w:i w:val="0"/>
                <w:sz w:val="21"/>
              </w:rPr>
              <w:t>merchant</w:t>
            </w:r>
            <w:r>
              <w:rPr>
                <w:b w:val="0"/>
                <w:i w:val="0"/>
                <w:sz w:val="21"/>
              </w:rPr>
              <w:t xml:space="preserve"> in a </w:t>
            </w:r>
            <w:r>
              <w:rPr>
                <w:b/>
                <w:i w:val="0"/>
                <w:sz w:val="21"/>
              </w:rPr>
              <w:t>signed record</w:t>
            </w:r>
            <w:r>
              <w:rPr>
                <w:b w:val="0"/>
                <w:i w:val="0"/>
                <w:sz w:val="21"/>
              </w:rPr>
              <w:t xml:space="preserve"> that </w:t>
            </w:r>
            <w:r>
              <w:rPr>
                <w:b/>
                <w:i w:val="0"/>
                <w:sz w:val="21"/>
              </w:rPr>
              <w:t>by its terms assures it will be held open</w:t>
            </w:r>
            <w:r>
              <w:rPr>
                <w:b w:val="0"/>
                <w:i w:val="0"/>
                <w:sz w:val="21"/>
              </w:rPr>
              <w:t xml:space="preserve"> is </w:t>
            </w:r>
            <w:r>
              <w:rPr>
                <w:b/>
                <w:i w:val="0"/>
                <w:sz w:val="21"/>
              </w:rPr>
              <w:t>irrevocable without consideration</w:t>
            </w:r>
            <w:r>
              <w:rPr>
                <w:b w:val="0"/>
                <w:i w:val="0"/>
                <w:sz w:val="21"/>
              </w:rPr>
              <w:t xml:space="preserve"> for the </w:t>
            </w:r>
            <w:r>
              <w:rPr>
                <w:b/>
                <w:i w:val="0"/>
                <w:sz w:val="21"/>
              </w:rPr>
              <w:t>time stated</w:t>
            </w:r>
            <w:r>
              <w:rPr>
                <w:b w:val="0"/>
                <w:i w:val="0"/>
                <w:sz w:val="21"/>
              </w:rPr>
              <w:t xml:space="preserve"> (or a </w:t>
            </w:r>
            <w:r>
              <w:rPr>
                <w:b/>
                <w:i w:val="0"/>
                <w:sz w:val="21"/>
              </w:rPr>
              <w:t>reasonable time</w:t>
            </w:r>
            <w:r>
              <w:rPr>
                <w:b w:val="0"/>
                <w:i w:val="0"/>
                <w:sz w:val="21"/>
              </w:rPr>
              <w:t xml:space="preserve">) — </w:t>
            </w:r>
            <w:r>
              <w:rPr>
                <w:b/>
                <w:i w:val="0"/>
                <w:sz w:val="21"/>
              </w:rPr>
              <w:t>never more than 3 months</w:t>
            </w:r>
            <w:r>
              <w:rPr>
                <w:b w:val="0"/>
                <w:i w:val="0"/>
                <w:sz w:val="21"/>
              </w:rPr>
              <w:t xml:space="preserve">. If the assurance is on a form </w:t>
            </w:r>
            <w:r>
              <w:rPr>
                <w:b/>
                <w:i w:val="0"/>
                <w:sz w:val="21"/>
              </w:rPr>
              <w:t>supplied by the offeree</w:t>
            </w:r>
            <w:r>
              <w:rPr>
                <w:b w:val="0"/>
                <w:i w:val="0"/>
                <w:sz w:val="21"/>
              </w:rPr>
              <w:t xml:space="preserve">, the offeror must </w:t>
            </w:r>
            <w:r>
              <w:rPr>
                <w:b/>
                <w:i w:val="0"/>
                <w:sz w:val="21"/>
              </w:rPr>
              <w:t>separately sign</w:t>
            </w:r>
            <w:r>
              <w:rPr>
                <w:b w:val="0"/>
                <w:i w:val="0"/>
                <w:sz w:val="21"/>
              </w:rPr>
              <w:t xml:space="preserve"> it.</w:t>
            </w:r>
          </w:p>
        </w:tc>
      </w:tr>
    </w:tbl>
    <w:p>
      <w:pPr>
        <w:spacing w:after="0" w:line="100" w:lineRule="exact"/>
      </w:pPr>
    </w:p>
    <w:p>
      <w:pPr>
        <w:pStyle w:val="ListBullet"/>
      </w:pPr>
      <w:r>
        <w:rPr>
          <w:b/>
          <w:i w:val="0"/>
        </w:rPr>
        <w:t>Common law:</w:t>
      </w:r>
      <w:r>
        <w:rPr>
          <w:b w:val="0"/>
          <w:i w:val="0"/>
        </w:rPr>
        <w:t xml:space="preserve"> irrevocable only with </w:t>
      </w:r>
      <w:r>
        <w:rPr>
          <w:b/>
          <w:i w:val="0"/>
        </w:rPr>
        <w:t>consideration</w:t>
      </w:r>
      <w:r>
        <w:rPr>
          <w:b w:val="0"/>
          <w:i w:val="0"/>
        </w:rPr>
        <w:t xml:space="preserve"> (option contract). Only the </w:t>
      </w:r>
      <w:r>
        <w:rPr>
          <w:b/>
          <w:i w:val="0"/>
        </w:rPr>
        <w:t>offeror</w:t>
      </w:r>
      <w:r>
        <w:rPr>
          <w:b w:val="0"/>
          <w:i w:val="0"/>
        </w:rPr>
        <w:t xml:space="preserve"> must be a merchant.</w:t>
      </w:r>
    </w:p>
    <w:p>
      <w:pPr>
        <w:keepNext/>
        <w:spacing w:before="120" w:after="40"/>
        <w:pBdr>
          <w:bottom w:val="single" w:sz="6" w:space="1" w:color="8EAADB"/>
        </w:pBdr>
      </w:pPr>
      <w:r>
        <w:rPr>
          <w:b/>
          <w:i w:val="0"/>
          <w:color w:val="1F3A5F"/>
          <w:sz w:val="25"/>
        </w:rPr>
        <w:t>§ 2-207 — battle of the forms</w:t>
      </w:r>
    </w:p>
    <w:p>
      <w:pPr>
        <w:pStyle w:val="ListBullet"/>
      </w:pPr>
      <w:r>
        <w:rPr>
          <w:b/>
          <w:i w:val="0"/>
        </w:rPr>
        <w:t>(1)</w:t>
      </w:r>
      <w:r>
        <w:rPr>
          <w:b w:val="0"/>
          <w:i w:val="0"/>
        </w:rPr>
        <w:t xml:space="preserve"> A </w:t>
      </w:r>
      <w:r>
        <w:rPr>
          <w:b/>
          <w:i w:val="0"/>
        </w:rPr>
        <w:t>definite and seasonable expression of acceptance</w:t>
      </w:r>
      <w:r>
        <w:rPr>
          <w:b w:val="0"/>
          <w:i w:val="0"/>
        </w:rPr>
        <w:t xml:space="preserve"> (or written </w:t>
      </w:r>
      <w:r>
        <w:rPr>
          <w:b/>
          <w:i w:val="0"/>
        </w:rPr>
        <w:t>confirmation</w:t>
      </w:r>
      <w:r>
        <w:rPr>
          <w:b w:val="0"/>
          <w:i w:val="0"/>
        </w:rPr>
        <w:t xml:space="preserve">) is an </w:t>
      </w:r>
      <w:r>
        <w:rPr>
          <w:b/>
          <w:i w:val="0"/>
        </w:rPr>
        <w:t>acceptance even with additional/different terms</w:t>
      </w:r>
      <w:r>
        <w:rPr>
          <w:b w:val="0"/>
          <w:i w:val="0"/>
        </w:rPr>
        <w:t xml:space="preserve">, </w:t>
      </w:r>
      <w:r>
        <w:rPr>
          <w:b/>
          <w:i w:val="0"/>
        </w:rPr>
        <w:t>unless expressly made conditional on assent</w:t>
      </w:r>
      <w:r>
        <w:rPr>
          <w:b w:val="0"/>
          <w:i w:val="0"/>
        </w:rPr>
        <w:t xml:space="preserve"> to them. → </w:t>
      </w:r>
      <w:r>
        <w:rPr>
          <w:b/>
          <w:i w:val="0"/>
        </w:rPr>
        <w:t>Abolishes mirror image &amp; "last shot."</w:t>
      </w:r>
    </w:p>
    <w:p>
      <w:pPr>
        <w:pStyle w:val="ListBullet"/>
      </w:pPr>
      <w:r>
        <w:rPr>
          <w:b/>
          <w:i w:val="0"/>
        </w:rPr>
        <w:t>(2)</w:t>
      </w:r>
      <w:r>
        <w:rPr>
          <w:b w:val="0"/>
          <w:i w:val="0"/>
        </w:rPr>
        <w:t xml:space="preserve"> Additional terms = </w:t>
      </w:r>
      <w:r>
        <w:rPr>
          <w:b/>
          <w:i w:val="0"/>
        </w:rPr>
        <w:t>proposals</w:t>
      </w:r>
      <w:r>
        <w:rPr>
          <w:b w:val="0"/>
          <w:i w:val="0"/>
        </w:rPr>
        <w:t xml:space="preserve">. </w:t>
      </w:r>
      <w:r>
        <w:rPr>
          <w:b/>
          <w:i w:val="0"/>
        </w:rPr>
        <w:t>Between merchants</w:t>
      </w:r>
      <w:r>
        <w:rPr>
          <w:b w:val="0"/>
          <w:i w:val="0"/>
        </w:rPr>
        <w:t xml:space="preserve"> they become part of the contract </w:t>
      </w:r>
      <w:r>
        <w:rPr>
          <w:b/>
          <w:i w:val="0"/>
        </w:rPr>
        <w:t>unless</w:t>
      </w:r>
      <w:r>
        <w:rPr>
          <w:b w:val="0"/>
          <w:i w:val="0"/>
        </w:rPr>
        <w:t xml:space="preserve"> (a) the offer </w:t>
      </w:r>
      <w:r>
        <w:rPr>
          <w:b/>
          <w:i w:val="0"/>
        </w:rPr>
        <w:t>expressly limits</w:t>
      </w:r>
      <w:r>
        <w:rPr>
          <w:b w:val="0"/>
          <w:i w:val="0"/>
        </w:rPr>
        <w:t xml:space="preserve"> acceptance to its terms, (b) they </w:t>
      </w:r>
      <w:r>
        <w:rPr>
          <w:b/>
          <w:i w:val="0"/>
        </w:rPr>
        <w:t>materially alter</w:t>
      </w:r>
      <w:r>
        <w:rPr>
          <w:b w:val="0"/>
          <w:i w:val="0"/>
        </w:rPr>
        <w:t xml:space="preserve"> it, or (c) </w:t>
      </w:r>
      <w:r>
        <w:rPr>
          <w:b/>
          <w:i w:val="0"/>
        </w:rPr>
        <w:t>objection</w:t>
      </w:r>
      <w:r>
        <w:rPr>
          <w:b w:val="0"/>
          <w:i w:val="0"/>
        </w:rPr>
        <w:t xml:space="preserve"> is given within a reasonable time.</w:t>
      </w:r>
    </w:p>
    <w:p>
      <w:pPr>
        <w:pStyle w:val="ListBullet"/>
      </w:pPr>
      <w:r>
        <w:rPr>
          <w:b/>
          <w:i w:val="0"/>
        </w:rPr>
        <w:t>(3)</w:t>
      </w:r>
      <w:r>
        <w:rPr>
          <w:b w:val="0"/>
          <w:i w:val="0"/>
        </w:rPr>
        <w:t xml:space="preserve"> If the writings don't form a contract but </w:t>
      </w:r>
      <w:r>
        <w:rPr>
          <w:b/>
          <w:i w:val="0"/>
        </w:rPr>
        <w:t>conduct</w:t>
      </w:r>
      <w:r>
        <w:rPr>
          <w:b w:val="0"/>
          <w:i w:val="0"/>
        </w:rPr>
        <w:t xml:space="preserve"> recognizes one → contract on the terms where the </w:t>
      </w:r>
      <w:r>
        <w:rPr>
          <w:b/>
          <w:i w:val="0"/>
        </w:rPr>
        <w:t>writings agree</w:t>
      </w:r>
      <w:r>
        <w:rPr>
          <w:b w:val="0"/>
          <w:i w:val="0"/>
        </w:rPr>
        <w:t xml:space="preserve"> + </w:t>
      </w:r>
      <w:r>
        <w:rPr>
          <w:b/>
          <w:i w:val="0"/>
        </w:rPr>
        <w:t>UCC gap fillers</w:t>
      </w:r>
      <w:r>
        <w:rPr>
          <w:b w:val="0"/>
          <w:i w:val="0"/>
        </w:rPr>
        <w:t>.</w:t>
      </w:r>
    </w:p>
    <w:p>
      <w:pPr>
        <w:pStyle w:val="ListBullet"/>
      </w:pPr>
      <w:r>
        <w:rPr>
          <w:b/>
          <w:i w:val="0"/>
        </w:rPr>
        <w:t>Three questions:</w:t>
      </w:r>
      <w:r>
        <w:rPr>
          <w:b w:val="0"/>
          <w:i w:val="0"/>
        </w:rPr>
        <w:t xml:space="preserve"> (1) Agreement despite deviation? (2) Which terms control? (3) If writings fail, does </w:t>
      </w:r>
      <w:r>
        <w:rPr>
          <w:b/>
          <w:i w:val="0"/>
        </w:rPr>
        <w:t>conduct</w:t>
      </w:r>
      <w:r>
        <w:rPr>
          <w:b w:val="0"/>
          <w:i w:val="0"/>
        </w:rPr>
        <w:t xml:space="preserve"> create a contract?</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CF6EE"/>
            <w:tcMar>
              <w:top w:w="70" w:type="dxa"/>
              <w:bottom w:w="70" w:type="dxa"/>
              <w:left w:w="140" w:type="dxa"/>
              <w:right w:w="120" w:type="dxa"/>
            </w:tcMar>
            <w:tcBorders>
              <w:left w:val="single" w:sz="30" w:space="0" w:color="2E7D32"/>
            </w:tcBorders>
          </w:tcPr>
          <w:p>
            <w:pPr>
              <w:spacing w:after="30" w:line="240" w:lineRule="auto"/>
            </w:pPr>
            <w:r>
              <w:rPr>
                <w:b/>
                <w:color w:val="2E7D32"/>
                <w:sz w:val="15"/>
              </w:rPr>
              <w:t xml:space="preserve">MAIN CASE   </w:t>
            </w:r>
            <w:r>
              <w:rPr>
                <w:b/>
                <w:i w:val="0"/>
                <w:sz w:val="21"/>
              </w:rPr>
              <w:t xml:space="preserve">Daitom, Inc. v. Pennwalt Corp. (10th Cir. 1984) — § 2-207 battle of the forms</w:t>
            </w:r>
          </w:p>
          <w:p>
            <w:pPr>
              <w:spacing w:after="30" w:line="240" w:lineRule="auto"/>
            </w:pPr>
            <w:r>
              <w:rPr>
                <w:b/>
                <w:i w:val="0"/>
                <w:color w:val="595959"/>
                <w:sz w:val="18"/>
              </w:rPr>
              <w:t xml:space="preserve">Source:</w:t>
            </w:r>
            <w:r>
              <w:rPr>
                <w:b w:val="0"/>
                <w:i w:val="0"/>
                <w:color w:val="595959"/>
                <w:sz w:val="18"/>
              </w:rPr>
              <w:t xml:space="preserve"> principal case, casebook pp. 47–57. Not named on the slides; the topic is covered at W1-S44 to S47.</w:t>
            </w:r>
          </w:p>
          <w:p>
            <w:pPr>
              <w:spacing w:after="30" w:line="240" w:lineRule="auto"/>
            </w:pPr>
            <w:r>
              <w:rPr>
                <w:b/>
                <w:i w:val="0"/>
                <w:sz w:val="21"/>
              </w:rPr>
              <w:t xml:space="preserve">Facts:</w:t>
            </w:r>
            <w:r>
              <w:rPr>
                <w:b w:val="0"/>
                <w:i w:val="0"/>
                <w:sz w:val="21"/>
              </w:rPr>
              <w:t xml:space="preserve"> Seller Pennwalt sent a typed </w:t>
            </w:r>
            <w:r>
              <w:rPr>
                <w:b/>
                <w:i w:val="0"/>
                <w:sz w:val="21"/>
              </w:rPr>
              <w:t xml:space="preserve">proposal (the offer)</w:t>
            </w:r>
            <w:r>
              <w:rPr>
                <w:b w:val="0"/>
                <w:i w:val="0"/>
                <w:sz w:val="21"/>
              </w:rPr>
              <w:t xml:space="preserve"> to sell buyer Daitom two rotary vacuum dryers; its attached printed terms limited warranties and required any suit within </w:t>
            </w:r>
            <w:r>
              <w:rPr>
                <w:b/>
                <w:i w:val="0"/>
                <w:sz w:val="21"/>
              </w:rPr>
              <w:t xml:space="preserve">1 year of delivery</w:t>
            </w:r>
            <w:r>
              <w:rPr>
                <w:b w:val="0"/>
                <w:i w:val="0"/>
                <w:sz w:val="21"/>
              </w:rPr>
              <w:t xml:space="preserve">. Daitom answered with its own </w:t>
            </w:r>
            <w:r>
              <w:rPr>
                <w:b/>
                <w:i w:val="0"/>
                <w:sz w:val="21"/>
              </w:rPr>
              <w:t xml:space="preserve">purchase order</w:t>
            </w:r>
            <w:r>
              <w:rPr>
                <w:b w:val="0"/>
                <w:i w:val="0"/>
                <w:sz w:val="21"/>
              </w:rPr>
              <w:t xml:space="preserve"> (PO) — boilerplate on the back reserved "all of its rights and remedies available at law" and said acceptance was "expressly limited to such terms." The dryers were delivered in May 1977 but sat in crates while Daitom's plant was built; when finally run in June 1978 they were seriously defective. Daitom sued in March 1980 — </w:t>
            </w:r>
            <w:r>
              <w:rPr>
                <w:b/>
                <w:i w:val="0"/>
                <w:sz w:val="21"/>
              </w:rPr>
              <w:t xml:space="preserve">too late under the 1-year term, timely under the UCC's 4 years</w:t>
            </w:r>
            <w:r>
              <w:rPr>
                <w:b w:val="0"/>
                <w:i w:val="0"/>
                <w:sz w:val="21"/>
              </w:rPr>
              <w:t xml:space="preserve">.</w:t>
            </w:r>
          </w:p>
          <w:p>
            <w:pPr>
              <w:spacing w:after="30" w:line="240" w:lineRule="auto"/>
            </w:pPr>
            <w:r>
              <w:rPr>
                <w:b/>
                <w:i w:val="0"/>
                <w:sz w:val="21"/>
              </w:rPr>
              <w:t xml:space="preserve">Held:</w:t>
            </w:r>
            <w:r>
              <w:rPr>
                <w:b w:val="0"/>
                <w:i w:val="0"/>
                <w:sz w:val="21"/>
              </w:rPr>
              <w:t xml:space="preserve"> (1) The PO was an </w:t>
            </w:r>
            <w:r>
              <w:rPr>
                <w:b/>
                <w:i w:val="0"/>
                <w:sz w:val="21"/>
              </w:rPr>
              <w:t xml:space="preserve">acceptance</w:t>
            </w:r>
            <w:r>
              <w:rPr>
                <w:b w:val="0"/>
                <w:i w:val="0"/>
                <w:sz w:val="21"/>
              </w:rPr>
              <w:t xml:space="preserve">, not a counteroffer: "expressly conditional" requires the offeree to clearly say it </w:t>
            </w:r>
            <w:r>
              <w:rPr>
                <w:b/>
                <w:i w:val="0"/>
                <w:sz w:val="21"/>
              </w:rPr>
              <w:t xml:space="preserve">won't proceed unless its terms are accepted</w:t>
            </w:r>
            <w:r>
              <w:rPr>
                <w:b w:val="0"/>
                <w:i w:val="0"/>
                <w:sz w:val="21"/>
              </w:rPr>
              <w:t xml:space="preserve"> (Dorton) — form language like "expressly limited to such terms" isn't enough. (2) The 1-year term and Daitom's reservation of its legal remedies (which impliedly reserved the statutory period) were </w:t>
            </w:r>
            <w:r>
              <w:rPr>
                <w:b/>
                <w:i w:val="0"/>
                <w:sz w:val="21"/>
              </w:rPr>
              <w:t xml:space="preserve">different (conflicting) terms → knock-out rule</w:t>
            </w:r>
            <w:r>
              <w:rPr>
                <w:b w:val="0"/>
                <w:i w:val="0"/>
                <w:sz w:val="21"/>
              </w:rPr>
              <w:t xml:space="preserve"> (cmt. 6): both drop out, and the gap filler — § 2-725's </w:t>
            </w:r>
            <w:r>
              <w:rPr>
                <w:b/>
                <w:i w:val="0"/>
                <w:sz w:val="21"/>
              </w:rPr>
              <w:t xml:space="preserve">4-year statute of limitations (SOL)</w:t>
            </w:r>
            <w:r>
              <w:rPr>
                <w:b w:val="0"/>
                <w:i w:val="0"/>
                <w:sz w:val="21"/>
              </w:rPr>
              <w:t xml:space="preserve"> — applies. Summary judgment for Pennwalt reversed. (Dissent: would affirm — Daitom accepted Pennwalt's offer.)</w:t>
            </w:r>
          </w:p>
          <w:p>
            <w:pPr>
              <w:spacing w:after="0" w:line="240" w:lineRule="auto"/>
            </w:pPr>
            <w:r>
              <w:rPr>
                <w:b/>
                <w:i w:val="0"/>
                <w:sz w:val="21"/>
              </w:rPr>
              <w:t xml:space="preserve">Why it matters:</w:t>
            </w:r>
            <w:r>
              <w:rPr>
                <w:b w:val="0"/>
                <w:i w:val="0"/>
                <w:sz w:val="21"/>
              </w:rPr>
              <w:t xml:space="preserve"> the textbook illustration that § 2-207 abolished the mirror-image and "last shot" rules — a nonconforming acceptance still forms a contract, and when the forms conflict </w:t>
            </w:r>
            <w:r>
              <w:rPr>
                <w:b/>
                <w:i w:val="0"/>
                <w:sz w:val="21"/>
              </w:rPr>
              <w:t xml:space="preserve">neither side's boilerplate wins; the UCC default does</w:t>
            </w:r>
            <w:r>
              <w:rPr>
                <w:b w:val="0"/>
                <w:i w:val="0"/>
                <w:sz w:val="21"/>
              </w:rPr>
              <w:t xml:space="preserve">. The court stressed the 1-year period would have run before the machines were even installed.</w:t>
            </w:r>
          </w:p>
        </w:tc>
      </w:tr>
    </w:tbl>
    <w:p>
      <w:pPr>
        <w:spacing w:after="0" w:line="100" w:lineRule="exact"/>
      </w:pPr>
    </w:p>
    <w:p>
      <w:pPr>
        <w:pStyle w:val="ListBullet"/>
      </w:pPr>
      <w:r>
        <w:rPr>
          <w:b/>
          <w:i w:val="0"/>
        </w:rPr>
        <w:t>Material alterations (cmt. 4):</w:t>
      </w:r>
      <w:r>
        <w:rPr>
          <w:b w:val="0"/>
          <w:i w:val="0"/>
        </w:rPr>
        <w:t xml:space="preserve"> </w:t>
      </w:r>
      <w:r>
        <w:rPr>
          <w:b/>
          <w:i w:val="0"/>
        </w:rPr>
        <w:t>warranty disclaimers</w:t>
      </w:r>
      <w:r>
        <w:rPr>
          <w:b w:val="0"/>
          <w:i w:val="0"/>
        </w:rPr>
        <w:t xml:space="preserve">, 90–100% delivery guarantees where trade allows leeway, power to cancel on any late invoice, </w:t>
      </w:r>
      <w:r>
        <w:rPr>
          <w:b/>
          <w:i w:val="0"/>
        </w:rPr>
        <w:t>unusually short complaint periods</w:t>
      </w:r>
      <w:r>
        <w:rPr>
          <w:b w:val="0"/>
          <w:i w:val="0"/>
        </w:rPr>
        <w:t xml:space="preserve">. </w:t>
      </w:r>
      <w:r>
        <w:rPr>
          <w:b/>
          <w:i w:val="0"/>
        </w:rPr>
        <w:t>Not material (cmt. 5):</w:t>
      </w:r>
      <w:r>
        <w:rPr>
          <w:b w:val="0"/>
          <w:i w:val="0"/>
        </w:rPr>
        <w:t xml:space="preserve"> reasonable force-majeure terms, customary complaint periods, </w:t>
      </w:r>
      <w:r>
        <w:rPr>
          <w:b/>
          <w:i w:val="0"/>
        </w:rPr>
        <w:t>interest on overdue invoices</w:t>
      </w:r>
      <w:r>
        <w:rPr>
          <w:b w:val="0"/>
          <w:i w:val="0"/>
        </w:rPr>
        <w:t>, limits on rejection within trade tolerances.</w:t>
      </w:r>
    </w:p>
    <w:p>
      <w:pPr>
        <w:pStyle w:val="ListBullet"/>
      </w:pPr>
      <w:r>
        <w:rPr>
          <w:b/>
          <w:i w:val="0"/>
        </w:rPr>
        <w:t>How UCC changes offer/acceptance:</w:t>
      </w:r>
      <w:r>
        <w:rPr>
          <w:b w:val="0"/>
          <w:i w:val="0"/>
        </w:rPr>
        <w:t xml:space="preserve"> any reasonable medium (2-206(1)(a)); accept by shipping (2-206(1)(b)); firm offers (2-205); no mirror image (2-207(1)); </w:t>
      </w:r>
      <w:r>
        <w:rPr>
          <w:b/>
          <w:i w:val="0"/>
        </w:rPr>
        <w:t>confirmation = acceptance</w:t>
      </w:r>
      <w:r>
        <w:rPr>
          <w:b w:val="0"/>
          <w:i w:val="0"/>
        </w:rPr>
        <w:t xml:space="preserve"> (2-207(1)).</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III. Statute of Frauds &amp; Unconscionability</w:t>
            </w:r>
            <w:r>
              <w:rPr>
                <w:b/>
                <w:color w:val="C9D9EE"/>
                <w:sz w:val="16"/>
              </w:rPr>
              <w:t xml:space="preserve">    WEEKS 1–2</w:t>
            </w:r>
          </w:p>
        </w:tc>
      </w:tr>
    </w:tbl>
    <w:p>
      <w:pPr>
        <w:keepNext/>
        <w:spacing w:after="0" w:line="80" w:lineRule="exact"/>
      </w:pPr>
    </w:p>
    <w:p>
      <w:pPr>
        <w:keepNext/>
        <w:spacing w:before="120" w:after="40"/>
        <w:pBdr>
          <w:bottom w:val="single" w:sz="6" w:space="1" w:color="8EAADB"/>
        </w:pBdr>
      </w:pPr>
      <w:r>
        <w:rPr>
          <w:b/>
          <w:i w:val="0"/>
          <w:color w:val="1F3A5F"/>
          <w:sz w:val="25"/>
        </w:rPr>
        <w:t>§ 2-201(1) — the rule</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A contract for the sale of goods for </w:t>
            </w:r>
            <w:r>
              <w:rPr>
                <w:b/>
                <w:i w:val="0"/>
                <w:sz w:val="21"/>
              </w:rPr>
              <w:t>$500 or more</w:t>
            </w:r>
            <w:r>
              <w:rPr>
                <w:b w:val="0"/>
                <w:i w:val="0"/>
                <w:sz w:val="21"/>
              </w:rPr>
              <w:t xml:space="preserve"> is </w:t>
            </w:r>
            <w:r>
              <w:rPr>
                <w:b/>
                <w:i w:val="0"/>
                <w:sz w:val="21"/>
              </w:rPr>
              <w:t>not enforceable by action or defense</w:t>
            </w:r>
            <w:r>
              <w:rPr>
                <w:b w:val="0"/>
                <w:i w:val="0"/>
                <w:sz w:val="21"/>
              </w:rPr>
              <w:t xml:space="preserve"> unless there is a </w:t>
            </w:r>
            <w:r>
              <w:rPr>
                <w:b/>
                <w:i w:val="0"/>
                <w:sz w:val="21"/>
              </w:rPr>
              <w:t>record</w:t>
            </w:r>
            <w:r>
              <w:rPr>
                <w:b w:val="0"/>
                <w:i w:val="0"/>
                <w:sz w:val="21"/>
              </w:rPr>
              <w:t xml:space="preserve"> (1) </w:t>
            </w:r>
            <w:r>
              <w:rPr>
                <w:b/>
                <w:i w:val="0"/>
                <w:sz w:val="21"/>
              </w:rPr>
              <w:t>sufficient to indicate a contract for sale</w:t>
            </w:r>
            <w:r>
              <w:rPr>
                <w:b w:val="0"/>
                <w:i w:val="0"/>
                <w:sz w:val="21"/>
              </w:rPr>
              <w:t xml:space="preserve"> was made, (2) </w:t>
            </w:r>
            <w:r>
              <w:rPr>
                <w:b/>
                <w:i w:val="0"/>
                <w:sz w:val="21"/>
              </w:rPr>
              <w:t>signed by the party against whom enforcement is sought</w:t>
            </w:r>
            <w:r>
              <w:rPr>
                <w:b w:val="0"/>
                <w:i w:val="0"/>
                <w:sz w:val="21"/>
              </w:rPr>
              <w:t xml:space="preserve"> (or its agent/broker). A record isn't insufficient because it </w:t>
            </w:r>
            <w:r>
              <w:rPr>
                <w:b/>
                <w:i w:val="0"/>
                <w:sz w:val="21"/>
              </w:rPr>
              <w:t>omits or misstates a term</w:t>
            </w:r>
            <w:r>
              <w:rPr>
                <w:b w:val="0"/>
                <w:i w:val="0"/>
                <w:sz w:val="21"/>
              </w:rPr>
              <w:t xml:space="preserve">, </w:t>
            </w:r>
            <w:r>
              <w:rPr>
                <w:b/>
                <w:i w:val="0"/>
                <w:sz w:val="21"/>
              </w:rPr>
              <w:t>but</w:t>
            </w:r>
            <w:r>
              <w:rPr>
                <w:b w:val="0"/>
                <w:i w:val="0"/>
                <w:sz w:val="21"/>
              </w:rPr>
              <w:t xml:space="preserve"> the contract isn't enforceable </w:t>
            </w:r>
            <w:r>
              <w:rPr>
                <w:b/>
                <w:i w:val="0"/>
                <w:sz w:val="21"/>
              </w:rPr>
              <w:t>beyond the quantity shown</w:t>
            </w:r>
            <w:r>
              <w:rPr>
                <w:b w:val="0"/>
                <w:i w:val="0"/>
                <w:sz w:val="21"/>
              </w:rPr>
              <w:t>.</w:t>
            </w:r>
          </w:p>
        </w:tc>
      </w:tr>
    </w:tbl>
    <w:p>
      <w:pPr>
        <w:spacing w:after="0" w:line="100" w:lineRule="exact"/>
      </w:pPr>
    </w:p>
    <w:p>
      <w:pPr>
        <w:pStyle w:val="ListBullet"/>
      </w:pPr>
      <w:r>
        <w:rPr>
          <w:b w:val="0"/>
          <w:i w:val="0"/>
        </w:rPr>
        <w:t xml:space="preserve">Only </w:t>
      </w:r>
      <w:r>
        <w:rPr>
          <w:b/>
          <w:i w:val="0"/>
        </w:rPr>
        <w:t>quantity</w:t>
      </w:r>
      <w:r>
        <w:rPr>
          <w:b w:val="0"/>
          <w:i w:val="0"/>
        </w:rPr>
        <w:t xml:space="preserve"> is essential; price/delivery can be missing or wrong. "Record" includes </w:t>
      </w:r>
      <w:r>
        <w:rPr>
          <w:b/>
          <w:i w:val="0"/>
        </w:rPr>
        <w:t>email</w:t>
      </w:r>
      <w:r>
        <w:rPr>
          <w:b w:val="0"/>
          <w:i w:val="0"/>
        </w:rPr>
        <w:t xml:space="preserve"> (2022 amendments; the Uniform Electronic Transactions Act (UETA) elsewhere); a typed name is a </w:t>
      </w:r>
      <w:r>
        <w:rPr>
          <w:b/>
          <w:i w:val="0"/>
        </w:rPr>
        <w:t>signature</w:t>
      </w:r>
      <w:r>
        <w:rPr>
          <w:b w:val="0"/>
          <w:i w:val="0"/>
        </w:rPr>
        <w:t>. Several papers can be read together if connected (Casazza).</w:t>
      </w:r>
    </w:p>
    <w:p>
      <w:pPr>
        <w:pStyle w:val="ListBullet"/>
      </w:pPr>
      <w:r>
        <w:rPr>
          <w:b w:val="0"/>
          <w:i w:val="0"/>
        </w:rPr>
        <w:t xml:space="preserve">Satisfying the SOF only </w:t>
      </w:r>
      <w:r>
        <w:rPr>
          <w:b/>
          <w:i w:val="0"/>
        </w:rPr>
        <w:t>opens the courthouse door</w:t>
      </w:r>
      <w:r>
        <w:rPr>
          <w:b w:val="0"/>
          <w:i w:val="0"/>
        </w:rPr>
        <w:t xml:space="preserve"> — plaintiff must still prove the contract.</w:t>
      </w:r>
    </w:p>
    <w:p>
      <w:pPr>
        <w:pStyle w:val="ListBullet"/>
      </w:pPr>
      <w:r>
        <w:rPr>
          <w:b/>
          <w:i w:val="0"/>
        </w:rPr>
        <w:t>Flowchart:</w:t>
      </w:r>
      <w:r>
        <w:rPr>
          <w:b w:val="0"/>
          <w:i w:val="0"/>
        </w:rPr>
        <w:t xml:space="preserve"> SOF applies? </w:t>
      </w:r>
      <w:r>
        <w:rPr>
          <w:b/>
          <w:i w:val="0"/>
        </w:rPr>
        <w:t>No</w:t>
      </w:r>
      <w:r>
        <w:rPr>
          <w:b w:val="0"/>
          <w:i w:val="0"/>
        </w:rPr>
        <w:t xml:space="preserve"> → possible contract. </w:t>
      </w:r>
      <w:r>
        <w:rPr>
          <w:b/>
          <w:i w:val="0"/>
        </w:rPr>
        <w:t>Yes</w:t>
      </w:r>
      <w:r>
        <w:rPr>
          <w:b w:val="0"/>
          <w:i w:val="0"/>
        </w:rPr>
        <w:t xml:space="preserve"> → sufficient signed record? </w:t>
      </w:r>
      <w:r>
        <w:rPr>
          <w:b/>
          <w:i w:val="0"/>
        </w:rPr>
        <w:t>Yes</w:t>
      </w:r>
      <w:r>
        <w:rPr>
          <w:b w:val="0"/>
          <w:i w:val="0"/>
        </w:rPr>
        <w:t xml:space="preserve"> → possible contract. </w:t>
      </w:r>
      <w:r>
        <w:rPr>
          <w:b/>
          <w:i w:val="0"/>
        </w:rPr>
        <w:t>No</w:t>
      </w:r>
      <w:r>
        <w:rPr>
          <w:b w:val="0"/>
          <w:i w:val="0"/>
        </w:rPr>
        <w:t xml:space="preserve"> → exception? </w:t>
      </w:r>
      <w:r>
        <w:rPr>
          <w:b/>
          <w:i w:val="0"/>
        </w:rPr>
        <w:t>Yes</w:t>
      </w:r>
      <w:r>
        <w:rPr>
          <w:b w:val="0"/>
          <w:i w:val="0"/>
        </w:rPr>
        <w:t xml:space="preserve"> → possible contract; </w:t>
      </w:r>
      <w:r>
        <w:rPr>
          <w:b/>
          <w:i w:val="0"/>
        </w:rPr>
        <w:t>No</w:t>
      </w:r>
      <w:r>
        <w:rPr>
          <w:b w:val="0"/>
          <w:i w:val="0"/>
        </w:rPr>
        <w:t xml:space="preserve"> → no enforceable contract.</w:t>
      </w:r>
    </w:p>
    <w:p>
      <w:pPr>
        <w:keepNext/>
        <w:spacing w:before="120" w:after="40"/>
        <w:pBdr>
          <w:bottom w:val="single" w:sz="6" w:space="1" w:color="8EAADB"/>
        </w:pBdr>
      </w:pPr>
      <w:r>
        <w:rPr>
          <w:b/>
          <w:i w:val="0"/>
          <w:color w:val="1F3A5F"/>
          <w:sz w:val="25"/>
        </w:rPr>
        <w:t>The four exceptions</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1359"/>
        <w:gridCol w:w="2109"/>
        <w:gridCol w:w="7042"/>
      </w:tblGrid>
      <w:tr>
        <w:trPr>
          <w:tblHeader w:val="true"/>
        </w:trPr>
        <w:tc>
          <w:tcPr>
            <w:tcW w:type="dxa" w:w="1360"/>
            <w:shd w:val="clear" w:color="auto" w:fill="1F3A5F"/>
            <w:tcMar>
              <w:top w:w="40" w:type="dxa"/>
              <w:bottom w:w="40" w:type="dxa"/>
              <w:left w:w="80" w:type="dxa"/>
              <w:right w:w="80" w:type="dxa"/>
            </w:tcMar>
          </w:tcPr>
          <w:p>
            <w:pPr>
              <w:spacing w:after="0"/>
            </w:pPr>
            <w:r>
              <w:rPr>
                <w:b/>
                <w:i w:val="0"/>
                <w:color w:val="FFFFFF"/>
                <w:sz w:val="20"/>
              </w:rPr>
              <w:t>Section</w:t>
            </w:r>
          </w:p>
        </w:tc>
        <w:tc>
          <w:tcPr>
            <w:tcW w:type="dxa" w:w="2109"/>
            <w:shd w:val="clear" w:color="auto" w:fill="1F3A5F"/>
            <w:tcMar>
              <w:top w:w="40" w:type="dxa"/>
              <w:bottom w:w="40" w:type="dxa"/>
              <w:left w:w="80" w:type="dxa"/>
              <w:right w:w="80" w:type="dxa"/>
            </w:tcMar>
          </w:tcPr>
          <w:p>
            <w:pPr>
              <w:spacing w:after="0"/>
            </w:pPr>
            <w:r>
              <w:rPr>
                <w:b/>
                <w:i w:val="0"/>
                <w:color w:val="FFFFFF"/>
                <w:sz w:val="20"/>
              </w:rPr>
              <w:t>Exception</w:t>
            </w:r>
          </w:p>
        </w:tc>
        <w:tc>
          <w:tcPr>
            <w:tcW w:type="dxa" w:w="7043"/>
            <w:shd w:val="clear" w:color="auto" w:fill="1F3A5F"/>
            <w:tcMar>
              <w:top w:w="40" w:type="dxa"/>
              <w:bottom w:w="40" w:type="dxa"/>
              <w:left w:w="80" w:type="dxa"/>
              <w:right w:w="80" w:type="dxa"/>
            </w:tcMar>
          </w:tcPr>
          <w:p>
            <w:pPr>
              <w:spacing w:after="0"/>
            </w:pPr>
            <w:r>
              <w:rPr>
                <w:b/>
                <w:i w:val="0"/>
                <w:color w:val="FFFFFF"/>
                <w:sz w:val="20"/>
              </w:rPr>
              <w:t>Elements / limits</w:t>
            </w:r>
          </w:p>
        </w:tc>
      </w:tr>
      <w:tr>
        <w:trPr>
          <w:cantSplit w:val="true"/>
        </w:trPr>
        <w:tc>
          <w:tcPr>
            <w:tcW w:type="dxa" w:w="1360"/>
            <w:tcMar>
              <w:top w:w="30" w:type="dxa"/>
              <w:bottom w:w="30" w:type="dxa"/>
              <w:left w:w="80" w:type="dxa"/>
              <w:right w:w="80" w:type="dxa"/>
            </w:tcMar>
          </w:tcPr>
          <w:p>
            <w:pPr>
              <w:spacing w:after="0" w:line="240" w:lineRule="auto"/>
            </w:pPr>
            <w:r>
              <w:rPr>
                <w:b/>
                <w:i w:val="0"/>
                <w:sz w:val="20"/>
              </w:rPr>
              <w:t>§ 2-201(2)</w:t>
            </w:r>
          </w:p>
        </w:tc>
        <w:tc>
          <w:tcPr>
            <w:tcW w:type="dxa" w:w="2109"/>
            <w:tcMar>
              <w:top w:w="30" w:type="dxa"/>
              <w:bottom w:w="30" w:type="dxa"/>
              <w:left w:w="80" w:type="dxa"/>
              <w:right w:w="80" w:type="dxa"/>
            </w:tcMar>
          </w:tcPr>
          <w:p>
            <w:pPr>
              <w:spacing w:after="0" w:line="240" w:lineRule="auto"/>
            </w:pPr>
            <w:r>
              <w:rPr>
                <w:b/>
                <w:i w:val="0"/>
                <w:sz w:val="20"/>
              </w:rPr>
              <w:t>Merchant's confirmation</w:t>
            </w:r>
          </w:p>
        </w:tc>
        <w:tc>
          <w:tcPr>
            <w:tcW w:type="dxa" w:w="7043"/>
            <w:tcMar>
              <w:top w:w="30" w:type="dxa"/>
              <w:bottom w:w="30" w:type="dxa"/>
              <w:left w:w="80" w:type="dxa"/>
              <w:right w:w="80" w:type="dxa"/>
            </w:tcMar>
          </w:tcPr>
          <w:p>
            <w:pPr>
              <w:spacing w:after="0" w:line="240" w:lineRule="auto"/>
            </w:pPr>
            <w:r>
              <w:rPr>
                <w:b w:val="0"/>
                <w:i w:val="0"/>
                <w:sz w:val="20"/>
              </w:rPr>
              <w:t xml:space="preserve">Oral deal </w:t>
            </w:r>
            <w:r>
              <w:rPr>
                <w:b/>
                <w:i w:val="0"/>
                <w:sz w:val="20"/>
              </w:rPr>
              <w:t>between merchants</w:t>
            </w:r>
            <w:r>
              <w:rPr>
                <w:b w:val="0"/>
                <w:i w:val="0"/>
                <w:sz w:val="20"/>
              </w:rPr>
              <w:t xml:space="preserve"> · confirmation sent within a </w:t>
            </w:r>
            <w:r>
              <w:rPr>
                <w:b/>
                <w:i w:val="0"/>
                <w:sz w:val="20"/>
              </w:rPr>
              <w:t>reasonable time</w:t>
            </w:r>
            <w:r>
              <w:rPr>
                <w:b w:val="0"/>
                <w:i w:val="0"/>
                <w:sz w:val="20"/>
              </w:rPr>
              <w:t xml:space="preserve"> · </w:t>
            </w:r>
            <w:r>
              <w:rPr>
                <w:b/>
                <w:i w:val="0"/>
                <w:sz w:val="20"/>
              </w:rPr>
              <w:t>sufficient against the sender</w:t>
            </w:r>
            <w:r>
              <w:rPr>
                <w:b w:val="0"/>
                <w:i w:val="0"/>
                <w:sz w:val="20"/>
              </w:rPr>
              <w:t xml:space="preserve"> · recipient </w:t>
            </w:r>
            <w:r>
              <w:rPr>
                <w:b/>
                <w:i w:val="0"/>
                <w:sz w:val="20"/>
              </w:rPr>
              <w:t>receives it and has reason to know</w:t>
            </w:r>
            <w:r>
              <w:rPr>
                <w:b w:val="0"/>
                <w:i w:val="0"/>
                <w:sz w:val="20"/>
              </w:rPr>
              <w:t xml:space="preserve"> its contents · </w:t>
            </w:r>
            <w:r>
              <w:rPr>
                <w:b/>
                <w:i w:val="0"/>
                <w:sz w:val="20"/>
              </w:rPr>
              <w:t>no written objection within 10 days</w:t>
            </w:r>
          </w:p>
        </w:tc>
      </w:tr>
      <w:tr>
        <w:trPr>
          <w:cantSplit w:val="true"/>
        </w:trPr>
        <w:tc>
          <w:tcPr>
            <w:tcW w:type="dxa" w:w="1360"/>
            <w:tcMar>
              <w:top w:w="30" w:type="dxa"/>
              <w:bottom w:w="30" w:type="dxa"/>
              <w:left w:w="80" w:type="dxa"/>
              <w:right w:w="80" w:type="dxa"/>
            </w:tcMar>
            <w:shd w:val="clear" w:color="auto" w:fill="F2F6FB"/>
          </w:tcPr>
          <w:p>
            <w:pPr>
              <w:spacing w:after="0" w:line="240" w:lineRule="auto"/>
            </w:pPr>
            <w:r>
              <w:rPr>
                <w:b/>
                <w:i w:val="0"/>
                <w:sz w:val="20"/>
              </w:rPr>
              <w:t>§ 2-201(3)(a)</w:t>
            </w:r>
          </w:p>
        </w:tc>
        <w:tc>
          <w:tcPr>
            <w:tcW w:type="dxa" w:w="2109"/>
            <w:tcMar>
              <w:top w:w="30" w:type="dxa"/>
              <w:bottom w:w="30" w:type="dxa"/>
              <w:left w:w="80" w:type="dxa"/>
              <w:right w:w="80" w:type="dxa"/>
            </w:tcMar>
            <w:shd w:val="clear" w:color="auto" w:fill="F2F6FB"/>
          </w:tcPr>
          <w:p>
            <w:pPr>
              <w:spacing w:after="0" w:line="240" w:lineRule="auto"/>
            </w:pPr>
            <w:r>
              <w:rPr>
                <w:b/>
                <w:i w:val="0"/>
                <w:sz w:val="20"/>
              </w:rPr>
              <w:t>Specially manufactured goods</w:t>
            </w:r>
          </w:p>
        </w:tc>
        <w:tc>
          <w:tcPr>
            <w:tcW w:type="dxa" w:w="7043"/>
            <w:tcMar>
              <w:top w:w="30" w:type="dxa"/>
              <w:bottom w:w="30" w:type="dxa"/>
              <w:left w:w="80" w:type="dxa"/>
              <w:right w:w="80" w:type="dxa"/>
            </w:tcMar>
            <w:shd w:val="clear" w:color="auto" w:fill="F2F6FB"/>
          </w:tcPr>
          <w:p>
            <w:pPr>
              <w:spacing w:after="0" w:line="240" w:lineRule="auto"/>
            </w:pPr>
            <w:r>
              <w:rPr>
                <w:b w:val="0"/>
                <w:i w:val="0"/>
                <w:sz w:val="20"/>
              </w:rPr>
              <w:t xml:space="preserve">Made for buyer · </w:t>
            </w:r>
            <w:r>
              <w:rPr>
                <w:b/>
                <w:i w:val="0"/>
                <w:sz w:val="20"/>
              </w:rPr>
              <w:t>not suitable for sale to others</w:t>
            </w:r>
            <w:r>
              <w:rPr>
                <w:b w:val="0"/>
                <w:i w:val="0"/>
                <w:sz w:val="20"/>
              </w:rPr>
              <w:t xml:space="preserve"> in seller's ordinary course · seller made a </w:t>
            </w:r>
            <w:r>
              <w:rPr>
                <w:b/>
                <w:i w:val="0"/>
                <w:sz w:val="20"/>
              </w:rPr>
              <w:t>substantial beginning</w:t>
            </w:r>
            <w:r>
              <w:rPr>
                <w:b w:val="0"/>
                <w:i w:val="0"/>
                <w:sz w:val="20"/>
              </w:rPr>
              <w:t xml:space="preserve"> of manufacture or </w:t>
            </w:r>
            <w:r>
              <w:rPr>
                <w:b/>
                <w:i w:val="0"/>
                <w:sz w:val="20"/>
              </w:rPr>
              <w:t>commitments for procurement</w:t>
            </w:r>
            <w:r>
              <w:rPr>
                <w:b w:val="0"/>
                <w:i w:val="0"/>
                <w:sz w:val="20"/>
              </w:rPr>
              <w:t xml:space="preserve"> </w:t>
            </w:r>
            <w:r>
              <w:rPr>
                <w:b/>
                <w:i w:val="0"/>
                <w:sz w:val="20"/>
              </w:rPr>
              <w:t>before notice of repudiation</w:t>
            </w:r>
          </w:p>
        </w:tc>
      </w:tr>
      <w:tr>
        <w:trPr>
          <w:cantSplit w:val="true"/>
        </w:trPr>
        <w:tc>
          <w:tcPr>
            <w:tcW w:type="dxa" w:w="1360"/>
            <w:tcMar>
              <w:top w:w="30" w:type="dxa"/>
              <w:bottom w:w="30" w:type="dxa"/>
              <w:left w:w="80" w:type="dxa"/>
              <w:right w:w="80" w:type="dxa"/>
            </w:tcMar>
          </w:tcPr>
          <w:p>
            <w:pPr>
              <w:spacing w:after="0" w:line="240" w:lineRule="auto"/>
            </w:pPr>
            <w:r>
              <w:rPr>
                <w:b/>
                <w:i w:val="0"/>
                <w:sz w:val="20"/>
              </w:rPr>
              <w:t>§ 2-201(3)(b)</w:t>
            </w:r>
          </w:p>
        </w:tc>
        <w:tc>
          <w:tcPr>
            <w:tcW w:type="dxa" w:w="2109"/>
            <w:tcMar>
              <w:top w:w="30" w:type="dxa"/>
              <w:bottom w:w="30" w:type="dxa"/>
              <w:left w:w="80" w:type="dxa"/>
              <w:right w:w="80" w:type="dxa"/>
            </w:tcMar>
          </w:tcPr>
          <w:p>
            <w:pPr>
              <w:spacing w:after="0" w:line="240" w:lineRule="auto"/>
            </w:pPr>
            <w:r>
              <w:rPr>
                <w:b/>
                <w:i w:val="0"/>
                <w:sz w:val="20"/>
              </w:rPr>
              <w:t>Admission</w:t>
            </w:r>
          </w:p>
        </w:tc>
        <w:tc>
          <w:tcPr>
            <w:tcW w:type="dxa" w:w="7043"/>
            <w:tcMar>
              <w:top w:w="30" w:type="dxa"/>
              <w:bottom w:w="30" w:type="dxa"/>
              <w:left w:w="80" w:type="dxa"/>
              <w:right w:w="80" w:type="dxa"/>
            </w:tcMar>
          </w:tcPr>
          <w:p>
            <w:pPr>
              <w:spacing w:after="0" w:line="240" w:lineRule="auto"/>
            </w:pPr>
            <w:r>
              <w:rPr>
                <w:b w:val="0"/>
                <w:i w:val="0"/>
                <w:sz w:val="20"/>
              </w:rPr>
              <w:t xml:space="preserve">Party admits in </w:t>
            </w:r>
            <w:r>
              <w:rPr>
                <w:b/>
                <w:i w:val="0"/>
                <w:sz w:val="20"/>
              </w:rPr>
              <w:t>pleading, testimony, or otherwise in court</w:t>
            </w:r>
            <w:r>
              <w:rPr>
                <w:b w:val="0"/>
                <w:i w:val="0"/>
                <w:sz w:val="20"/>
              </w:rPr>
              <w:t xml:space="preserve"> — enforceable only </w:t>
            </w:r>
            <w:r>
              <w:rPr>
                <w:b/>
                <w:i w:val="0"/>
                <w:sz w:val="20"/>
              </w:rPr>
              <w:t>up to the quantity admitted</w:t>
            </w:r>
          </w:p>
        </w:tc>
      </w:tr>
      <w:tr>
        <w:trPr>
          <w:cantSplit w:val="true"/>
        </w:trPr>
        <w:tc>
          <w:tcPr>
            <w:tcW w:type="dxa" w:w="1360"/>
            <w:tcMar>
              <w:top w:w="30" w:type="dxa"/>
              <w:bottom w:w="30" w:type="dxa"/>
              <w:left w:w="80" w:type="dxa"/>
              <w:right w:w="80" w:type="dxa"/>
            </w:tcMar>
            <w:shd w:val="clear" w:color="auto" w:fill="F2F6FB"/>
          </w:tcPr>
          <w:p>
            <w:pPr>
              <w:spacing w:after="0" w:line="240" w:lineRule="auto"/>
            </w:pPr>
            <w:r>
              <w:rPr>
                <w:b/>
                <w:i w:val="0"/>
                <w:sz w:val="20"/>
              </w:rPr>
              <w:t>§ 2-201(3)(c)</w:t>
            </w:r>
          </w:p>
        </w:tc>
        <w:tc>
          <w:tcPr>
            <w:tcW w:type="dxa" w:w="2109"/>
            <w:tcMar>
              <w:top w:w="30" w:type="dxa"/>
              <w:bottom w:w="30" w:type="dxa"/>
              <w:left w:w="80" w:type="dxa"/>
              <w:right w:w="80" w:type="dxa"/>
            </w:tcMar>
            <w:shd w:val="clear" w:color="auto" w:fill="F2F6FB"/>
          </w:tcPr>
          <w:p>
            <w:pPr>
              <w:spacing w:after="0" w:line="240" w:lineRule="auto"/>
            </w:pPr>
            <w:r>
              <w:rPr>
                <w:b/>
                <w:i w:val="0"/>
                <w:sz w:val="20"/>
              </w:rPr>
              <w:t>Part performance</w:t>
            </w:r>
          </w:p>
        </w:tc>
        <w:tc>
          <w:tcPr>
            <w:tcW w:type="dxa" w:w="7043"/>
            <w:tcMar>
              <w:top w:w="30" w:type="dxa"/>
              <w:bottom w:w="30" w:type="dxa"/>
              <w:left w:w="80" w:type="dxa"/>
              <w:right w:w="80" w:type="dxa"/>
            </w:tcMar>
            <w:shd w:val="clear" w:color="auto" w:fill="F2F6FB"/>
          </w:tcPr>
          <w:p>
            <w:pPr>
              <w:spacing w:after="0" w:line="240" w:lineRule="auto"/>
            </w:pPr>
            <w:r>
              <w:rPr>
                <w:b w:val="0"/>
                <w:i w:val="0"/>
                <w:sz w:val="20"/>
              </w:rPr>
              <w:t xml:space="preserve">Goods </w:t>
            </w:r>
            <w:r>
              <w:rPr>
                <w:b/>
                <w:i w:val="0"/>
                <w:sz w:val="20"/>
              </w:rPr>
              <w:t>paid for and accepted</w:t>
            </w:r>
            <w:r>
              <w:rPr>
                <w:b w:val="0"/>
                <w:i w:val="0"/>
                <w:sz w:val="20"/>
              </w:rPr>
              <w:t xml:space="preserve"> or </w:t>
            </w:r>
            <w:r>
              <w:rPr>
                <w:b/>
                <w:i w:val="0"/>
                <w:sz w:val="20"/>
              </w:rPr>
              <w:t>received and accepted</w:t>
            </w:r>
            <w:r>
              <w:rPr>
                <w:b w:val="0"/>
                <w:i w:val="0"/>
                <w:sz w:val="20"/>
              </w:rPr>
              <w:t xml:space="preserve"> — only </w:t>
            </w:r>
            <w:r>
              <w:rPr>
                <w:b/>
                <w:i w:val="0"/>
                <w:sz w:val="20"/>
              </w:rPr>
              <w:t>as to those goods</w:t>
            </w:r>
          </w:p>
        </w:tc>
      </w:tr>
    </w:tbl>
    <w:p>
      <w:pPr>
        <w:spacing w:after="0" w:line="120" w:lineRule="exact"/>
      </w:pPr>
    </w:p>
    <w:p>
      <w:pPr>
        <w:pStyle w:val="ListBullet"/>
      </w:pPr>
      <w:r>
        <w:rPr>
          <w:b/>
          <w:i w:val="0"/>
        </w:rPr>
        <w:t>Problem 2-10(A) — "sufficient against the sender":</w:t>
      </w:r>
      <w:r>
        <w:rPr>
          <w:b w:val="0"/>
          <w:i w:val="0"/>
        </w:rPr>
        <w:t xml:space="preserve"> the confirmation must satisfy § 2-201(1) </w:t>
      </w:r>
      <w:r>
        <w:rPr>
          <w:b/>
          <w:i w:val="0"/>
        </w:rPr>
        <w:t>against its sender</w:t>
      </w:r>
      <w:r>
        <w:rPr>
          <w:b w:val="0"/>
          <w:i w:val="0"/>
        </w:rPr>
        <w:t xml:space="preserve"> — </w:t>
      </w:r>
      <w:r>
        <w:rPr>
          <w:b/>
          <w:i w:val="0"/>
        </w:rPr>
        <w:t>signed by the sender, indicates a contract, states a quantity</w:t>
      </w:r>
      <w:r>
        <w:rPr>
          <w:b w:val="0"/>
          <w:i w:val="0"/>
        </w:rPr>
        <w:t xml:space="preserve">. ✓ "This confirms our deal: 500 widgets at $10 — /s/ Seller." ✗ an </w:t>
      </w:r>
      <w:r>
        <w:rPr>
          <w:b/>
          <w:i w:val="0"/>
        </w:rPr>
        <w:t>unsigned</w:t>
      </w:r>
      <w:r>
        <w:rPr>
          <w:b w:val="0"/>
          <w:i w:val="0"/>
        </w:rPr>
        <w:t xml:space="preserve"> invoice, a mere </w:t>
      </w:r>
      <w:r>
        <w:rPr>
          <w:b/>
          <w:i w:val="0"/>
        </w:rPr>
        <w:t>quote</w:t>
      </w:r>
      <w:r>
        <w:rPr>
          <w:b w:val="0"/>
          <w:i w:val="0"/>
        </w:rPr>
        <w:t xml:space="preserve">, or a confirmation </w:t>
      </w:r>
      <w:r>
        <w:rPr>
          <w:b/>
          <w:i w:val="0"/>
        </w:rPr>
        <w:t>without quantity</w:t>
      </w:r>
      <w:r>
        <w:rPr>
          <w:b w:val="0"/>
          <w:i w:val="0"/>
        </w:rPr>
        <w:t>.</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CF6EE"/>
            <w:tcMar>
              <w:top w:w="70" w:type="dxa"/>
              <w:bottom w:w="70" w:type="dxa"/>
              <w:left w:w="140" w:type="dxa"/>
              <w:right w:w="120" w:type="dxa"/>
            </w:tcMar>
            <w:tcBorders>
              <w:left w:val="single" w:sz="30" w:space="0" w:color="2E7D32"/>
            </w:tcBorders>
          </w:tcPr>
          <w:p>
            <w:pPr>
              <w:spacing w:after="30" w:line="240" w:lineRule="auto"/>
            </w:pPr>
            <w:r>
              <w:rPr>
                <w:b/>
                <w:color w:val="2E7D32"/>
                <w:sz w:val="15"/>
              </w:rPr>
              <w:t xml:space="preserve">MAIN CASE   </w:t>
            </w:r>
            <w:r>
              <w:rPr>
                <w:b/>
                <w:i w:val="0"/>
                <w:sz w:val="21"/>
              </w:rPr>
              <w:t xml:space="preserve">Casazza v. Kiser (8th Cir. 2002) — statute of frauds exceptions</w:t>
            </w:r>
          </w:p>
          <w:p>
            <w:pPr>
              <w:spacing w:after="30" w:line="240" w:lineRule="auto"/>
            </w:pPr>
            <w:r>
              <w:rPr>
                <w:b/>
                <w:i w:val="0"/>
                <w:color w:val="595959"/>
                <w:sz w:val="18"/>
              </w:rPr>
              <w:t xml:space="preserve">Source:</w:t>
            </w:r>
            <w:r>
              <w:rPr>
                <w:b w:val="0"/>
                <w:i w:val="0"/>
                <w:color w:val="595959"/>
                <w:sz w:val="18"/>
              </w:rPr>
              <w:t xml:space="preserve"> principal case, casebook pp. 75–80. Not named on the slides; the exceptions are covered at W1-S50 to S54.</w:t>
            </w:r>
          </w:p>
          <w:p>
            <w:pPr>
              <w:spacing w:after="30" w:line="240" w:lineRule="auto"/>
            </w:pPr>
            <w:r>
              <w:rPr>
                <w:b/>
                <w:i w:val="0"/>
                <w:sz w:val="21"/>
              </w:rPr>
              <w:t xml:space="preserve">Facts:</w:t>
            </w:r>
            <w:r>
              <w:rPr>
                <w:b w:val="0"/>
                <w:i w:val="0"/>
                <w:sz w:val="21"/>
              </w:rPr>
              <w:t xml:space="preserve"> Casazza found Kiser's internet listing for the </w:t>
            </w:r>
            <w:r>
              <w:rPr>
                <w:b/>
                <w:i w:val="0"/>
                <w:sz w:val="21"/>
              </w:rPr>
              <w:t xml:space="preserve">Andante, a 52-foot sailboat</w:t>
            </w:r>
            <w:r>
              <w:rPr>
                <w:b w:val="0"/>
                <w:i w:val="0"/>
                <w:sz w:val="21"/>
              </w:rPr>
              <w:t xml:space="preserve">, inspected it in Ft. Lauderdale, and (he said) orally agreed to buy it for </w:t>
            </w:r>
            <w:r>
              <w:rPr>
                <w:b/>
                <w:i w:val="0"/>
                <w:sz w:val="21"/>
              </w:rPr>
              <w:t xml:space="preserve">$200,000</w:t>
            </w:r>
            <w:r>
              <w:rPr>
                <w:b w:val="0"/>
                <w:i w:val="0"/>
                <w:sz w:val="21"/>
              </w:rPr>
              <w:t xml:space="preserve">, subject to a survey and sea trial. Each side jotted terms on separate sheets and Casazza typed them up, but </w:t>
            </w:r>
            <w:r>
              <w:rPr>
                <w:b/>
                <w:i w:val="0"/>
                <w:sz w:val="21"/>
              </w:rPr>
              <w:t xml:space="preserve">Kiser never signed anything about the boat</w:t>
            </w:r>
            <w:r>
              <w:rPr>
                <w:b w:val="0"/>
                <w:i w:val="0"/>
                <w:sz w:val="21"/>
              </w:rPr>
              <w:t xml:space="preserve">. The only document both signed was a </w:t>
            </w:r>
            <w:r>
              <w:rPr>
                <w:b/>
                <w:i w:val="0"/>
                <w:sz w:val="21"/>
              </w:rPr>
              <w:t xml:space="preserve">license transferring the boat's navigation software</w:t>
            </w:r>
            <w:r>
              <w:rPr>
                <w:b w:val="0"/>
                <w:i w:val="0"/>
                <w:sz w:val="21"/>
              </w:rPr>
              <w:t xml:space="preserve">, which never mentioned the boat. Casazza booked a survey and a Virginia slip; a week later Kiser backed out and sold the boat to someone else.</w:t>
            </w:r>
          </w:p>
          <w:p>
            <w:pPr>
              <w:spacing w:after="30" w:line="240" w:lineRule="auto"/>
            </w:pPr>
            <w:r>
              <w:rPr>
                <w:b/>
                <w:i w:val="0"/>
                <w:sz w:val="21"/>
              </w:rPr>
              <w:t xml:space="preserve">Held:</w:t>
            </w:r>
            <w:r>
              <w:rPr>
                <w:b w:val="0"/>
                <w:i w:val="0"/>
                <w:sz w:val="21"/>
              </w:rPr>
              <w:t xml:space="preserve"> Dismissal affirmed — no enforceable contract. </w:t>
            </w:r>
            <w:r>
              <w:rPr>
                <w:b/>
                <w:i w:val="0"/>
                <w:sz w:val="21"/>
              </w:rPr>
              <w:t xml:space="preserve">Part performance</w:t>
            </w:r>
            <w:r>
              <w:rPr>
                <w:b w:val="0"/>
                <w:i w:val="0"/>
                <w:sz w:val="21"/>
              </w:rPr>
              <w:t xml:space="preserve"> failed: accepting the software wasn't accepting the boat — they aren't one "commercial unit" (software bought years after the boat; boat later sold without it). </w:t>
            </w:r>
            <w:r>
              <w:rPr>
                <w:b/>
                <w:i w:val="0"/>
                <w:sz w:val="21"/>
              </w:rPr>
              <w:t xml:space="preserve">No sufficient writing:</w:t>
            </w:r>
            <w:r>
              <w:rPr>
                <w:b w:val="0"/>
                <w:i w:val="0"/>
                <w:sz w:val="21"/>
              </w:rPr>
              <w:t xml:space="preserve"> the typed terms were unsigned by Kiser; the signed license didn't refer to a boat sale, so the papers couldn't be read together. </w:t>
            </w:r>
            <w:r>
              <w:rPr>
                <w:b/>
                <w:i w:val="0"/>
                <w:sz w:val="21"/>
              </w:rPr>
              <w:t xml:space="preserve">Admission:</w:t>
            </w:r>
            <w:r>
              <w:rPr>
                <w:b w:val="0"/>
                <w:i w:val="0"/>
                <w:sz w:val="21"/>
              </w:rPr>
              <w:t xml:space="preserve"> hoping Kiser might admit the deal in a deposition isn't an admission. </w:t>
            </w:r>
            <w:r>
              <w:rPr>
                <w:b/>
                <w:i w:val="0"/>
                <w:sz w:val="21"/>
              </w:rPr>
              <w:t xml:space="preserve">Promissory estoppel</w:t>
            </w:r>
            <w:r>
              <w:rPr>
                <w:b w:val="0"/>
                <w:i w:val="0"/>
                <w:sz w:val="21"/>
              </w:rPr>
              <w:t xml:space="preserve"> couldn't get around § 2-201 under any test — his reliance wasn't the kind that makes refusal a fraud.</w:t>
            </w:r>
          </w:p>
          <w:p>
            <w:pPr>
              <w:spacing w:after="0" w:line="240" w:lineRule="auto"/>
            </w:pPr>
            <w:r>
              <w:rPr>
                <w:b/>
                <w:i w:val="0"/>
                <w:sz w:val="21"/>
              </w:rPr>
              <w:t xml:space="preserve">Why it matters:</w:t>
            </w:r>
            <w:r>
              <w:rPr>
                <w:b w:val="0"/>
                <w:i w:val="0"/>
                <w:sz w:val="21"/>
              </w:rPr>
              <w:t xml:space="preserve"> walks through every § 2-201 escape route and shows how narrow each is. Big oral deal + no signature from the party being sued = unenforceable, even between two individuals (Art. 2 still applies).</w:t>
            </w:r>
          </w:p>
        </w:tc>
      </w:tr>
    </w:tbl>
    <w:p>
      <w:pPr>
        <w:spacing w:after="0" w:line="100" w:lineRule="exact"/>
      </w:pPr>
    </w:p>
    <w:p>
      <w:pPr>
        <w:keepNext/>
        <w:spacing w:before="120" w:after="40"/>
        <w:pBdr>
          <w:bottom w:val="single" w:sz="6" w:space="1" w:color="8EAADB"/>
        </w:pBdr>
      </w:pPr>
      <w:r>
        <w:rPr>
          <w:b/>
          <w:i w:val="0"/>
          <w:color w:val="1F3A5F"/>
          <w:sz w:val="25"/>
        </w:rPr>
        <w:t>Unconscionability — § 2-302</w:t>
      </w:r>
    </w:p>
    <w:p>
      <w:pPr>
        <w:pStyle w:val="ListBullet"/>
      </w:pPr>
      <w:r>
        <w:rPr>
          <w:b w:val="0"/>
          <w:i w:val="0"/>
        </w:rPr>
        <w:t xml:space="preserve">Court decides </w:t>
      </w:r>
      <w:r>
        <w:rPr>
          <w:b/>
          <w:i w:val="0"/>
        </w:rPr>
        <w:t>as a matter of law</w:t>
      </w:r>
      <w:r>
        <w:rPr>
          <w:b w:val="0"/>
          <w:i w:val="0"/>
        </w:rPr>
        <w:t xml:space="preserve">, judged </w:t>
      </w:r>
      <w:r>
        <w:rPr>
          <w:b/>
          <w:i w:val="0"/>
        </w:rPr>
        <w:t>at the time of contracting</w:t>
      </w:r>
      <w:r>
        <w:rPr>
          <w:b w:val="0"/>
          <w:i w:val="0"/>
        </w:rPr>
        <w:t xml:space="preserve">; may refuse the whole contract, </w:t>
      </w:r>
      <w:r>
        <w:rPr>
          <w:b/>
          <w:i w:val="0"/>
        </w:rPr>
        <w:t>strike the clause</w:t>
      </w:r>
      <w:r>
        <w:rPr>
          <w:b w:val="0"/>
          <w:i w:val="0"/>
        </w:rPr>
        <w:t xml:space="preserve">, or </w:t>
      </w:r>
      <w:r>
        <w:rPr>
          <w:b/>
          <w:i w:val="0"/>
        </w:rPr>
        <w:t>limit</w:t>
      </w:r>
      <w:r>
        <w:rPr>
          <w:b w:val="0"/>
          <w:i w:val="0"/>
        </w:rPr>
        <w:t xml:space="preserve"> it; parties get to present evidence of commercial setting.</w:t>
      </w:r>
    </w:p>
    <w:p>
      <w:pPr>
        <w:pStyle w:val="ListBullet"/>
      </w:pPr>
      <w:r>
        <w:rPr>
          <w:b/>
          <w:i w:val="0"/>
        </w:rPr>
        <w:t>Procedural</w:t>
      </w:r>
      <w:r>
        <w:rPr>
          <w:b w:val="0"/>
          <w:i w:val="0"/>
        </w:rPr>
        <w:t xml:space="preserve"> (unfair surprise: fine print, no meaningful choice, unequal bargaining power) + </w:t>
      </w:r>
      <w:r>
        <w:rPr>
          <w:b/>
          <w:i w:val="0"/>
        </w:rPr>
        <w:t>substantive</w:t>
      </w:r>
      <w:r>
        <w:rPr>
          <w:b w:val="0"/>
          <w:i w:val="0"/>
        </w:rPr>
        <w:t xml:space="preserve"> (oppressive, one-sided terms). Most courts want both (some use a sliding scale). </w:t>
      </w:r>
      <w:r>
        <w:rPr>
          <w:b/>
          <w:i w:val="0"/>
        </w:rPr>
        <w:t>Cannot be contracted away.</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IV. Good Faith, Modification, Waiver &amp; Estoppel</w:t>
            </w:r>
            <w:r>
              <w:rPr>
                <w:b/>
                <w:color w:val="C9D9EE"/>
                <w:sz w:val="16"/>
              </w:rPr>
              <w:t xml:space="preserve">    WEEK 2</w:t>
            </w:r>
          </w:p>
        </w:tc>
      </w:tr>
    </w:tbl>
    <w:p>
      <w:pPr>
        <w:keepNext/>
        <w:spacing w:after="0" w:line="80" w:lineRule="exact"/>
      </w:pPr>
    </w:p>
    <w:p>
      <w:pPr>
        <w:keepNext/>
        <w:spacing w:before="120" w:after="40"/>
        <w:pBdr>
          <w:bottom w:val="single" w:sz="6" w:space="1" w:color="8EAADB"/>
        </w:pBdr>
      </w:pPr>
      <w:r>
        <w:rPr>
          <w:b/>
          <w:i w:val="0"/>
          <w:color w:val="1F3A5F"/>
          <w:sz w:val="25"/>
        </w:rPr>
        <w:t>Course of performance, dealing, usage of trade — § 1-303</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1934"/>
        <w:gridCol w:w="6810"/>
        <w:gridCol w:w="1767"/>
      </w:tblGrid>
      <w:tr>
        <w:trPr>
          <w:tblHeader w:val="true"/>
        </w:trPr>
        <w:tc>
          <w:tcPr>
            <w:tcW w:type="dxa" w:w="1934"/>
            <w:shd w:val="clear" w:color="auto" w:fill="1F3A5F"/>
            <w:tcMar>
              <w:top w:w="40" w:type="dxa"/>
              <w:bottom w:w="40" w:type="dxa"/>
              <w:left w:w="80" w:type="dxa"/>
              <w:right w:w="80" w:type="dxa"/>
            </w:tcMar>
          </w:tcPr>
          <w:p>
            <w:pPr>
              <w:spacing w:after="0"/>
            </w:pPr>
            <w:r>
              <w:rPr>
                <w:b/>
                <w:i w:val="0"/>
                <w:color w:val="FFFFFF"/>
                <w:sz w:val="20"/>
              </w:rPr>
              <w:t>Concept</w:t>
            </w:r>
          </w:p>
        </w:tc>
        <w:tc>
          <w:tcPr>
            <w:tcW w:type="dxa" w:w="6810"/>
            <w:shd w:val="clear" w:color="auto" w:fill="1F3A5F"/>
            <w:tcMar>
              <w:top w:w="40" w:type="dxa"/>
              <w:bottom w:w="40" w:type="dxa"/>
              <w:left w:w="80" w:type="dxa"/>
              <w:right w:w="80" w:type="dxa"/>
            </w:tcMar>
          </w:tcPr>
          <w:p>
            <w:pPr>
              <w:spacing w:after="0"/>
            </w:pPr>
            <w:r>
              <w:rPr>
                <w:b/>
                <w:i w:val="0"/>
                <w:color w:val="FFFFFF"/>
                <w:sz w:val="20"/>
              </w:rPr>
              <w:t>What it is</w:t>
            </w:r>
          </w:p>
        </w:tc>
        <w:tc>
          <w:tcPr>
            <w:tcW w:type="dxa" w:w="1768"/>
            <w:shd w:val="clear" w:color="auto" w:fill="1F3A5F"/>
            <w:tcMar>
              <w:top w:w="40" w:type="dxa"/>
              <w:bottom w:w="40" w:type="dxa"/>
              <w:left w:w="80" w:type="dxa"/>
              <w:right w:w="80" w:type="dxa"/>
            </w:tcMar>
          </w:tcPr>
          <w:p>
            <w:pPr>
              <w:spacing w:after="0"/>
            </w:pPr>
            <w:r>
              <w:rPr>
                <w:b/>
                <w:i w:val="0"/>
                <w:color w:val="FFFFFF"/>
                <w:sz w:val="20"/>
              </w:rPr>
              <w:t>Timing</w:t>
            </w:r>
          </w:p>
        </w:tc>
      </w:tr>
      <w:tr>
        <w:trPr>
          <w:cantSplit w:val="true"/>
        </w:trPr>
        <w:tc>
          <w:tcPr>
            <w:tcW w:type="dxa" w:w="1934"/>
            <w:tcMar>
              <w:top w:w="30" w:type="dxa"/>
              <w:bottom w:w="30" w:type="dxa"/>
              <w:left w:w="80" w:type="dxa"/>
              <w:right w:w="80" w:type="dxa"/>
            </w:tcMar>
          </w:tcPr>
          <w:p>
            <w:pPr>
              <w:spacing w:after="0" w:line="240" w:lineRule="auto"/>
            </w:pPr>
            <w:r>
              <w:rPr>
                <w:b/>
                <w:i w:val="0"/>
                <w:sz w:val="20"/>
              </w:rPr>
              <w:t>Course of performance</w:t>
            </w:r>
          </w:p>
        </w:tc>
        <w:tc>
          <w:tcPr>
            <w:tcW w:type="dxa" w:w="6810"/>
            <w:tcMar>
              <w:top w:w="30" w:type="dxa"/>
              <w:bottom w:w="30" w:type="dxa"/>
              <w:left w:w="80" w:type="dxa"/>
              <w:right w:w="80" w:type="dxa"/>
            </w:tcMar>
          </w:tcPr>
          <w:p>
            <w:pPr>
              <w:spacing w:after="0" w:line="240" w:lineRule="auto"/>
            </w:pPr>
            <w:r>
              <w:rPr>
                <w:b w:val="0"/>
                <w:i w:val="0"/>
                <w:sz w:val="20"/>
              </w:rPr>
              <w:t xml:space="preserve">Repeated occasions for performance under </w:t>
            </w:r>
            <w:r>
              <w:rPr>
                <w:b/>
                <w:i w:val="0"/>
                <w:sz w:val="20"/>
              </w:rPr>
              <w:t>this</w:t>
            </w:r>
            <w:r>
              <w:rPr>
                <w:b w:val="0"/>
                <w:i w:val="0"/>
                <w:sz w:val="20"/>
              </w:rPr>
              <w:t xml:space="preserve"> contract, accepted/acquiesced in </w:t>
            </w:r>
            <w:r>
              <w:rPr>
                <w:b/>
                <w:i w:val="0"/>
                <w:sz w:val="20"/>
              </w:rPr>
              <w:t>with knowledge and opportunity to object</w:t>
            </w:r>
            <w:r>
              <w:rPr>
                <w:b w:val="0"/>
                <w:i w:val="0"/>
                <w:sz w:val="20"/>
              </w:rPr>
              <w:t xml:space="preserve"> (one occasion isn't enough)</w:t>
            </w:r>
          </w:p>
        </w:tc>
        <w:tc>
          <w:tcPr>
            <w:tcW w:type="dxa" w:w="1768"/>
            <w:tcMar>
              <w:top w:w="30" w:type="dxa"/>
              <w:bottom w:w="30" w:type="dxa"/>
              <w:left w:w="80" w:type="dxa"/>
              <w:right w:w="80" w:type="dxa"/>
            </w:tcMar>
          </w:tcPr>
          <w:p>
            <w:pPr>
              <w:spacing w:after="0" w:line="240" w:lineRule="auto"/>
            </w:pPr>
            <w:r>
              <w:rPr>
                <w:b/>
                <w:i w:val="0"/>
                <w:sz w:val="20"/>
              </w:rPr>
              <w:t>After</w:t>
            </w:r>
            <w:r>
              <w:rPr>
                <w:b w:val="0"/>
                <w:i w:val="0"/>
                <w:sz w:val="20"/>
              </w:rPr>
              <w:t xml:space="preserve"> contracting</w:t>
            </w:r>
          </w:p>
        </w:tc>
      </w:tr>
      <w:tr>
        <w:trPr>
          <w:cantSplit w:val="true"/>
        </w:trPr>
        <w:tc>
          <w:tcPr>
            <w:tcW w:type="dxa" w:w="1934"/>
            <w:tcMar>
              <w:top w:w="30" w:type="dxa"/>
              <w:bottom w:w="30" w:type="dxa"/>
              <w:left w:w="80" w:type="dxa"/>
              <w:right w:w="80" w:type="dxa"/>
            </w:tcMar>
            <w:shd w:val="clear" w:color="auto" w:fill="F2F6FB"/>
          </w:tcPr>
          <w:p>
            <w:pPr>
              <w:spacing w:after="0" w:line="240" w:lineRule="auto"/>
            </w:pPr>
            <w:r>
              <w:rPr>
                <w:b/>
                <w:i w:val="0"/>
                <w:sz w:val="20"/>
              </w:rPr>
              <w:t>Course of dealing</w:t>
            </w:r>
          </w:p>
        </w:tc>
        <w:tc>
          <w:tcPr>
            <w:tcW w:type="dxa" w:w="6810"/>
            <w:tcMar>
              <w:top w:w="30" w:type="dxa"/>
              <w:bottom w:w="30" w:type="dxa"/>
              <w:left w:w="80" w:type="dxa"/>
              <w:right w:w="80" w:type="dxa"/>
            </w:tcMar>
            <w:shd w:val="clear" w:color="auto" w:fill="F2F6FB"/>
          </w:tcPr>
          <w:p>
            <w:pPr>
              <w:spacing w:after="0" w:line="240" w:lineRule="auto"/>
            </w:pPr>
            <w:r>
              <w:rPr>
                <w:b w:val="0"/>
                <w:i w:val="0"/>
                <w:sz w:val="20"/>
              </w:rPr>
              <w:t xml:space="preserve">Conduct in </w:t>
            </w:r>
            <w:r>
              <w:rPr>
                <w:b/>
                <w:i w:val="0"/>
                <w:sz w:val="20"/>
              </w:rPr>
              <w:t>prior</w:t>
            </w:r>
            <w:r>
              <w:rPr>
                <w:b w:val="0"/>
                <w:i w:val="0"/>
                <w:sz w:val="20"/>
              </w:rPr>
              <w:t xml:space="preserve"> transactions between the parties establishing a common understanding</w:t>
            </w:r>
          </w:p>
        </w:tc>
        <w:tc>
          <w:tcPr>
            <w:tcW w:type="dxa" w:w="1768"/>
            <w:tcMar>
              <w:top w:w="30" w:type="dxa"/>
              <w:bottom w:w="30" w:type="dxa"/>
              <w:left w:w="80" w:type="dxa"/>
              <w:right w:w="80" w:type="dxa"/>
            </w:tcMar>
            <w:shd w:val="clear" w:color="auto" w:fill="F2F6FB"/>
          </w:tcPr>
          <w:p>
            <w:pPr>
              <w:spacing w:after="0" w:line="240" w:lineRule="auto"/>
            </w:pPr>
            <w:r>
              <w:rPr>
                <w:b/>
                <w:i w:val="0"/>
                <w:sz w:val="20"/>
              </w:rPr>
              <w:t>Before</w:t>
            </w:r>
            <w:r>
              <w:rPr>
                <w:b w:val="0"/>
                <w:i w:val="0"/>
                <w:sz w:val="20"/>
              </w:rPr>
              <w:t xml:space="preserve"> contracting</w:t>
            </w:r>
          </w:p>
        </w:tc>
      </w:tr>
      <w:tr>
        <w:trPr>
          <w:cantSplit w:val="true"/>
        </w:trPr>
        <w:tc>
          <w:tcPr>
            <w:tcW w:type="dxa" w:w="1934"/>
            <w:tcMar>
              <w:top w:w="30" w:type="dxa"/>
              <w:bottom w:w="30" w:type="dxa"/>
              <w:left w:w="80" w:type="dxa"/>
              <w:right w:w="80" w:type="dxa"/>
            </w:tcMar>
          </w:tcPr>
          <w:p>
            <w:pPr>
              <w:spacing w:after="0" w:line="240" w:lineRule="auto"/>
            </w:pPr>
            <w:r>
              <w:rPr>
                <w:b/>
                <w:i w:val="0"/>
                <w:sz w:val="20"/>
              </w:rPr>
              <w:t>Usage of trade</w:t>
            </w:r>
          </w:p>
        </w:tc>
        <w:tc>
          <w:tcPr>
            <w:tcW w:type="dxa" w:w="6810"/>
            <w:tcMar>
              <w:top w:w="30" w:type="dxa"/>
              <w:bottom w:w="30" w:type="dxa"/>
              <w:left w:w="80" w:type="dxa"/>
              <w:right w:w="80" w:type="dxa"/>
            </w:tcMar>
          </w:tcPr>
          <w:p>
            <w:pPr>
              <w:spacing w:after="0" w:line="240" w:lineRule="auto"/>
            </w:pPr>
            <w:r>
              <w:rPr>
                <w:b w:val="0"/>
                <w:i w:val="0"/>
                <w:sz w:val="20"/>
              </w:rPr>
              <w:t xml:space="preserve">Practice with such </w:t>
            </w:r>
            <w:r>
              <w:rPr>
                <w:b/>
                <w:i w:val="0"/>
                <w:sz w:val="20"/>
              </w:rPr>
              <w:t>regularity of observance</w:t>
            </w:r>
            <w:r>
              <w:rPr>
                <w:b w:val="0"/>
                <w:i w:val="0"/>
                <w:sz w:val="20"/>
              </w:rPr>
              <w:t xml:space="preserve"> in a place/trade that it's expected to apply; </w:t>
            </w:r>
            <w:r>
              <w:rPr>
                <w:b/>
                <w:i w:val="0"/>
                <w:sz w:val="20"/>
              </w:rPr>
              <w:t>proved as fact</w:t>
            </w:r>
            <w:r>
              <w:rPr>
                <w:b w:val="0"/>
                <w:i w:val="0"/>
                <w:sz w:val="20"/>
              </w:rPr>
              <w:t>; notice required (§ 1-303(g))</w:t>
            </w:r>
          </w:p>
        </w:tc>
        <w:tc>
          <w:tcPr>
            <w:tcW w:type="dxa" w:w="1768"/>
            <w:tcMar>
              <w:top w:w="30" w:type="dxa"/>
              <w:bottom w:w="30" w:type="dxa"/>
              <w:left w:w="80" w:type="dxa"/>
              <w:right w:w="80" w:type="dxa"/>
            </w:tcMar>
          </w:tcPr>
          <w:p>
            <w:pPr>
              <w:spacing w:after="0" w:line="240" w:lineRule="auto"/>
            </w:pPr>
            <w:r>
              <w:rPr>
                <w:b w:val="0"/>
                <w:i w:val="0"/>
                <w:sz w:val="20"/>
              </w:rPr>
              <w:t>Industry-wide</w:t>
            </w:r>
          </w:p>
        </w:tc>
      </w:tr>
    </w:tbl>
    <w:p>
      <w:pPr>
        <w:spacing w:after="0" w:line="120" w:lineRule="exact"/>
      </w:pPr>
    </w:p>
    <w:p>
      <w:pPr>
        <w:pStyle w:val="ListBullet"/>
      </w:pPr>
      <w:r>
        <w:rPr>
          <w:b w:val="0"/>
          <w:i w:val="0"/>
        </w:rPr>
        <w:t xml:space="preserve">They </w:t>
      </w:r>
      <w:r>
        <w:rPr>
          <w:b/>
          <w:i w:val="0"/>
        </w:rPr>
        <w:t>explain and supplement</w:t>
      </w:r>
      <w:r>
        <w:rPr>
          <w:b w:val="0"/>
          <w:i w:val="0"/>
        </w:rPr>
        <w:t xml:space="preserve"> the agreement. Construe consistently if reasonable; if not: </w:t>
      </w:r>
      <w:r>
        <w:rPr>
          <w:b/>
          <w:i w:val="0"/>
        </w:rPr>
        <w:t>Express terms &gt; Course of performance &gt; Course of dealing &gt; Usage of trade</w:t>
      </w:r>
      <w:r>
        <w:rPr>
          <w:b w:val="0"/>
          <w:i w:val="0"/>
        </w:rPr>
        <w:t xml:space="preserve"> (§ 1-303(e)). CoP can show </w:t>
      </w:r>
      <w:r>
        <w:rPr>
          <w:b/>
          <w:i w:val="0"/>
        </w:rPr>
        <w:t>waiver or modification</w:t>
      </w:r>
      <w:r>
        <w:rPr>
          <w:b w:val="0"/>
          <w:i w:val="0"/>
        </w:rPr>
        <w:t>, subject to § 2-209 (§ 1-303(f)). (Slides cite old §§ 1-205/2-208 — now § 1-303.)</w:t>
      </w:r>
    </w:p>
    <w:p>
      <w:pPr>
        <w:keepNext/>
        <w:spacing w:before="120" w:after="40"/>
        <w:pBdr>
          <w:bottom w:val="single" w:sz="6" w:space="1" w:color="8EAADB"/>
        </w:pBdr>
      </w:pPr>
      <w:r>
        <w:rPr>
          <w:b/>
          <w:i w:val="0"/>
          <w:color w:val="1F3A5F"/>
          <w:sz w:val="25"/>
        </w:rPr>
        <w:t>Good faith — § 1-304; § 1-201(b)(20)</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Every contract imposes a duty of </w:t>
            </w:r>
            <w:r>
              <w:rPr>
                <w:b/>
                <w:i w:val="0"/>
                <w:sz w:val="21"/>
              </w:rPr>
              <w:t>good faith in its performance and enforcement</w:t>
            </w:r>
            <w:r>
              <w:rPr>
                <w:b w:val="0"/>
                <w:i w:val="0"/>
                <w:sz w:val="21"/>
              </w:rPr>
              <w:t xml:space="preserve"> = </w:t>
            </w:r>
            <w:r>
              <w:rPr>
                <w:b/>
                <w:i w:val="0"/>
                <w:sz w:val="21"/>
              </w:rPr>
              <w:t>honesty in fact</w:t>
            </w:r>
            <w:r>
              <w:rPr>
                <w:b w:val="0"/>
                <w:i w:val="0"/>
                <w:sz w:val="21"/>
              </w:rPr>
              <w:t xml:space="preserve"> (subjective — motive) </w:t>
            </w:r>
            <w:r>
              <w:rPr>
                <w:b/>
                <w:i w:val="0"/>
                <w:sz w:val="21"/>
              </w:rPr>
              <w:t>+ observance of reasonable commercial standards of fair dealing</w:t>
            </w:r>
            <w:r>
              <w:rPr>
                <w:b w:val="0"/>
                <w:i w:val="0"/>
                <w:sz w:val="21"/>
              </w:rPr>
              <w:t xml:space="preserve"> (objective).</w:t>
            </w:r>
          </w:p>
        </w:tc>
      </w:tr>
    </w:tbl>
    <w:p>
      <w:pPr>
        <w:spacing w:after="0" w:line="100" w:lineRule="exact"/>
      </w:pPr>
    </w:p>
    <w:p>
      <w:pPr>
        <w:pStyle w:val="ListBullet"/>
      </w:pPr>
      <w:r>
        <w:rPr>
          <w:b w:val="0"/>
          <w:i w:val="0"/>
        </w:rPr>
        <w:t xml:space="preserve">A </w:t>
      </w:r>
      <w:r>
        <w:rPr>
          <w:b/>
          <w:i w:val="0"/>
        </w:rPr>
        <w:t>lens</w:t>
      </w:r>
      <w:r>
        <w:rPr>
          <w:b w:val="0"/>
          <w:i w:val="0"/>
        </w:rPr>
        <w:t xml:space="preserve"> for interpreting the agreement — </w:t>
      </w:r>
      <w:r>
        <w:rPr>
          <w:b/>
          <w:i w:val="0"/>
        </w:rPr>
        <w:t>not a stand-alone claim</w:t>
      </w:r>
      <w:r>
        <w:rPr>
          <w:b w:val="0"/>
          <w:i w:val="0"/>
        </w:rPr>
        <w:t xml:space="preserve">; can't </w:t>
      </w:r>
      <w:r>
        <w:rPr>
          <w:b/>
          <w:i w:val="0"/>
        </w:rPr>
        <w:t>contradict express terms</w:t>
      </w:r>
      <w:r>
        <w:rPr>
          <w:b w:val="0"/>
          <w:i w:val="0"/>
        </w:rPr>
        <w:t xml:space="preserve">; applies to </w:t>
      </w:r>
      <w:r>
        <w:rPr>
          <w:b/>
          <w:i w:val="0"/>
        </w:rPr>
        <w:t>performance and enforcement</w:t>
      </w:r>
      <w:r>
        <w:rPr>
          <w:b w:val="0"/>
          <w:i w:val="0"/>
        </w:rPr>
        <w:t>, not negotiation.</w:t>
      </w:r>
    </w:p>
    <w:p>
      <w:pPr>
        <w:pStyle w:val="ListBullet"/>
      </w:pPr>
      <w:r>
        <w:rPr>
          <w:b/>
          <w:i w:val="0"/>
        </w:rPr>
        <w:t>Cannot be disclaimed</w:t>
      </w:r>
      <w:r>
        <w:rPr>
          <w:b w:val="0"/>
          <w:i w:val="0"/>
        </w:rPr>
        <w:t xml:space="preserve">, but parties may set </w:t>
      </w:r>
      <w:r>
        <w:rPr>
          <w:b/>
          <w:i w:val="0"/>
        </w:rPr>
        <w:t>standards</w:t>
      </w:r>
      <w:r>
        <w:rPr>
          <w:b w:val="0"/>
          <w:i w:val="0"/>
        </w:rPr>
        <w:t xml:space="preserve"> for it if </w:t>
      </w:r>
      <w:r>
        <w:rPr>
          <w:b/>
          <w:i w:val="0"/>
        </w:rPr>
        <w:t>not manifestly unreasonable</w:t>
      </w:r>
      <w:r>
        <w:rPr>
          <w:b w:val="0"/>
          <w:i w:val="0"/>
        </w:rPr>
        <w:t xml:space="preserve"> (§ 1-302(b)).</w:t>
      </w:r>
    </w:p>
    <w:p>
      <w:pPr>
        <w:pStyle w:val="ListBullet"/>
      </w:pPr>
      <w:r>
        <w:rPr>
          <w:b w:val="0"/>
          <w:i w:val="0"/>
        </w:rPr>
        <w:t xml:space="preserve">Objective prong = </w:t>
      </w:r>
      <w:r>
        <w:rPr>
          <w:b/>
          <w:i w:val="0"/>
        </w:rPr>
        <w:t>fair dealing</w:t>
      </w:r>
      <w:r>
        <w:rPr>
          <w:b w:val="0"/>
          <w:i w:val="0"/>
        </w:rPr>
        <w:t>, not negligence. Some states kept a subjective-only Art. 1 definition (merchants still held to the Art. 2 objective standard).</w:t>
      </w:r>
    </w:p>
    <w:p>
      <w:pPr>
        <w:pStyle w:val="ListBullet"/>
      </w:pPr>
      <w:r>
        <w:rPr>
          <w:b w:val="0"/>
          <w:i w:val="0"/>
        </w:rPr>
        <w:t xml:space="preserve">Good faith in performance ≠ a fiduciary duty: you need not be your partner's keeper or relax the terms when it struggles — but you may not </w:t>
      </w:r>
      <w:r>
        <w:rPr>
          <w:b/>
          <w:i w:val="0"/>
        </w:rPr>
        <w:t xml:space="preserve">deliberately exploit its oversight</w:t>
      </w:r>
      <w:r>
        <w:rPr>
          <w:b w:val="0"/>
          <w:i w:val="0"/>
        </w:rPr>
        <w:t xml:space="preserve"> about its own contract rights (Market Street, below).</w:t>
      </w:r>
    </w:p>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CF6EE"/>
            <w:tcMar>
              <w:top w:w="70" w:type="dxa"/>
              <w:bottom w:w="70" w:type="dxa"/>
              <w:left w:w="140" w:type="dxa"/>
              <w:right w:w="120" w:type="dxa"/>
            </w:tcMar>
            <w:tcBorders>
              <w:left w:val="single" w:sz="30" w:space="0" w:color="2E7D32"/>
            </w:tcBorders>
          </w:tcPr>
          <w:p>
            <w:pPr>
              <w:spacing w:after="30" w:line="240" w:lineRule="auto"/>
            </w:pPr>
            <w:r>
              <w:rPr>
                <w:b/>
                <w:color w:val="2E7D32"/>
                <w:sz w:val="15"/>
              </w:rPr>
              <w:t xml:space="preserve">MAIN CASE   </w:t>
            </w:r>
            <w:r>
              <w:rPr>
                <w:b/>
                <w:i w:val="0"/>
                <w:sz w:val="21"/>
              </w:rPr>
              <w:t xml:space="preserve">Market Street Assocs. v. Frey (7th Cir. 1991, Posner, J.) — what "good faith" in performance means</w:t>
            </w:r>
          </w:p>
          <w:p>
            <w:pPr>
              <w:spacing w:after="30" w:line="240" w:lineRule="auto"/>
            </w:pPr>
            <w:r>
              <w:rPr>
                <w:b/>
                <w:i w:val="0"/>
                <w:color w:val="595959"/>
                <w:sz w:val="18"/>
              </w:rPr>
              <w:t xml:space="preserve">Source:</w:t>
            </w:r>
            <w:r>
              <w:rPr>
                <w:b w:val="0"/>
                <w:i w:val="0"/>
                <w:color w:val="595959"/>
                <w:sz w:val="18"/>
              </w:rPr>
              <w:t xml:space="preserve"> principal case, casebook pp. 92–102 (Brunswick Hills and Vintage Rodeo in the notes, pp. 100–102). Not named on the slides; good faith is covered at W2-S4.</w:t>
            </w:r>
          </w:p>
          <w:p>
            <w:pPr>
              <w:spacing w:after="30" w:line="240" w:lineRule="auto"/>
            </w:pPr>
            <w:r>
              <w:rPr>
                <w:b/>
                <w:i w:val="0"/>
                <w:sz w:val="21"/>
              </w:rPr>
              <w:t xml:space="preserve">Facts:</w:t>
            </w:r>
            <w:r>
              <w:rPr>
                <w:b w:val="0"/>
                <w:i w:val="0"/>
                <w:sz w:val="21"/>
              </w:rPr>
              <w:t xml:space="preserve"> In a sale-leaseback, J.C. Penney sold properties to the </w:t>
            </w:r>
            <w:r>
              <w:rPr>
                <w:b/>
                <w:i w:val="0"/>
                <w:sz w:val="21"/>
              </w:rPr>
              <w:t xml:space="preserve">GE Pension Trust</w:t>
            </w:r>
            <w:r>
              <w:rPr>
                <w:b w:val="0"/>
                <w:i w:val="0"/>
                <w:sz w:val="21"/>
              </w:rPr>
              <w:t xml:space="preserve"> and leased them back. </w:t>
            </w:r>
            <w:r>
              <w:rPr>
                <w:b/>
                <w:i w:val="0"/>
                <w:sz w:val="21"/>
              </w:rPr>
              <w:t xml:space="preserve">¶ 34</w:t>
            </w:r>
            <w:r>
              <w:rPr>
                <w:b w:val="0"/>
                <w:i w:val="0"/>
                <w:sz w:val="21"/>
              </w:rPr>
              <w:t xml:space="preserve"> of the lease said that if the tenant asked the Trust to finance improvements and negotiations failed, the tenant could </w:t>
            </w:r>
            <w:r>
              <w:rPr>
                <w:b/>
                <w:i w:val="0"/>
                <w:sz w:val="21"/>
              </w:rPr>
              <w:t xml:space="preserve">buy the property back at roughly the original price plus 6% a year</w:t>
            </w:r>
            <w:r>
              <w:rPr>
                <w:b w:val="0"/>
                <w:i w:val="0"/>
                <w:sz w:val="21"/>
              </w:rPr>
              <w:t xml:space="preserve"> — potentially far below market. Market Street, which took over the lease on a Milwaukee shopping center, couldn't get outside financing and found the Trust's $3 million asking price too high. So it wrote asking the Trust to finance $2 million of improvements </w:t>
            </w:r>
            <w:r>
              <w:rPr>
                <w:b/>
                <w:i w:val="0"/>
                <w:sz w:val="21"/>
              </w:rPr>
              <w:t xml:space="preserve">without mentioning ¶ 34</w:t>
            </w:r>
            <w:r>
              <w:rPr>
                <w:b w:val="0"/>
                <w:i w:val="0"/>
                <w:sz w:val="21"/>
              </w:rPr>
              <w:t xml:space="preserve">. The Trust's slow, unresponsive manager </w:t>
            </w:r>
            <w:r>
              <w:rPr>
                <w:b/>
                <w:i w:val="0"/>
                <w:sz w:val="21"/>
              </w:rPr>
              <w:t xml:space="preserve">turned the request down without realizing the consequence</w:t>
            </w:r>
            <w:r>
              <w:rPr>
                <w:b w:val="0"/>
                <w:i w:val="0"/>
                <w:sz w:val="21"/>
              </w:rPr>
              <w:t xml:space="preserve">. Market Street sent a letter saying it would look elsewhere, then a month later </w:t>
            </w:r>
            <w:r>
              <w:rPr>
                <w:b/>
                <w:i w:val="0"/>
                <w:sz w:val="21"/>
              </w:rPr>
              <w:t xml:space="preserve">exercised the ¶ 34 option at about $1 million</w:t>
            </w:r>
            <w:r>
              <w:rPr>
                <w:b w:val="0"/>
                <w:i w:val="0"/>
                <w:sz w:val="21"/>
              </w:rPr>
              <w:t xml:space="preserve"> and sued for specific performance.</w:t>
            </w:r>
          </w:p>
          <w:p>
            <w:pPr>
              <w:spacing w:after="30" w:line="240" w:lineRule="auto"/>
            </w:pPr>
            <w:r>
              <w:rPr>
                <w:b/>
                <w:i w:val="0"/>
                <w:sz w:val="21"/>
              </w:rPr>
              <w:t xml:space="preserve">Held:</w:t>
            </w:r>
            <w:r>
              <w:rPr>
                <w:b w:val="0"/>
                <w:i w:val="0"/>
                <w:sz w:val="21"/>
              </w:rPr>
              <w:t xml:space="preserve"> Summary judgment for the Trust was reversed and remanded, because liability turns on Market Street's </w:t>
            </w:r>
            <w:r>
              <w:rPr>
                <w:b/>
                <w:i w:val="0"/>
                <w:sz w:val="21"/>
              </w:rPr>
              <w:t xml:space="preserve">state of mind</w:t>
            </w:r>
            <w:r>
              <w:rPr>
                <w:b w:val="0"/>
                <w:i w:val="0"/>
                <w:sz w:val="21"/>
              </w:rPr>
              <w:t xml:space="preserve">. Good faith lies </w:t>
            </w:r>
            <w:r>
              <w:rPr>
                <w:b/>
                <w:i w:val="0"/>
                <w:sz w:val="21"/>
              </w:rPr>
              <w:t xml:space="preserve">between a fiduciary duty and merely avoiding fraud</w:t>
            </w:r>
            <w:r>
              <w:rPr>
                <w:b w:val="0"/>
                <w:i w:val="0"/>
                <w:sz w:val="21"/>
              </w:rPr>
              <w:t xml:space="preserve">. </w:t>
            </w:r>
            <w:r>
              <w:rPr>
                <w:b w:val="0"/>
                <w:i/>
                <w:sz w:val="21"/>
              </w:rPr>
              <w:t xml:space="preserve">Before</w:t>
            </w:r>
            <w:r>
              <w:rPr>
                <w:b w:val="0"/>
                <w:i w:val="0"/>
                <w:sz w:val="21"/>
              </w:rPr>
              <w:t xml:space="preserve"> contracting you may exploit superior knowledge. </w:t>
            </w:r>
            <w:r>
              <w:rPr>
                <w:b w:val="0"/>
                <w:i/>
                <w:sz w:val="21"/>
              </w:rPr>
              <w:t xml:space="preserve">After</w:t>
            </w:r>
            <w:r>
              <w:rPr>
                <w:b w:val="0"/>
                <w:i w:val="0"/>
                <w:sz w:val="21"/>
              </w:rPr>
              <w:t xml:space="preserve"> contracting, deliberately taking advantage of your partner's </w:t>
            </w:r>
            <w:r>
              <w:rPr>
                <w:b/>
                <w:i w:val="0"/>
                <w:sz w:val="21"/>
              </w:rPr>
              <w:t xml:space="preserve">oversight about its contract rights</w:t>
            </w:r>
            <w:r>
              <w:rPr>
                <w:b w:val="0"/>
                <w:i w:val="0"/>
                <w:sz w:val="21"/>
              </w:rPr>
              <w:t xml:space="preserve"> — when you could correct it at no cost — is opportunistic "sharp dealing." On remand, the trial court found Orenstein knew the Trust was overlooking ¶ 34 and kept sending ambiguous letters → </w:t>
            </w:r>
            <w:r>
              <w:rPr>
                <w:b/>
                <w:i w:val="0"/>
                <w:sz w:val="21"/>
              </w:rPr>
              <w:t xml:space="preserve">bad faith, no specific performance</w:t>
            </w:r>
            <w:r>
              <w:rPr>
                <w:b w:val="0"/>
                <w:i w:val="0"/>
                <w:sz w:val="21"/>
              </w:rPr>
              <w:t xml:space="preserve"> (affirmed).</w:t>
            </w:r>
          </w:p>
          <w:p>
            <w:pPr>
              <w:spacing w:after="0" w:line="240" w:lineRule="auto"/>
            </w:pPr>
            <w:r>
              <w:rPr>
                <w:b/>
                <w:i w:val="0"/>
                <w:sz w:val="21"/>
              </w:rPr>
              <w:t xml:space="preserve">Why it matters:</w:t>
            </w:r>
            <w:r>
              <w:rPr>
                <w:b w:val="0"/>
                <w:i w:val="0"/>
                <w:sz w:val="21"/>
              </w:rPr>
              <w:t xml:space="preserve"> defines good faith in </w:t>
            </w:r>
            <w:r>
              <w:rPr>
                <w:b w:val="0"/>
                <w:i/>
                <w:sz w:val="21"/>
              </w:rPr>
              <w:t xml:space="preserve">performance</w:t>
            </w:r>
            <w:r>
              <w:rPr>
                <w:b w:val="0"/>
                <w:i w:val="0"/>
                <w:sz w:val="21"/>
              </w:rPr>
              <w:t xml:space="preserve"> (§ 1-304) and the line between formation and performance (common law here — a land lease — but used for the UCC concept). </w:t>
            </w:r>
            <w:r>
              <w:rPr>
                <w:b/>
                <w:i w:val="0"/>
                <w:sz w:val="21"/>
              </w:rPr>
              <w:t xml:space="preserve">Compare (note cases):</w:t>
            </w:r>
            <w:r>
              <w:rPr>
                <w:b w:val="0"/>
                <w:i w:val="0"/>
                <w:sz w:val="21"/>
              </w:rPr>
              <w:t xml:space="preserve"> Brunswick Hills (N.J.) — a landlord evaded a tenant's requests for 19 months and then declared the option void = bad faith. Vintage Rodeo (Del. Ch.) — a party that merely benefited from the other side's own missed deadline in a heavily negotiated deal did nothing wrong; good faith only fills gaps.</w:t>
            </w:r>
          </w:p>
        </w:tc>
      </w:tr>
    </w:tbl>
    <w:p>
      <w:pPr>
        <w:spacing w:after="0" w:line="120" w:lineRule="exact"/>
      </w:pPr>
      <w:r/>
    </w:p>
    <w:p>
      <w:pPr>
        <w:keepNext/>
        <w:spacing w:before="120" w:after="40"/>
        <w:pBdr>
          <w:bottom w:val="single" w:sz="6" w:space="1" w:color="8EAADB"/>
        </w:pBdr>
      </w:pPr>
      <w:r>
        <w:rPr>
          <w:b/>
          <w:i w:val="0"/>
          <w:color w:val="1F3A5F"/>
          <w:sz w:val="25"/>
        </w:rPr>
        <w:t>Modification — § 2-209</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(1)</w:t>
            </w:r>
            <w:r>
              <w:rPr>
                <w:b w:val="0"/>
                <w:i w:val="0"/>
                <w:sz w:val="21"/>
              </w:rPr>
              <w:t xml:space="preserve"> A modification </w:t>
            </w:r>
            <w:r>
              <w:rPr>
                <w:b/>
                <w:i w:val="0"/>
                <w:sz w:val="21"/>
              </w:rPr>
              <w:t>needs no consideration</w:t>
            </w:r>
            <w:r>
              <w:rPr>
                <w:b w:val="0"/>
                <w:i w:val="0"/>
                <w:sz w:val="21"/>
              </w:rPr>
              <w:t xml:space="preserve">. </w:t>
            </w:r>
            <w:r>
              <w:rPr>
                <w:b/>
                <w:i w:val="0"/>
                <w:sz w:val="21"/>
              </w:rPr>
              <w:t>(2)</w:t>
            </w:r>
            <w:r>
              <w:rPr>
                <w:b w:val="0"/>
                <w:i w:val="0"/>
                <w:sz w:val="21"/>
              </w:rPr>
              <w:t xml:space="preserve"> A signed agreement requiring modifications by </w:t>
            </w:r>
            <w:r>
              <w:rPr>
                <w:b/>
                <w:i w:val="0"/>
                <w:sz w:val="21"/>
              </w:rPr>
              <w:t>signed record</w:t>
            </w:r>
            <w:r>
              <w:rPr>
                <w:b w:val="0"/>
                <w:i w:val="0"/>
                <w:sz w:val="21"/>
              </w:rPr>
              <w:t xml:space="preserve"> (NOM clause) is enforceable — but on a </w:t>
            </w:r>
            <w:r>
              <w:rPr>
                <w:b/>
                <w:i w:val="0"/>
                <w:sz w:val="21"/>
              </w:rPr>
              <w:t>merchant's form</w:t>
            </w:r>
            <w:r>
              <w:rPr>
                <w:b w:val="0"/>
                <w:i w:val="0"/>
                <w:sz w:val="21"/>
              </w:rPr>
              <w:t xml:space="preserve">, a </w:t>
            </w:r>
            <w:r>
              <w:rPr>
                <w:b/>
                <w:i w:val="0"/>
                <w:sz w:val="21"/>
              </w:rPr>
              <w:t>non-merchant</w:t>
            </w:r>
            <w:r>
              <w:rPr>
                <w:b w:val="0"/>
                <w:i w:val="0"/>
                <w:sz w:val="21"/>
              </w:rPr>
              <w:t xml:space="preserve"> must </w:t>
            </w:r>
            <w:r>
              <w:rPr>
                <w:b/>
                <w:i w:val="0"/>
                <w:sz w:val="21"/>
              </w:rPr>
              <w:t>separately sign</w:t>
            </w:r>
            <w:r>
              <w:rPr>
                <w:b w:val="0"/>
                <w:i w:val="0"/>
                <w:sz w:val="21"/>
              </w:rPr>
              <w:t xml:space="preserve"> it. </w:t>
            </w:r>
            <w:r>
              <w:rPr>
                <w:b/>
                <w:i w:val="0"/>
                <w:sz w:val="21"/>
              </w:rPr>
              <w:t>(3)</w:t>
            </w:r>
            <w:r>
              <w:rPr>
                <w:b w:val="0"/>
                <w:i w:val="0"/>
                <w:sz w:val="21"/>
              </w:rPr>
              <w:t xml:space="preserve"> The </w:t>
            </w:r>
            <w:r>
              <w:rPr>
                <w:b/>
                <w:i w:val="0"/>
                <w:sz w:val="21"/>
              </w:rPr>
              <w:t>SOF</w:t>
            </w:r>
            <w:r>
              <w:rPr>
                <w:b w:val="0"/>
                <w:i w:val="0"/>
                <w:sz w:val="21"/>
              </w:rPr>
              <w:t xml:space="preserve"> applies if the </w:t>
            </w:r>
            <w:r>
              <w:rPr>
                <w:b/>
                <w:i w:val="0"/>
                <w:sz w:val="21"/>
              </w:rPr>
              <w:t>contract as modified</w:t>
            </w:r>
            <w:r>
              <w:rPr>
                <w:b w:val="0"/>
                <w:i w:val="0"/>
                <w:sz w:val="21"/>
              </w:rPr>
              <w:t xml:space="preserve"> is within § 2-201. </w:t>
            </w:r>
            <w:r>
              <w:rPr>
                <w:b/>
                <w:i w:val="0"/>
                <w:sz w:val="21"/>
              </w:rPr>
              <w:t>(4)</w:t>
            </w:r>
            <w:r>
              <w:rPr>
                <w:b w:val="0"/>
                <w:i w:val="0"/>
                <w:sz w:val="21"/>
              </w:rPr>
              <w:t xml:space="preserve"> A failed modification </w:t>
            </w:r>
            <w:r>
              <w:rPr>
                <w:b/>
                <w:i w:val="0"/>
                <w:sz w:val="21"/>
              </w:rPr>
              <w:t>can operate as a waiver</w:t>
            </w:r>
            <w:r>
              <w:rPr>
                <w:b w:val="0"/>
                <w:i w:val="0"/>
                <w:sz w:val="21"/>
              </w:rPr>
              <w:t xml:space="preserve">. </w:t>
            </w:r>
            <w:r>
              <w:rPr>
                <w:b/>
                <w:i w:val="0"/>
                <w:sz w:val="21"/>
              </w:rPr>
              <w:t>(5)</w:t>
            </w:r>
            <w:r>
              <w:rPr>
                <w:b w:val="0"/>
                <w:i w:val="0"/>
                <w:sz w:val="21"/>
              </w:rPr>
              <w:t xml:space="preserve"> A waiver of an </w:t>
            </w:r>
            <w:r>
              <w:rPr>
                <w:b/>
                <w:i w:val="0"/>
                <w:sz w:val="21"/>
              </w:rPr>
              <w:t>executory</w:t>
            </w:r>
            <w:r>
              <w:rPr>
                <w:b w:val="0"/>
                <w:i w:val="0"/>
                <w:sz w:val="21"/>
              </w:rPr>
              <w:t xml:space="preserve"> term may be </w:t>
            </w:r>
            <w:r>
              <w:rPr>
                <w:b/>
                <w:i w:val="0"/>
                <w:sz w:val="21"/>
              </w:rPr>
              <w:t>retracted</w:t>
            </w:r>
            <w:r>
              <w:rPr>
                <w:b w:val="0"/>
                <w:i w:val="0"/>
                <w:sz w:val="21"/>
              </w:rPr>
              <w:t xml:space="preserve"> by </w:t>
            </w:r>
            <w:r>
              <w:rPr>
                <w:b/>
                <w:i w:val="0"/>
                <w:sz w:val="21"/>
              </w:rPr>
              <w:t>reasonable notification</w:t>
            </w:r>
            <w:r>
              <w:rPr>
                <w:b w:val="0"/>
                <w:i w:val="0"/>
                <w:sz w:val="21"/>
              </w:rPr>
              <w:t xml:space="preserve"> that strict performance is required, </w:t>
            </w:r>
            <w:r>
              <w:rPr>
                <w:b/>
                <w:i w:val="0"/>
                <w:sz w:val="21"/>
              </w:rPr>
              <w:t>unless unjust</w:t>
            </w:r>
            <w:r>
              <w:rPr>
                <w:b w:val="0"/>
                <w:i w:val="0"/>
                <w:sz w:val="21"/>
              </w:rPr>
              <w:t xml:space="preserve"> because of a </w:t>
            </w:r>
            <w:r>
              <w:rPr>
                <w:b/>
                <w:i w:val="0"/>
                <w:sz w:val="21"/>
              </w:rPr>
              <w:t>material change of position in reliance</w:t>
            </w:r>
            <w:r>
              <w:rPr>
                <w:b w:val="0"/>
                <w:i w:val="0"/>
                <w:sz w:val="21"/>
              </w:rPr>
              <w:t>.</w:t>
            </w:r>
          </w:p>
        </w:tc>
      </w:tr>
    </w:tbl>
    <w:p>
      <w:pPr>
        <w:spacing w:after="0" w:line="100" w:lineRule="exact"/>
      </w:pPr>
    </w:p>
    <w:p>
      <w:pPr>
        <w:pStyle w:val="ListBullet"/>
      </w:pPr>
      <w:r>
        <w:rPr>
          <w:b/>
          <w:i w:val="0"/>
        </w:rPr>
        <w:t>Analysis:</w:t>
      </w:r>
      <w:r>
        <w:rPr>
          <w:b w:val="0"/>
          <w:i w:val="0"/>
        </w:rPr>
        <w:t xml:space="preserve"> (1) Did they </w:t>
      </w:r>
      <w:r>
        <w:rPr>
          <w:b/>
          <w:i w:val="0"/>
        </w:rPr>
        <w:t>agree</w:t>
      </w:r>
      <w:r>
        <w:rPr>
          <w:b w:val="0"/>
          <w:i w:val="0"/>
        </w:rPr>
        <w:t xml:space="preserve"> to modify (formation rules §§ 2-204–2-207 apply)? (2) Is it </w:t>
      </w:r>
      <w:r>
        <w:rPr>
          <w:b/>
          <w:i w:val="0"/>
        </w:rPr>
        <w:t>enforceable</w:t>
      </w:r>
      <w:r>
        <w:rPr>
          <w:b w:val="0"/>
          <w:i w:val="0"/>
        </w:rPr>
        <w:t xml:space="preserve"> — no consideration needed; must be in </w:t>
      </w:r>
      <w:r>
        <w:rPr>
          <w:b/>
          <w:i w:val="0"/>
        </w:rPr>
        <w:t>good faith</w:t>
      </w:r>
      <w:r>
        <w:rPr>
          <w:b w:val="0"/>
          <w:i w:val="0"/>
        </w:rPr>
        <w:t xml:space="preserve">; barred by </w:t>
      </w:r>
      <w:r>
        <w:rPr>
          <w:b/>
          <w:i w:val="0"/>
        </w:rPr>
        <w:t>SOF</w:t>
      </w:r>
      <w:r>
        <w:rPr>
          <w:b w:val="0"/>
          <w:i w:val="0"/>
        </w:rPr>
        <w:t xml:space="preserve"> or </w:t>
      </w:r>
      <w:r>
        <w:rPr>
          <w:b/>
          <w:i w:val="0"/>
        </w:rPr>
        <w:t>NOM clause</w:t>
      </w:r>
      <w:r>
        <w:rPr>
          <w:b w:val="0"/>
          <w:i w:val="0"/>
        </w:rPr>
        <w:t>?</w:t>
      </w:r>
    </w:p>
    <w:p>
      <w:pPr>
        <w:pStyle w:val="ListBullet"/>
      </w:pPr>
      <w:r>
        <w:rPr>
          <w:b/>
          <w:i w:val="0"/>
        </w:rPr>
        <w:t>Common law contrast:</w:t>
      </w:r>
      <w:r>
        <w:rPr>
          <w:b w:val="0"/>
          <w:i w:val="0"/>
        </w:rPr>
        <w:t xml:space="preserve"> modifications needed </w:t>
      </w:r>
      <w:r>
        <w:rPr>
          <w:b/>
          <w:i w:val="0"/>
        </w:rPr>
        <w:t>consideration</w:t>
      </w:r>
      <w:r>
        <w:rPr>
          <w:b w:val="0"/>
          <w:i w:val="0"/>
        </w:rPr>
        <w:t xml:space="preserve"> (or Restatement (Second) of Contracts (R2d) § 89 "fair and equitable"); NOM clauses were </w:t>
      </w:r>
      <w:r>
        <w:rPr>
          <w:b/>
          <w:i w:val="0"/>
        </w:rPr>
        <w:t>unenforceable</w:t>
      </w:r>
      <w:r>
        <w:rPr>
          <w:b w:val="0"/>
          <w:i w:val="0"/>
        </w:rPr>
        <w:t>.</w:t>
      </w:r>
    </w:p>
    <w:p>
      <w:pPr>
        <w:pStyle w:val="ListBullet"/>
      </w:pPr>
      <w:r>
        <w:rPr>
          <w:b/>
          <w:i w:val="0"/>
        </w:rPr>
        <w:t>Good-faith policing (cmt. 2):</w:t>
      </w:r>
      <w:r>
        <w:rPr>
          <w:b w:val="0"/>
          <w:i w:val="0"/>
        </w:rPr>
        <w:t xml:space="preserve"> extortion without a legitimate commercial reason fails; a </w:t>
      </w:r>
      <w:r>
        <w:rPr>
          <w:b/>
          <w:i w:val="0"/>
        </w:rPr>
        <w:t>market shift that makes performance a loss</w:t>
      </w:r>
      <w:r>
        <w:rPr>
          <w:b w:val="0"/>
          <w:i w:val="0"/>
        </w:rPr>
        <w:t xml:space="preserve"> can justify seeking a modification even if it wouldn't excuse performance.</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CF6EE"/>
            <w:tcMar>
              <w:top w:w="70" w:type="dxa"/>
              <w:bottom w:w="70" w:type="dxa"/>
              <w:left w:w="140" w:type="dxa"/>
              <w:right w:w="120" w:type="dxa"/>
            </w:tcMar>
            <w:tcBorders>
              <w:left w:val="single" w:sz="30" w:space="0" w:color="2E7D32"/>
            </w:tcBorders>
          </w:tcPr>
          <w:p>
            <w:pPr>
              <w:spacing w:after="30" w:line="240" w:lineRule="auto"/>
            </w:pPr>
            <w:r>
              <w:rPr>
                <w:b/>
                <w:color w:val="2E7D32"/>
                <w:sz w:val="15"/>
              </w:rPr>
              <w:t xml:space="preserve">MAIN CASE ★   </w:t>
            </w:r>
            <w:r>
              <w:rPr>
                <w:b/>
                <w:i w:val="0"/>
                <w:sz w:val="21"/>
              </w:rPr>
              <w:t xml:space="preserve">Roth Steel Products v. Sharon Steel Corp. (6th Cir. 1983) — modification and good faith</w:t>
            </w:r>
          </w:p>
          <w:p>
            <w:pPr>
              <w:spacing w:after="30" w:line="240" w:lineRule="auto"/>
            </w:pPr>
            <w:r>
              <w:rPr>
                <w:b/>
                <w:i w:val="0"/>
                <w:color w:val="595959"/>
                <w:sz w:val="18"/>
              </w:rPr>
              <w:t xml:space="preserve">Source:</w:t>
            </w:r>
            <w:r>
              <w:rPr>
                <w:b w:val="0"/>
                <w:i w:val="0"/>
                <w:color w:val="595959"/>
                <w:sz w:val="18"/>
              </w:rPr>
              <w:t xml:space="preserve"> principal case, casebook pp. 105–110. Slide W2-S8.</w:t>
            </w:r>
          </w:p>
          <w:p>
            <w:pPr>
              <w:spacing w:after="30" w:line="240" w:lineRule="auto"/>
            </w:pPr>
            <w:r>
              <w:rPr>
                <w:b/>
                <w:i w:val="0"/>
                <w:sz w:val="21"/>
              </w:rPr>
              <w:t xml:space="preserve">Facts:</w:t>
            </w:r>
            <w:r>
              <w:rPr>
                <w:b w:val="0"/>
                <w:i w:val="0"/>
                <w:sz w:val="21"/>
              </w:rPr>
              <w:t xml:space="preserve"> In Nov. 1972, with the steel industry at 70% capacity and prices very competitive, Sharon agreed to sell Roth </w:t>
            </w:r>
            <w:r>
              <w:rPr>
                <w:b/>
                <w:i w:val="0"/>
                <w:sz w:val="21"/>
              </w:rPr>
              <w:t xml:space="preserve">200 tons/month of hot-rolled steel through 1973 at $148/ton</w:t>
            </w:r>
            <w:r>
              <w:rPr>
                <w:b w:val="0"/>
                <w:i w:val="0"/>
                <w:sz w:val="21"/>
              </w:rPr>
              <w:t xml:space="preserve">, well below its book price. In 1973 demand boomed and every mill was fully booked. Sharon announced it was ending its 1972 price breaks and </w:t>
            </w:r>
            <w:r>
              <w:rPr>
                <w:b/>
                <w:i w:val="0"/>
                <w:sz w:val="21"/>
              </w:rPr>
              <w:t xml:space="preserve">threatened to stop selling Roth any steel in the second half of 1973</w:t>
            </w:r>
            <w:r>
              <w:rPr>
                <w:b w:val="0"/>
                <w:i w:val="0"/>
                <w:sz w:val="21"/>
              </w:rPr>
              <w:t xml:space="preserve"> unless Roth paid more. Roth was short on inventory and couldn't buy elsewhere, so it reluctantly agreed to a higher price. Roth later sued.</w:t>
            </w:r>
          </w:p>
          <w:p>
            <w:pPr>
              <w:spacing w:after="30" w:line="240" w:lineRule="auto"/>
            </w:pPr>
            <w:r>
              <w:rPr>
                <w:b/>
                <w:i w:val="0"/>
                <w:sz w:val="21"/>
              </w:rPr>
              <w:t xml:space="preserve">Held:</w:t>
            </w:r>
            <w:r>
              <w:rPr>
                <w:b w:val="0"/>
                <w:i w:val="0"/>
                <w:sz w:val="21"/>
              </w:rPr>
              <w:t xml:space="preserve"> The modification was </w:t>
            </w:r>
            <w:r>
              <w:rPr>
                <w:b/>
                <w:i w:val="0"/>
                <w:sz w:val="21"/>
              </w:rPr>
              <w:t xml:space="preserve">unenforceable</w:t>
            </w:r>
            <w:r>
              <w:rPr>
                <w:b w:val="0"/>
                <w:i w:val="0"/>
                <w:sz w:val="21"/>
              </w:rPr>
              <w:t xml:space="preserve">. A modification needs no consideration (§ 2-209(1)) but must be sought in good faith, which has two parts: (1) </w:t>
            </w:r>
            <w:r>
              <w:rPr>
                <w:b/>
                <w:i w:val="0"/>
                <w:sz w:val="21"/>
              </w:rPr>
              <w:t xml:space="preserve">objective</w:t>
            </w:r>
            <w:r>
              <w:rPr>
                <w:b w:val="0"/>
                <w:i w:val="0"/>
                <w:sz w:val="21"/>
              </w:rPr>
              <w:t xml:space="preserve"> — would an ordinary merchant seek it? Yes: the market shift meant Sharon was </w:t>
            </w:r>
            <w:r>
              <w:rPr>
                <w:b/>
                <w:i w:val="0"/>
                <w:sz w:val="21"/>
              </w:rPr>
              <w:t xml:space="preserve">losing money</w:t>
            </w:r>
            <w:r>
              <w:rPr>
                <w:b w:val="0"/>
                <w:i w:val="0"/>
                <w:sz w:val="21"/>
              </w:rPr>
              <w:t xml:space="preserve"> on the deal. (2) </w:t>
            </w:r>
            <w:r>
              <w:rPr>
                <w:b/>
                <w:i w:val="0"/>
                <w:sz w:val="21"/>
              </w:rPr>
              <w:t xml:space="preserve">Subjective / honesty in fact</w:t>
            </w:r>
            <w:r>
              <w:rPr>
                <w:b w:val="0"/>
                <w:i w:val="0"/>
                <w:sz w:val="21"/>
              </w:rPr>
              <w:t xml:space="preserve"> — a real reason, not a pretext, obtained without extortion. Sharon's </w:t>
            </w:r>
            <w:r>
              <w:rPr>
                <w:b/>
                <w:i w:val="0"/>
                <w:sz w:val="21"/>
              </w:rPr>
              <w:t xml:space="preserve">threat to stop performing</w:t>
            </w:r>
            <w:r>
              <w:rPr>
                <w:b w:val="0"/>
                <w:i w:val="0"/>
                <w:sz w:val="21"/>
              </w:rPr>
              <w:t xml:space="preserve"> was evidence of bad faith it never rebutted (its contract-based excuse first appeared at trial). Judgment for Roth affirmed.</w:t>
            </w:r>
          </w:p>
          <w:p>
            <w:pPr>
              <w:spacing w:after="0" w:line="240" w:lineRule="auto"/>
            </w:pPr>
            <w:r>
              <w:rPr>
                <w:b/>
                <w:i w:val="0"/>
                <w:sz w:val="21"/>
              </w:rPr>
              <w:t xml:space="preserve">Why it matters:</w:t>
            </w:r>
            <w:r>
              <w:rPr>
                <w:b w:val="0"/>
                <w:i w:val="0"/>
                <w:sz w:val="21"/>
              </w:rPr>
              <w:t xml:space="preserve"> shows what good faith adds once consideration is gone. A legitimate reason to </w:t>
            </w:r>
            <w:r>
              <w:rPr>
                <w:b w:val="0"/>
                <w:i/>
                <w:sz w:val="21"/>
              </w:rPr>
              <w:t xml:space="preserve">ask</w:t>
            </w:r>
            <w:r>
              <w:rPr>
                <w:b w:val="0"/>
                <w:i w:val="0"/>
                <w:sz w:val="21"/>
              </w:rPr>
              <w:t xml:space="preserve"> for a change isn't enough if you </w:t>
            </w:r>
            <w:r>
              <w:rPr>
                <w:b w:val="0"/>
                <w:i/>
                <w:sz w:val="21"/>
              </w:rPr>
              <w:t xml:space="preserve">extract</w:t>
            </w:r>
            <w:r>
              <w:rPr>
                <w:b w:val="0"/>
                <w:i w:val="0"/>
                <w:sz w:val="21"/>
              </w:rPr>
              <w:t xml:space="preserve"> the change by threatening to breach (§ 2-209 cmt. 2).</w:t>
            </w:r>
          </w:p>
        </w:tc>
      </w:tr>
    </w:tbl>
    <w:p>
      <w:pPr>
        <w:spacing w:after="0" w:line="100" w:lineRule="exact"/>
      </w:pPr>
    </w:p>
    <w:p>
      <w:pPr>
        <w:keepNext/>
        <w:spacing w:before="120" w:after="40"/>
        <w:pBdr>
          <w:bottom w:val="single" w:sz="6" w:space="1" w:color="8EAADB"/>
        </w:pBdr>
      </w:pPr>
      <w:r>
        <w:rPr>
          <w:b/>
          <w:i w:val="0"/>
          <w:color w:val="1F3A5F"/>
          <w:sz w:val="25"/>
        </w:rPr>
        <w:t>Problem 3-4 — modification and the SOF</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952"/>
        <w:gridCol w:w="3461"/>
        <w:gridCol w:w="6098"/>
      </w:tblGrid>
      <w:tr>
        <w:trPr>
          <w:tblHeader w:val="true"/>
        </w:trPr>
        <w:tc>
          <w:tcPr>
            <w:tcW w:type="dxa" w:w="953"/>
            <w:shd w:val="clear" w:color="auto" w:fill="1F3A5F"/>
            <w:tcMar>
              <w:top w:w="40" w:type="dxa"/>
              <w:bottom w:w="40" w:type="dxa"/>
              <w:left w:w="80" w:type="dxa"/>
              <w:right w:w="80" w:type="dxa"/>
            </w:tcMar>
          </w:tcPr>
          <w:p>
            <w:pPr>
              <w:spacing w:after="0"/>
            </w:pPr>
          </w:p>
        </w:tc>
        <w:tc>
          <w:tcPr>
            <w:tcW w:type="dxa" w:w="3461"/>
            <w:shd w:val="clear" w:color="auto" w:fill="1F3A5F"/>
            <w:tcMar>
              <w:top w:w="40" w:type="dxa"/>
              <w:bottom w:w="40" w:type="dxa"/>
              <w:left w:w="80" w:type="dxa"/>
              <w:right w:w="80" w:type="dxa"/>
            </w:tcMar>
          </w:tcPr>
          <w:p>
            <w:pPr>
              <w:spacing w:after="0"/>
            </w:pPr>
            <w:r>
              <w:rPr>
                <w:b/>
                <w:i w:val="0"/>
                <w:color w:val="FFFFFF"/>
                <w:sz w:val="20"/>
              </w:rPr>
              <w:t>Facts</w:t>
            </w:r>
          </w:p>
        </w:tc>
        <w:tc>
          <w:tcPr>
            <w:tcW w:type="dxa" w:w="6098"/>
            <w:shd w:val="clear" w:color="auto" w:fill="1F3A5F"/>
            <w:tcMar>
              <w:top w:w="40" w:type="dxa"/>
              <w:bottom w:w="40" w:type="dxa"/>
              <w:left w:w="80" w:type="dxa"/>
              <w:right w:w="80" w:type="dxa"/>
            </w:tcMar>
          </w:tcPr>
          <w:p>
            <w:pPr>
              <w:spacing w:after="0"/>
            </w:pPr>
            <w:r>
              <w:rPr>
                <w:b/>
                <w:i w:val="0"/>
                <w:color w:val="FFFFFF"/>
                <w:sz w:val="20"/>
              </w:rPr>
              <w:t>Result</w:t>
            </w:r>
          </w:p>
        </w:tc>
      </w:tr>
      <w:tr>
        <w:trPr>
          <w:cantSplit w:val="true"/>
        </w:trPr>
        <w:tc>
          <w:tcPr>
            <w:tcW w:type="dxa" w:w="953"/>
            <w:tcMar>
              <w:top w:w="30" w:type="dxa"/>
              <w:bottom w:w="30" w:type="dxa"/>
              <w:left w:w="80" w:type="dxa"/>
              <w:right w:w="80" w:type="dxa"/>
            </w:tcMar>
          </w:tcPr>
          <w:p>
            <w:pPr>
              <w:spacing w:after="0" w:line="240" w:lineRule="auto"/>
            </w:pPr>
            <w:r>
              <w:rPr>
                <w:b w:val="0"/>
                <w:i w:val="0"/>
                <w:sz w:val="20"/>
              </w:rPr>
              <w:t>(a)</w:t>
            </w:r>
          </w:p>
        </w:tc>
        <w:tc>
          <w:tcPr>
            <w:tcW w:type="dxa" w:w="3461"/>
            <w:tcMar>
              <w:top w:w="30" w:type="dxa"/>
              <w:bottom w:w="30" w:type="dxa"/>
              <w:left w:w="80" w:type="dxa"/>
              <w:right w:w="80" w:type="dxa"/>
            </w:tcMar>
          </w:tcPr>
          <w:p>
            <w:pPr>
              <w:spacing w:after="0" w:line="240" w:lineRule="auto"/>
            </w:pPr>
            <w:r>
              <w:rPr>
                <w:b w:val="0"/>
                <w:i w:val="0"/>
                <w:sz w:val="20"/>
              </w:rPr>
              <w:t>Oral $400 deal → orally doubled to $800</w:t>
            </w:r>
          </w:p>
        </w:tc>
        <w:tc>
          <w:tcPr>
            <w:tcW w:type="dxa" w:w="6098"/>
            <w:tcMar>
              <w:top w:w="30" w:type="dxa"/>
              <w:bottom w:w="30" w:type="dxa"/>
              <w:left w:w="80" w:type="dxa"/>
              <w:right w:w="80" w:type="dxa"/>
            </w:tcMar>
          </w:tcPr>
          <w:p>
            <w:pPr>
              <w:spacing w:after="0" w:line="240" w:lineRule="auto"/>
            </w:pPr>
            <w:r>
              <w:rPr>
                <w:b w:val="0"/>
                <w:i w:val="0"/>
                <w:sz w:val="20"/>
              </w:rPr>
              <w:t xml:space="preserve">As modified it's </w:t>
            </w:r>
            <w:r>
              <w:rPr>
                <w:b/>
                <w:i w:val="0"/>
                <w:sz w:val="20"/>
              </w:rPr>
              <w:t>$500+</w:t>
            </w:r>
            <w:r>
              <w:rPr>
                <w:b w:val="0"/>
                <w:i w:val="0"/>
                <w:sz w:val="20"/>
              </w:rPr>
              <w:t xml:space="preserve"> → needs a record → </w:t>
            </w:r>
            <w:r>
              <w:rPr>
                <w:b/>
                <w:i w:val="0"/>
                <w:sz w:val="20"/>
              </w:rPr>
              <w:t>modification unenforceable</w:t>
            </w:r>
            <w:r>
              <w:rPr>
                <w:b w:val="0"/>
                <w:i w:val="0"/>
                <w:sz w:val="20"/>
              </w:rPr>
              <w:t>; the $400 deal stands (may operate as waiver)</w:t>
            </w:r>
          </w:p>
        </w:tc>
      </w:tr>
      <w:tr>
        <w:trPr>
          <w:cantSplit w:val="true"/>
        </w:trPr>
        <w:tc>
          <w:tcPr>
            <w:tcW w:type="dxa" w:w="953"/>
            <w:tcMar>
              <w:top w:w="30" w:type="dxa"/>
              <w:bottom w:w="30" w:type="dxa"/>
              <w:left w:w="80" w:type="dxa"/>
              <w:right w:w="80" w:type="dxa"/>
            </w:tcMar>
            <w:shd w:val="clear" w:color="auto" w:fill="F2F6FB"/>
          </w:tcPr>
          <w:p>
            <w:pPr>
              <w:spacing w:after="0" w:line="240" w:lineRule="auto"/>
            </w:pPr>
            <w:r>
              <w:rPr>
                <w:b w:val="0"/>
                <w:i w:val="0"/>
                <w:sz w:val="20"/>
              </w:rPr>
              <w:t>(b)</w:t>
            </w:r>
          </w:p>
        </w:tc>
        <w:tc>
          <w:tcPr>
            <w:tcW w:type="dxa" w:w="3461"/>
            <w:tcMar>
              <w:top w:w="30" w:type="dxa"/>
              <w:bottom w:w="30" w:type="dxa"/>
              <w:left w:w="80" w:type="dxa"/>
              <w:right w:w="80" w:type="dxa"/>
            </w:tcMar>
            <w:shd w:val="clear" w:color="auto" w:fill="F2F6FB"/>
          </w:tcPr>
          <w:p>
            <w:pPr>
              <w:spacing w:after="0" w:line="240" w:lineRule="auto"/>
            </w:pPr>
            <w:r>
              <w:rPr>
                <w:b w:val="0"/>
                <w:i w:val="0"/>
                <w:sz w:val="20"/>
              </w:rPr>
              <w:t>Oral $1,000 deal → orally cut to 40 units/$400</w:t>
            </w:r>
          </w:p>
        </w:tc>
        <w:tc>
          <w:tcPr>
            <w:tcW w:type="dxa" w:w="6098"/>
            <w:tcMar>
              <w:top w:w="30" w:type="dxa"/>
              <w:bottom w:w="30" w:type="dxa"/>
              <w:left w:w="80" w:type="dxa"/>
              <w:right w:w="80" w:type="dxa"/>
            </w:tcMar>
            <w:shd w:val="clear" w:color="auto" w:fill="F2F6FB"/>
          </w:tcPr>
          <w:p>
            <w:pPr>
              <w:spacing w:after="0" w:line="240" w:lineRule="auto"/>
            </w:pPr>
            <w:r>
              <w:rPr>
                <w:b w:val="0"/>
                <w:i w:val="0"/>
                <w:sz w:val="20"/>
              </w:rPr>
              <w:t xml:space="preserve">As modified it's </w:t>
            </w:r>
            <w:r>
              <w:rPr>
                <w:b/>
                <w:i w:val="0"/>
                <w:sz w:val="20"/>
              </w:rPr>
              <w:t>under $500</w:t>
            </w:r>
            <w:r>
              <w:rPr>
                <w:b w:val="0"/>
                <w:i w:val="0"/>
                <w:sz w:val="20"/>
              </w:rPr>
              <w:t xml:space="preserve"> → no record needed → </w:t>
            </w:r>
            <w:r>
              <w:rPr>
                <w:b/>
                <w:i w:val="0"/>
                <w:sz w:val="20"/>
              </w:rPr>
              <w:t>enforceable</w:t>
            </w:r>
          </w:p>
        </w:tc>
      </w:tr>
      <w:tr>
        <w:trPr>
          <w:cantSplit w:val="true"/>
        </w:trPr>
        <w:tc>
          <w:tcPr>
            <w:tcW w:type="dxa" w:w="953"/>
            <w:tcMar>
              <w:top w:w="30" w:type="dxa"/>
              <w:bottom w:w="30" w:type="dxa"/>
              <w:left w:w="80" w:type="dxa"/>
              <w:right w:w="80" w:type="dxa"/>
            </w:tcMar>
          </w:tcPr>
          <w:p>
            <w:pPr>
              <w:spacing w:after="0" w:line="240" w:lineRule="auto"/>
            </w:pPr>
            <w:r>
              <w:rPr>
                <w:b w:val="0"/>
                <w:i w:val="0"/>
                <w:sz w:val="20"/>
              </w:rPr>
              <w:t>(c)</w:t>
            </w:r>
          </w:p>
        </w:tc>
        <w:tc>
          <w:tcPr>
            <w:tcW w:type="dxa" w:w="3461"/>
            <w:tcMar>
              <w:top w:w="30" w:type="dxa"/>
              <w:bottom w:w="30" w:type="dxa"/>
              <w:left w:w="80" w:type="dxa"/>
              <w:right w:w="80" w:type="dxa"/>
            </w:tcMar>
          </w:tcPr>
          <w:p>
            <w:pPr>
              <w:spacing w:after="0" w:line="240" w:lineRule="auto"/>
            </w:pPr>
            <w:r>
              <w:rPr>
                <w:b w:val="0"/>
                <w:i w:val="0"/>
                <w:sz w:val="20"/>
              </w:rPr>
              <w:t>Record: 100/$1,000 → orally 110, same price</w:t>
            </w:r>
          </w:p>
        </w:tc>
        <w:tc>
          <w:tcPr>
            <w:tcW w:type="dxa" w:w="6098"/>
            <w:tcMar>
              <w:top w:w="30" w:type="dxa"/>
              <w:bottom w:w="30" w:type="dxa"/>
              <w:left w:w="80" w:type="dxa"/>
              <w:right w:w="80" w:type="dxa"/>
            </w:tcMar>
          </w:tcPr>
          <w:p>
            <w:pPr>
              <w:spacing w:after="0" w:line="240" w:lineRule="auto"/>
            </w:pPr>
            <w:r>
              <w:rPr>
                <w:b w:val="0"/>
                <w:i w:val="0"/>
                <w:sz w:val="20"/>
              </w:rPr>
              <w:t xml:space="preserve">Enforceable </w:t>
            </w:r>
            <w:r>
              <w:rPr>
                <w:b/>
                <w:i w:val="0"/>
                <w:sz w:val="20"/>
              </w:rPr>
              <w:t>only to the 100 units shown</w:t>
            </w:r>
            <w:r>
              <w:rPr>
                <w:b w:val="0"/>
                <w:i w:val="0"/>
                <w:sz w:val="20"/>
              </w:rPr>
              <w:t xml:space="preserve"> in the record → SOF bars the extra 10</w:t>
            </w:r>
          </w:p>
        </w:tc>
      </w:tr>
      <w:tr>
        <w:trPr>
          <w:cantSplit w:val="true"/>
        </w:trPr>
        <w:tc>
          <w:tcPr>
            <w:tcW w:type="dxa" w:w="953"/>
            <w:tcMar>
              <w:top w:w="30" w:type="dxa"/>
              <w:bottom w:w="30" w:type="dxa"/>
              <w:left w:w="80" w:type="dxa"/>
              <w:right w:w="80" w:type="dxa"/>
            </w:tcMar>
            <w:shd w:val="clear" w:color="auto" w:fill="F2F6FB"/>
          </w:tcPr>
          <w:p>
            <w:pPr>
              <w:spacing w:after="0" w:line="240" w:lineRule="auto"/>
            </w:pPr>
            <w:r>
              <w:rPr>
                <w:b w:val="0"/>
                <w:i w:val="0"/>
                <w:sz w:val="20"/>
              </w:rPr>
              <w:t>(d)</w:t>
            </w:r>
          </w:p>
        </w:tc>
        <w:tc>
          <w:tcPr>
            <w:tcW w:type="dxa" w:w="3461"/>
            <w:tcMar>
              <w:top w:w="30" w:type="dxa"/>
              <w:bottom w:w="30" w:type="dxa"/>
              <w:left w:w="80" w:type="dxa"/>
              <w:right w:w="80" w:type="dxa"/>
            </w:tcMar>
            <w:shd w:val="clear" w:color="auto" w:fill="F2F6FB"/>
          </w:tcPr>
          <w:p>
            <w:pPr>
              <w:spacing w:after="0" w:line="240" w:lineRule="auto"/>
            </w:pPr>
            <w:r>
              <w:rPr>
                <w:b w:val="0"/>
                <w:i w:val="0"/>
                <w:sz w:val="20"/>
              </w:rPr>
              <w:t>Record: 100/$1,000 → orally 90/$900</w:t>
            </w:r>
          </w:p>
        </w:tc>
        <w:tc>
          <w:tcPr>
            <w:tcW w:type="dxa" w:w="6098"/>
            <w:tcMar>
              <w:top w:w="30" w:type="dxa"/>
              <w:bottom w:w="30" w:type="dxa"/>
              <w:left w:w="80" w:type="dxa"/>
              <w:right w:w="80" w:type="dxa"/>
            </w:tcMar>
            <w:shd w:val="clear" w:color="auto" w:fill="F2F6FB"/>
          </w:tcPr>
          <w:p>
            <w:pPr>
              <w:spacing w:after="0" w:line="240" w:lineRule="auto"/>
            </w:pPr>
            <w:r>
              <w:rPr>
                <w:b/>
                <w:i w:val="0"/>
                <w:sz w:val="20"/>
              </w:rPr>
              <w:t>Split</w:t>
            </w:r>
            <w:r>
              <w:rPr>
                <w:b w:val="0"/>
                <w:i w:val="0"/>
                <w:sz w:val="20"/>
              </w:rPr>
              <w:t xml:space="preserve"> (Costco vs. Zemco): old record still shows a contract and quantity ≥ 90, </w:t>
            </w:r>
            <w:r>
              <w:rPr>
                <w:b/>
                <w:i w:val="0"/>
                <w:sz w:val="20"/>
              </w:rPr>
              <w:t>or</w:t>
            </w:r>
            <w:r>
              <w:rPr>
                <w:b w:val="0"/>
                <w:i w:val="0"/>
                <w:sz w:val="20"/>
              </w:rPr>
              <w:t xml:space="preserve"> a quantity change needs its own record</w:t>
            </w:r>
          </w:p>
        </w:tc>
      </w:tr>
      <w:tr>
        <w:trPr>
          <w:cantSplit w:val="true"/>
        </w:trPr>
        <w:tc>
          <w:tcPr>
            <w:tcW w:type="dxa" w:w="953"/>
            <w:tcMar>
              <w:top w:w="30" w:type="dxa"/>
              <w:bottom w:w="30" w:type="dxa"/>
              <w:left w:w="80" w:type="dxa"/>
              <w:right w:w="80" w:type="dxa"/>
            </w:tcMar>
          </w:tcPr>
          <w:p>
            <w:pPr>
              <w:spacing w:after="0" w:line="240" w:lineRule="auto"/>
            </w:pPr>
            <w:r>
              <w:rPr>
                <w:b w:val="0"/>
                <w:i w:val="0"/>
                <w:sz w:val="20"/>
              </w:rPr>
              <w:t>(e)</w:t>
            </w:r>
          </w:p>
        </w:tc>
        <w:tc>
          <w:tcPr>
            <w:tcW w:type="dxa" w:w="3461"/>
            <w:tcMar>
              <w:top w:w="30" w:type="dxa"/>
              <w:bottom w:w="30" w:type="dxa"/>
              <w:left w:w="80" w:type="dxa"/>
              <w:right w:w="80" w:type="dxa"/>
            </w:tcMar>
          </w:tcPr>
          <w:p>
            <w:pPr>
              <w:spacing w:after="0" w:line="240" w:lineRule="auto"/>
            </w:pPr>
            <w:r>
              <w:rPr>
                <w:b w:val="0"/>
                <w:i w:val="0"/>
                <w:sz w:val="20"/>
              </w:rPr>
              <w:t>Record: delivery June 1 → orally July 1</w:t>
            </w:r>
          </w:p>
        </w:tc>
        <w:tc>
          <w:tcPr>
            <w:tcW w:type="dxa" w:w="6098"/>
            <w:tcMar>
              <w:top w:w="30" w:type="dxa"/>
              <w:bottom w:w="30" w:type="dxa"/>
              <w:left w:w="80" w:type="dxa"/>
              <w:right w:w="80" w:type="dxa"/>
            </w:tcMar>
          </w:tcPr>
          <w:p>
            <w:pPr>
              <w:spacing w:after="0" w:line="240" w:lineRule="auto"/>
            </w:pPr>
            <w:r>
              <w:rPr>
                <w:b/>
                <w:i w:val="0"/>
                <w:sz w:val="20"/>
              </w:rPr>
              <w:t>No SOF problem</w:t>
            </w:r>
            <w:r>
              <w:rPr>
                <w:b w:val="0"/>
                <w:i w:val="0"/>
                <w:sz w:val="20"/>
              </w:rPr>
              <w:t xml:space="preserve"> — only quantity must be in the record (a NOM clause would be a separate barrier)</w:t>
            </w:r>
          </w:p>
        </w:tc>
      </w:tr>
    </w:tbl>
    <w:p>
      <w:pPr>
        <w:spacing w:after="0" w:line="120" w:lineRule="exact"/>
      </w:pPr>
    </w:p>
    <w:p>
      <w:pPr>
        <w:keepNext/>
        <w:spacing w:before="120" w:after="40"/>
        <w:pBdr>
          <w:bottom w:val="single" w:sz="6" w:space="1" w:color="8EAADB"/>
        </w:pBdr>
      </w:pPr>
      <w:r>
        <w:rPr>
          <w:b/>
          <w:i w:val="0"/>
          <w:color w:val="1F3A5F"/>
          <w:sz w:val="25"/>
        </w:rPr>
        <w:t>Four bases that can bar a buyer's breach claim</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2418"/>
        <w:gridCol w:w="3786"/>
        <w:gridCol w:w="4307"/>
      </w:tblGrid>
      <w:tr>
        <w:trPr>
          <w:tblHeader w:val="true"/>
        </w:trPr>
        <w:tc>
          <w:tcPr>
            <w:tcW w:type="dxa" w:w="2419"/>
            <w:shd w:val="clear" w:color="auto" w:fill="1F3A5F"/>
            <w:tcMar>
              <w:top w:w="40" w:type="dxa"/>
              <w:bottom w:w="40" w:type="dxa"/>
              <w:left w:w="80" w:type="dxa"/>
              <w:right w:w="80" w:type="dxa"/>
            </w:tcMar>
          </w:tcPr>
          <w:p>
            <w:pPr>
              <w:spacing w:after="0"/>
            </w:pPr>
            <w:r>
              <w:rPr>
                <w:b/>
                <w:i w:val="0"/>
                <w:color w:val="FFFFFF"/>
                <w:sz w:val="20"/>
              </w:rPr>
              <w:t>Doctrine</w:t>
            </w:r>
          </w:p>
        </w:tc>
        <w:tc>
          <w:tcPr>
            <w:tcW w:type="dxa" w:w="3786"/>
            <w:shd w:val="clear" w:color="auto" w:fill="1F3A5F"/>
            <w:tcMar>
              <w:top w:w="40" w:type="dxa"/>
              <w:bottom w:w="40" w:type="dxa"/>
              <w:left w:w="80" w:type="dxa"/>
              <w:right w:w="80" w:type="dxa"/>
            </w:tcMar>
          </w:tcPr>
          <w:p>
            <w:pPr>
              <w:spacing w:after="0"/>
            </w:pPr>
            <w:r>
              <w:rPr>
                <w:b/>
                <w:i w:val="0"/>
                <w:color w:val="FFFFFF"/>
                <w:sz w:val="20"/>
              </w:rPr>
              <w:t>Requirement</w:t>
            </w:r>
          </w:p>
        </w:tc>
        <w:tc>
          <w:tcPr>
            <w:tcW w:type="dxa" w:w="4307"/>
            <w:shd w:val="clear" w:color="auto" w:fill="1F3A5F"/>
            <w:tcMar>
              <w:top w:w="40" w:type="dxa"/>
              <w:bottom w:w="40" w:type="dxa"/>
              <w:left w:w="80" w:type="dxa"/>
              <w:right w:w="80" w:type="dxa"/>
            </w:tcMar>
          </w:tcPr>
          <w:p>
            <w:pPr>
              <w:spacing w:after="0"/>
            </w:pPr>
            <w:r>
              <w:rPr>
                <w:b/>
                <w:i w:val="0"/>
                <w:color w:val="FFFFFF"/>
                <w:sz w:val="20"/>
              </w:rPr>
              <w:t>Reach</w:t>
            </w:r>
          </w:p>
        </w:tc>
      </w:tr>
      <w:tr>
        <w:trPr>
          <w:cantSplit w:val="true"/>
        </w:trPr>
        <w:tc>
          <w:tcPr>
            <w:tcW w:type="dxa" w:w="2419"/>
            <w:tcMar>
              <w:top w:w="30" w:type="dxa"/>
              <w:bottom w:w="30" w:type="dxa"/>
              <w:left w:w="80" w:type="dxa"/>
              <w:right w:w="80" w:type="dxa"/>
            </w:tcMar>
          </w:tcPr>
          <w:p>
            <w:pPr>
              <w:spacing w:after="0" w:line="240" w:lineRule="auto"/>
            </w:pPr>
            <w:r>
              <w:rPr>
                <w:b/>
                <w:i w:val="0"/>
                <w:sz w:val="20"/>
              </w:rPr>
              <w:t>Modification</w:t>
            </w:r>
            <w:r>
              <w:rPr>
                <w:b w:val="0"/>
                <w:i w:val="0"/>
                <w:sz w:val="20"/>
              </w:rPr>
              <w:t xml:space="preserve"> (§ 2-209)</w:t>
            </w:r>
          </w:p>
        </w:tc>
        <w:tc>
          <w:tcPr>
            <w:tcW w:type="dxa" w:w="3786"/>
            <w:tcMar>
              <w:top w:w="30" w:type="dxa"/>
              <w:bottom w:w="30" w:type="dxa"/>
              <w:left w:w="80" w:type="dxa"/>
              <w:right w:w="80" w:type="dxa"/>
            </w:tcMar>
          </w:tcPr>
          <w:p>
            <w:pPr>
              <w:spacing w:after="0" w:line="240" w:lineRule="auto"/>
            </w:pPr>
            <w:r>
              <w:rPr>
                <w:b w:val="0"/>
                <w:i w:val="0"/>
                <w:sz w:val="20"/>
              </w:rPr>
              <w:t xml:space="preserve">Mutual </w:t>
            </w:r>
            <w:r>
              <w:rPr>
                <w:b/>
                <w:i w:val="0"/>
                <w:sz w:val="20"/>
              </w:rPr>
              <w:t>assent</w:t>
            </w:r>
            <w:r>
              <w:rPr>
                <w:b w:val="0"/>
                <w:i w:val="0"/>
                <w:sz w:val="20"/>
              </w:rPr>
              <w:t xml:space="preserve">; no consideration; </w:t>
            </w:r>
            <w:r>
              <w:rPr>
                <w:b/>
                <w:i w:val="0"/>
                <w:sz w:val="20"/>
              </w:rPr>
              <w:t>good faith</w:t>
            </w:r>
            <w:r>
              <w:rPr>
                <w:b w:val="0"/>
                <w:i w:val="0"/>
                <w:sz w:val="20"/>
              </w:rPr>
              <w:t>; SOF/NOM</w:t>
            </w:r>
          </w:p>
        </w:tc>
        <w:tc>
          <w:tcPr>
            <w:tcW w:type="dxa" w:w="4307"/>
            <w:tcMar>
              <w:top w:w="30" w:type="dxa"/>
              <w:bottom w:w="30" w:type="dxa"/>
              <w:left w:w="80" w:type="dxa"/>
              <w:right w:w="80" w:type="dxa"/>
            </w:tcMar>
          </w:tcPr>
          <w:p>
            <w:pPr>
              <w:spacing w:after="0" w:line="240" w:lineRule="auto"/>
            </w:pPr>
            <w:r>
              <w:rPr>
                <w:b w:val="0"/>
                <w:i w:val="0"/>
                <w:sz w:val="20"/>
              </w:rPr>
              <w:t xml:space="preserve">Past </w:t>
            </w:r>
            <w:r>
              <w:rPr>
                <w:b/>
                <w:i w:val="0"/>
                <w:sz w:val="20"/>
              </w:rPr>
              <w:t>and</w:t>
            </w:r>
            <w:r>
              <w:rPr>
                <w:b w:val="0"/>
                <w:i w:val="0"/>
                <w:sz w:val="20"/>
              </w:rPr>
              <w:t xml:space="preserve"> future</w:t>
            </w:r>
          </w:p>
        </w:tc>
      </w:tr>
      <w:tr>
        <w:trPr>
          <w:cantSplit w:val="true"/>
        </w:trPr>
        <w:tc>
          <w:tcPr>
            <w:tcW w:type="dxa" w:w="2419"/>
            <w:tcMar>
              <w:top w:w="30" w:type="dxa"/>
              <w:bottom w:w="30" w:type="dxa"/>
              <w:left w:w="80" w:type="dxa"/>
              <w:right w:w="80" w:type="dxa"/>
            </w:tcMar>
            <w:shd w:val="clear" w:color="auto" w:fill="F2F6FB"/>
          </w:tcPr>
          <w:p>
            <w:pPr>
              <w:spacing w:after="0" w:line="240" w:lineRule="auto"/>
            </w:pPr>
            <w:r>
              <w:rPr>
                <w:b/>
                <w:i w:val="0"/>
                <w:sz w:val="20"/>
              </w:rPr>
              <w:t>Waiver</w:t>
            </w:r>
            <w:r>
              <w:rPr>
                <w:b w:val="0"/>
                <w:i w:val="0"/>
                <w:sz w:val="20"/>
              </w:rPr>
              <w:t xml:space="preserve"> (§ 2-209(4)–(5))</w:t>
            </w:r>
          </w:p>
        </w:tc>
        <w:tc>
          <w:tcPr>
            <w:tcW w:type="dxa" w:w="3786"/>
            <w:tcMar>
              <w:top w:w="30" w:type="dxa"/>
              <w:bottom w:w="30" w:type="dxa"/>
              <w:left w:w="80" w:type="dxa"/>
              <w:right w:w="80" w:type="dxa"/>
            </w:tcMar>
            <w:shd w:val="clear" w:color="auto" w:fill="F2F6FB"/>
          </w:tcPr>
          <w:p>
            <w:pPr>
              <w:spacing w:after="0" w:line="240" w:lineRule="auto"/>
            </w:pPr>
            <w:r>
              <w:rPr>
                <w:b/>
                <w:i w:val="0"/>
                <w:sz w:val="20"/>
              </w:rPr>
              <w:t>Voluntary relinquishment of a known right</w:t>
            </w:r>
          </w:p>
        </w:tc>
        <w:tc>
          <w:tcPr>
            <w:tcW w:type="dxa" w:w="4307"/>
            <w:tcMar>
              <w:top w:w="30" w:type="dxa"/>
              <w:bottom w:w="30" w:type="dxa"/>
              <w:left w:w="80" w:type="dxa"/>
              <w:right w:w="80" w:type="dxa"/>
            </w:tcMar>
            <w:shd w:val="clear" w:color="auto" w:fill="F2F6FB"/>
          </w:tcPr>
          <w:p>
            <w:pPr>
              <w:spacing w:after="0" w:line="240" w:lineRule="auto"/>
            </w:pPr>
            <w:r>
              <w:rPr>
                <w:b w:val="0"/>
                <w:i w:val="0"/>
                <w:sz w:val="20"/>
              </w:rPr>
              <w:t xml:space="preserve">Retractable </w:t>
            </w:r>
            <w:r>
              <w:rPr>
                <w:b/>
                <w:i w:val="0"/>
                <w:sz w:val="20"/>
              </w:rPr>
              <w:t>going forward</w:t>
            </w:r>
            <w:r>
              <w:rPr>
                <w:b w:val="0"/>
                <w:i w:val="0"/>
                <w:sz w:val="20"/>
              </w:rPr>
              <w:t xml:space="preserve"> → mainly affects </w:t>
            </w:r>
            <w:r>
              <w:rPr>
                <w:b/>
                <w:i w:val="0"/>
                <w:sz w:val="20"/>
              </w:rPr>
              <w:t>past</w:t>
            </w:r>
            <w:r>
              <w:rPr>
                <w:b w:val="0"/>
                <w:i w:val="0"/>
                <w:sz w:val="20"/>
              </w:rPr>
              <w:t xml:space="preserve"> performance</w:t>
            </w:r>
          </w:p>
        </w:tc>
      </w:tr>
      <w:tr>
        <w:trPr>
          <w:cantSplit w:val="true"/>
        </w:trPr>
        <w:tc>
          <w:tcPr>
            <w:tcW w:type="dxa" w:w="2419"/>
            <w:tcMar>
              <w:top w:w="30" w:type="dxa"/>
              <w:bottom w:w="30" w:type="dxa"/>
              <w:left w:w="80" w:type="dxa"/>
              <w:right w:w="80" w:type="dxa"/>
            </w:tcMar>
          </w:tcPr>
          <w:p>
            <w:pPr>
              <w:spacing w:after="0" w:line="240" w:lineRule="auto"/>
            </w:pPr>
            <w:r>
              <w:rPr>
                <w:b/>
                <w:i w:val="0"/>
                <w:sz w:val="20"/>
              </w:rPr>
              <w:t>Course of performance</w:t>
            </w:r>
            <w:r>
              <w:rPr>
                <w:b w:val="0"/>
                <w:i w:val="0"/>
                <w:sz w:val="20"/>
              </w:rPr>
              <w:t xml:space="preserve"> (§ 1-303)</w:t>
            </w:r>
          </w:p>
        </w:tc>
        <w:tc>
          <w:tcPr>
            <w:tcW w:type="dxa" w:w="3786"/>
            <w:tcMar>
              <w:top w:w="30" w:type="dxa"/>
              <w:bottom w:w="30" w:type="dxa"/>
              <w:left w:w="80" w:type="dxa"/>
              <w:right w:w="80" w:type="dxa"/>
            </w:tcMar>
          </w:tcPr>
          <w:p>
            <w:pPr>
              <w:spacing w:after="0" w:line="240" w:lineRule="auto"/>
            </w:pPr>
            <w:r>
              <w:rPr>
                <w:b/>
                <w:i w:val="0"/>
                <w:sz w:val="20"/>
              </w:rPr>
              <w:t>Repeated</w:t>
            </w:r>
            <w:r>
              <w:rPr>
                <w:b w:val="0"/>
                <w:i w:val="0"/>
                <w:sz w:val="20"/>
              </w:rPr>
              <w:t xml:space="preserve"> performance + knowledge + opportunity to object</w:t>
            </w:r>
          </w:p>
        </w:tc>
        <w:tc>
          <w:tcPr>
            <w:tcW w:type="dxa" w:w="4307"/>
            <w:tcMar>
              <w:top w:w="30" w:type="dxa"/>
              <w:bottom w:w="30" w:type="dxa"/>
              <w:left w:w="80" w:type="dxa"/>
              <w:right w:w="80" w:type="dxa"/>
            </w:tcMar>
          </w:tcPr>
          <w:p>
            <w:pPr>
              <w:spacing w:after="0" w:line="240" w:lineRule="auto"/>
            </w:pPr>
            <w:r>
              <w:rPr>
                <w:b w:val="0"/>
                <w:i w:val="0"/>
                <w:sz w:val="20"/>
              </w:rPr>
              <w:t xml:space="preserve">Must be </w:t>
            </w:r>
            <w:r>
              <w:rPr>
                <w:b/>
                <w:i w:val="0"/>
                <w:sz w:val="20"/>
              </w:rPr>
              <w:t>consistent with express terms</w:t>
            </w:r>
          </w:p>
        </w:tc>
      </w:tr>
      <w:tr>
        <w:trPr>
          <w:cantSplit w:val="true"/>
        </w:trPr>
        <w:tc>
          <w:tcPr>
            <w:tcW w:type="dxa" w:w="2419"/>
            <w:tcMar>
              <w:top w:w="30" w:type="dxa"/>
              <w:bottom w:w="30" w:type="dxa"/>
              <w:left w:w="80" w:type="dxa"/>
              <w:right w:w="80" w:type="dxa"/>
            </w:tcMar>
            <w:shd w:val="clear" w:color="auto" w:fill="F2F6FB"/>
          </w:tcPr>
          <w:p>
            <w:pPr>
              <w:spacing w:after="0" w:line="240" w:lineRule="auto"/>
            </w:pPr>
            <w:r>
              <w:rPr>
                <w:b/>
                <w:i w:val="0"/>
                <w:sz w:val="20"/>
              </w:rPr>
              <w:t>Estoppel</w:t>
            </w:r>
            <w:r>
              <w:rPr>
                <w:b w:val="0"/>
                <w:i w:val="0"/>
                <w:sz w:val="20"/>
              </w:rPr>
              <w:t xml:space="preserve"> (§ 1-103(b))</w:t>
            </w:r>
          </w:p>
        </w:tc>
        <w:tc>
          <w:tcPr>
            <w:tcW w:type="dxa" w:w="3786"/>
            <w:tcMar>
              <w:top w:w="30" w:type="dxa"/>
              <w:bottom w:w="30" w:type="dxa"/>
              <w:left w:w="80" w:type="dxa"/>
              <w:right w:w="80" w:type="dxa"/>
            </w:tcMar>
            <w:shd w:val="clear" w:color="auto" w:fill="F2F6FB"/>
          </w:tcPr>
          <w:p>
            <w:pPr>
              <w:spacing w:after="0" w:line="240" w:lineRule="auto"/>
            </w:pPr>
            <w:r>
              <w:rPr>
                <w:b/>
                <w:i w:val="0"/>
                <w:sz w:val="20"/>
              </w:rPr>
              <w:t>Reasonable, detrimental reliance</w:t>
            </w:r>
          </w:p>
        </w:tc>
        <w:tc>
          <w:tcPr>
            <w:tcW w:type="dxa" w:w="4307"/>
            <w:tcMar>
              <w:top w:w="30" w:type="dxa"/>
              <w:bottom w:w="30" w:type="dxa"/>
              <w:left w:w="80" w:type="dxa"/>
              <w:right w:w="80" w:type="dxa"/>
            </w:tcMar>
            <w:shd w:val="clear" w:color="auto" w:fill="F2F6FB"/>
          </w:tcPr>
          <w:p>
            <w:pPr>
              <w:spacing w:after="0" w:line="240" w:lineRule="auto"/>
            </w:pPr>
            <w:r>
              <w:rPr>
                <w:b w:val="0"/>
                <w:i w:val="0"/>
                <w:sz w:val="20"/>
              </w:rPr>
              <w:t xml:space="preserve">Performance due </w:t>
            </w:r>
            <w:r>
              <w:rPr>
                <w:b/>
                <w:i w:val="0"/>
                <w:sz w:val="20"/>
              </w:rPr>
              <w:t>after</w:t>
            </w:r>
            <w:r>
              <w:rPr>
                <w:b w:val="0"/>
                <w:i w:val="0"/>
                <w:sz w:val="20"/>
              </w:rPr>
              <w:t xml:space="preserve"> the reliance arose; NOM clause undercuts reasonableness</w:t>
            </w:r>
          </w:p>
        </w:tc>
      </w:tr>
    </w:tbl>
    <w:p>
      <w:pPr>
        <w:spacing w:after="0" w:line="120" w:lineRule="exact"/>
      </w:pPr>
    </w:p>
    <w:p>
      <w:pPr>
        <w:pStyle w:val="ListBullet"/>
      </w:pPr>
      <w:r>
        <w:rPr>
          <w:b/>
          <w:i w:val="0"/>
        </w:rPr>
        <w:t>Accepting one late delivery is not a waiver of damages</w:t>
      </w:r>
      <w:r>
        <w:rPr>
          <w:b w:val="0"/>
          <w:i w:val="0"/>
        </w:rPr>
        <w:t xml:space="preserve"> (§ 2-607(2)) — but buyer must </w:t>
      </w:r>
      <w:r>
        <w:rPr>
          <w:b/>
          <w:i w:val="0"/>
        </w:rPr>
        <w:t>notify of breach within a reasonable time or be barred</w:t>
      </w:r>
      <w:r>
        <w:rPr>
          <w:b w:val="0"/>
          <w:i w:val="0"/>
        </w:rPr>
        <w:t xml:space="preserve"> (§ 2-607(3)(a)).</w:t>
      </w:r>
    </w:p>
    <w:p>
      <w:pPr>
        <w:keepNext/>
      </w:pPr>
      <w:r>
        <w:rPr>
          <w:b/>
          <w:i w:val="0"/>
        </w:rPr>
        <w:t>Problem 3-5</w:t>
      </w:r>
      <w:r>
        <w:rPr>
          <w:b w:val="0"/>
          <w:i w:val="0"/>
        </w:rPr>
        <w:t xml:space="preserve"> (10,000 widgets/month, delivery to buyer </w:t>
      </w:r>
      <w:r>
        <w:rPr>
          <w:b/>
          <w:i w:val="0"/>
        </w:rPr>
        <w:t>by the 5th</w:t>
      </w:r>
      <w:r>
        <w:rPr>
          <w:b w:val="0"/>
          <w:i w:val="0"/>
        </w:rPr>
        <w:t>):</w:t>
      </w:r>
    </w:p>
    <w:p>
      <w:pPr>
        <w:pStyle w:val="ListBullet"/>
      </w:pPr>
      <w:r>
        <w:rPr>
          <w:b/>
          <w:i w:val="0"/>
        </w:rPr>
        <w:t>(A) One late delivery accepted:</w:t>
      </w:r>
      <w:r>
        <w:rPr>
          <w:b w:val="0"/>
          <w:i w:val="0"/>
        </w:rPr>
        <w:t xml:space="preserve"> no course of performance (single occasion), no modification, no waiver of damages — buyer keeps its claim </w:t>
      </w:r>
      <w:r>
        <w:rPr>
          <w:b/>
          <w:i w:val="0"/>
        </w:rPr>
        <w:t>if it gives timely notice</w:t>
      </w:r>
      <w:r>
        <w:rPr>
          <w:b w:val="0"/>
          <w:i w:val="0"/>
        </w:rPr>
        <w:t>.</w:t>
      </w:r>
    </w:p>
    <w:p>
      <w:pPr>
        <w:pStyle w:val="ListBullet"/>
      </w:pPr>
      <w:r>
        <w:rPr>
          <w:b/>
          <w:i w:val="0"/>
        </w:rPr>
        <w:t>(B) Three late deliveries accepted:</w:t>
      </w:r>
      <w:r>
        <w:rPr>
          <w:b w:val="0"/>
          <w:i w:val="0"/>
        </w:rPr>
        <w:t xml:space="preserve"> arguable course of performance (but </w:t>
      </w:r>
      <w:r>
        <w:rPr>
          <w:b/>
          <w:i w:val="0"/>
        </w:rPr>
        <w:t>express term prevails</w:t>
      </w:r>
      <w:r>
        <w:rPr>
          <w:b w:val="0"/>
          <w:i w:val="0"/>
        </w:rPr>
        <w:t xml:space="preserve"> if irreconcilable); buyer </w:t>
      </w:r>
      <w:r>
        <w:rPr>
          <w:b/>
          <w:i w:val="0"/>
        </w:rPr>
        <w:t>may retract</w:t>
      </w:r>
      <w:r>
        <w:rPr>
          <w:b w:val="0"/>
          <w:i w:val="0"/>
        </w:rPr>
        <w:t xml:space="preserve"> any waiver for </w:t>
      </w:r>
      <w:r>
        <w:rPr>
          <w:b/>
          <w:i w:val="0"/>
        </w:rPr>
        <w:t>future</w:t>
      </w:r>
      <w:r>
        <w:rPr>
          <w:b w:val="0"/>
          <w:i w:val="0"/>
        </w:rPr>
        <w:t xml:space="preserve"> deliveries by reasonable notice (unless seller materially relied); recovery for the </w:t>
      </w:r>
      <w:r>
        <w:rPr>
          <w:b/>
          <w:i w:val="0"/>
        </w:rPr>
        <w:t>past</w:t>
      </w:r>
      <w:r>
        <w:rPr>
          <w:b w:val="0"/>
          <w:i w:val="0"/>
        </w:rPr>
        <w:t xml:space="preserve"> three requires timely § 2-607(3)(a) notice, and conduct may be a waiver as to them.</w:t>
      </w:r>
    </w:p>
    <w:p>
      <w:pPr>
        <w:pStyle w:val="ListBullet"/>
      </w:pPr>
      <w:r>
        <w:rPr>
          <w:b/>
          <w:i w:val="0"/>
        </w:rPr>
        <w:t>(C) + NOM clause:</w:t>
      </w:r>
      <w:r>
        <w:rPr>
          <w:b w:val="0"/>
          <w:i w:val="0"/>
        </w:rPr>
        <w:t xml:space="preserve"> no unwritten modification (§ 2-209(2)), but conduct </w:t>
      </w:r>
      <w:r>
        <w:rPr>
          <w:b/>
          <w:i w:val="0"/>
        </w:rPr>
        <w:t>can still be a waiver</w:t>
      </w:r>
      <w:r>
        <w:rPr>
          <w:b w:val="0"/>
          <w:i w:val="0"/>
        </w:rPr>
        <w:t xml:space="preserve"> (§ 2-209(4)); NOM clause weakens </w:t>
      </w:r>
      <w:r>
        <w:rPr>
          <w:b/>
          <w:i w:val="0"/>
        </w:rPr>
        <w:t>estoppel</w:t>
      </w:r>
      <w:r>
        <w:rPr>
          <w:b w:val="0"/>
          <w:i w:val="0"/>
        </w:rPr>
        <w:t>.</w:t>
      </w:r>
    </w:p>
    <w:p>
      <w:pPr>
        <w:pStyle w:val="ListBullet"/>
      </w:pPr>
      <w:r>
        <w:rPr>
          <w:b/>
          <w:i w:val="0"/>
        </w:rPr>
        <w:t>(D) + anti-waiver clause:</w:t>
      </w:r>
      <w:r>
        <w:rPr>
          <w:b w:val="0"/>
          <w:i w:val="0"/>
        </w:rPr>
        <w:t xml:space="preserve"> courts split — some enforce it; others hold the clause </w:t>
      </w:r>
      <w:r>
        <w:rPr>
          <w:b/>
          <w:i w:val="0"/>
        </w:rPr>
        <w:t>itself can be waived by conduct</w:t>
      </w:r>
      <w:r>
        <w:rPr>
          <w:b w:val="0"/>
          <w:i w:val="0"/>
        </w:rPr>
        <w:t>; estoppel remains possible but weak.</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V. Express Warranties — § 2-313</w:t>
            </w:r>
            <w:r>
              <w:rPr>
                <w:b/>
                <w:color w:val="C9D9EE"/>
                <w:sz w:val="16"/>
              </w:rPr>
              <w:t xml:space="preserve">    WEEK 2</w:t>
            </w:r>
          </w:p>
        </w:tc>
      </w:tr>
    </w:tbl>
    <w:p>
      <w:pPr>
        <w:keepNext/>
        <w:spacing w:after="0" w:line="8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Created by </w:t>
            </w:r>
            <w:r>
              <w:rPr>
                <w:b/>
                <w:i w:val="0"/>
                <w:sz w:val="21"/>
              </w:rPr>
              <w:t>(a)</w:t>
            </w:r>
            <w:r>
              <w:rPr>
                <w:b w:val="0"/>
                <w:i w:val="0"/>
                <w:sz w:val="21"/>
              </w:rPr>
              <w:t xml:space="preserve"> an </w:t>
            </w:r>
            <w:r>
              <w:rPr>
                <w:b/>
                <w:i w:val="0"/>
                <w:sz w:val="21"/>
              </w:rPr>
              <w:t>affirmation of fact or promise</w:t>
            </w:r>
            <w:r>
              <w:rPr>
                <w:b w:val="0"/>
                <w:i w:val="0"/>
                <w:sz w:val="21"/>
              </w:rPr>
              <w:t xml:space="preserve"> relating to the goods, </w:t>
            </w:r>
            <w:r>
              <w:rPr>
                <w:b/>
                <w:i w:val="0"/>
                <w:sz w:val="21"/>
              </w:rPr>
              <w:t>(b)</w:t>
            </w:r>
            <w:r>
              <w:rPr>
                <w:b w:val="0"/>
                <w:i w:val="0"/>
                <w:sz w:val="21"/>
              </w:rPr>
              <w:t xml:space="preserve"> a </w:t>
            </w:r>
            <w:r>
              <w:rPr>
                <w:b/>
                <w:i w:val="0"/>
                <w:sz w:val="21"/>
              </w:rPr>
              <w:t>description</w:t>
            </w:r>
            <w:r>
              <w:rPr>
                <w:b w:val="0"/>
                <w:i w:val="0"/>
                <w:sz w:val="21"/>
              </w:rPr>
              <w:t xml:space="preserve"> of the goods, or </w:t>
            </w:r>
            <w:r>
              <w:rPr>
                <w:b/>
                <w:i w:val="0"/>
                <w:sz w:val="21"/>
              </w:rPr>
              <w:t>(c)</w:t>
            </w:r>
            <w:r>
              <w:rPr>
                <w:b w:val="0"/>
                <w:i w:val="0"/>
                <w:sz w:val="21"/>
              </w:rPr>
              <w:t xml:space="preserve"> a </w:t>
            </w:r>
            <w:r>
              <w:rPr>
                <w:b/>
                <w:i w:val="0"/>
                <w:sz w:val="21"/>
              </w:rPr>
              <w:t>sample or model</w:t>
            </w:r>
            <w:r>
              <w:rPr>
                <w:b w:val="0"/>
                <w:i w:val="0"/>
                <w:sz w:val="21"/>
              </w:rPr>
              <w:t xml:space="preserve"> — each must be </w:t>
            </w:r>
            <w:r>
              <w:rPr>
                <w:b/>
                <w:i w:val="0"/>
                <w:sz w:val="21"/>
              </w:rPr>
              <w:t>part of the basis of the bargain</w:t>
            </w:r>
            <w:r>
              <w:rPr>
                <w:b w:val="0"/>
                <w:i w:val="0"/>
                <w:sz w:val="21"/>
              </w:rPr>
              <w:t xml:space="preserve">. No formal words ("warrant") or </w:t>
            </w:r>
            <w:r>
              <w:rPr>
                <w:b/>
                <w:i w:val="0"/>
                <w:sz w:val="21"/>
              </w:rPr>
              <w:t>intent</w:t>
            </w:r>
            <w:r>
              <w:rPr>
                <w:b w:val="0"/>
                <w:i w:val="0"/>
                <w:sz w:val="21"/>
              </w:rPr>
              <w:t xml:space="preserve"> needed. </w:t>
            </w:r>
            <w:r>
              <w:rPr>
                <w:b/>
                <w:i w:val="0"/>
                <w:sz w:val="21"/>
              </w:rPr>
              <w:t>Not</w:t>
            </w:r>
            <w:r>
              <w:rPr>
                <w:b w:val="0"/>
                <w:i w:val="0"/>
                <w:sz w:val="21"/>
              </w:rPr>
              <w:t xml:space="preserve"> warranties: </w:t>
            </w:r>
            <w:r>
              <w:rPr>
                <w:b/>
                <w:i w:val="0"/>
                <w:sz w:val="21"/>
              </w:rPr>
              <w:t>affirmations of value</w:t>
            </w:r>
            <w:r>
              <w:rPr>
                <w:b w:val="0"/>
                <w:i w:val="0"/>
                <w:sz w:val="21"/>
              </w:rPr>
              <w:t xml:space="preserve">, or the seller's </w:t>
            </w:r>
            <w:r>
              <w:rPr>
                <w:b/>
                <w:i w:val="0"/>
                <w:sz w:val="21"/>
              </w:rPr>
              <w:t>opinion or commendation</w:t>
            </w:r>
            <w:r>
              <w:rPr>
                <w:b w:val="0"/>
                <w:i w:val="0"/>
                <w:sz w:val="21"/>
              </w:rPr>
              <w:t>.</w:t>
            </w:r>
          </w:p>
        </w:tc>
      </w:tr>
    </w:tbl>
    <w:p>
      <w:pPr>
        <w:spacing w:after="0" w:line="100" w:lineRule="exact"/>
      </w:pPr>
    </w:p>
    <w:p>
      <w:pPr>
        <w:pStyle w:val="ListBullet"/>
      </w:pPr>
      <w:r>
        <w:rPr>
          <w:b/>
          <w:i w:val="0"/>
        </w:rPr>
        <w:t>§ 2-313 rejects caveat emptor</w:t>
      </w:r>
      <w:r>
        <w:rPr>
          <w:b w:val="0"/>
          <w:i w:val="0"/>
        </w:rPr>
        <w:t xml:space="preserve">; it turns many </w:t>
      </w:r>
      <w:r>
        <w:rPr>
          <w:b/>
          <w:i w:val="0"/>
        </w:rPr>
        <w:t>representations</w:t>
      </w:r>
      <w:r>
        <w:rPr>
          <w:b w:val="0"/>
          <w:i w:val="0"/>
        </w:rPr>
        <w:t xml:space="preserve"> (tort) into </w:t>
      </w:r>
      <w:r>
        <w:rPr>
          <w:b/>
          <w:i w:val="0"/>
        </w:rPr>
        <w:t>warranties</w:t>
      </w:r>
      <w:r>
        <w:rPr>
          <w:b w:val="0"/>
          <w:i w:val="0"/>
        </w:rPr>
        <w:t xml:space="preserve"> (contract). Statements made </w:t>
      </w:r>
      <w:r>
        <w:rPr>
          <w:b/>
          <w:i w:val="0"/>
        </w:rPr>
        <w:t>after</w:t>
      </w:r>
      <w:r>
        <w:rPr>
          <w:b w:val="0"/>
          <w:i w:val="0"/>
        </w:rPr>
        <w:t xml:space="preserve"> the deal (e.g., at delivery) can be warranties as </w:t>
      </w:r>
      <w:r>
        <w:rPr>
          <w:b/>
          <w:i w:val="0"/>
        </w:rPr>
        <w:t>modifications</w:t>
      </w:r>
      <w:r>
        <w:rPr>
          <w:b w:val="0"/>
          <w:i w:val="0"/>
        </w:rPr>
        <w:t xml:space="preserve"> needing no consideration (cmt. 7).</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4712"/>
        <w:gridCol w:w="5799"/>
      </w:tblGrid>
      <w:tr>
        <w:trPr>
          <w:tblHeader w:val="true"/>
        </w:trPr>
        <w:tc>
          <w:tcPr>
            <w:tcW w:type="dxa" w:w="4712"/>
            <w:shd w:val="clear" w:color="auto" w:fill="1F3A5F"/>
            <w:tcMar>
              <w:top w:w="40" w:type="dxa"/>
              <w:bottom w:w="40" w:type="dxa"/>
              <w:left w:w="80" w:type="dxa"/>
              <w:right w:w="80" w:type="dxa"/>
            </w:tcMar>
          </w:tcPr>
          <w:p>
            <w:pPr>
              <w:spacing w:after="0"/>
            </w:pPr>
            <w:r>
              <w:rPr>
                <w:b/>
                <w:i w:val="0"/>
                <w:color w:val="FFFFFF"/>
                <w:sz w:val="20"/>
              </w:rPr>
              <w:t xml:space="preserve">Points toward </w:t>
            </w:r>
            <w:r>
              <w:rPr>
                <w:b/>
                <w:i w:val="0"/>
                <w:color w:val="FFFFFF"/>
                <w:sz w:val="20"/>
              </w:rPr>
              <w:t>express warranty</w:t>
            </w:r>
          </w:p>
        </w:tc>
        <w:tc>
          <w:tcPr>
            <w:tcW w:type="dxa" w:w="5800"/>
            <w:shd w:val="clear" w:color="auto" w:fill="1F3A5F"/>
            <w:tcMar>
              <w:top w:w="40" w:type="dxa"/>
              <w:bottom w:w="40" w:type="dxa"/>
              <w:left w:w="80" w:type="dxa"/>
              <w:right w:w="80" w:type="dxa"/>
            </w:tcMar>
          </w:tcPr>
          <w:p>
            <w:pPr>
              <w:spacing w:after="0"/>
            </w:pPr>
            <w:r>
              <w:rPr>
                <w:b/>
                <w:i w:val="0"/>
                <w:color w:val="FFFFFF"/>
                <w:sz w:val="20"/>
              </w:rPr>
              <w:t xml:space="preserve">Points toward </w:t>
            </w:r>
            <w:r>
              <w:rPr>
                <w:b/>
                <w:i w:val="0"/>
                <w:color w:val="FFFFFF"/>
                <w:sz w:val="20"/>
              </w:rPr>
              <w:t>puffing</w:t>
            </w:r>
          </w:p>
        </w:tc>
      </w:tr>
      <w:tr>
        <w:trPr>
          <w:cantSplit w:val="true"/>
        </w:trPr>
        <w:tc>
          <w:tcPr>
            <w:tcW w:type="dxa" w:w="4712"/>
            <w:tcMar>
              <w:top w:w="30" w:type="dxa"/>
              <w:bottom w:w="30" w:type="dxa"/>
              <w:left w:w="80" w:type="dxa"/>
              <w:right w:w="80" w:type="dxa"/>
            </w:tcMar>
          </w:tcPr>
          <w:p>
            <w:pPr>
              <w:spacing w:after="0" w:line="240" w:lineRule="auto"/>
            </w:pPr>
            <w:r>
              <w:rPr>
                <w:b w:val="0"/>
                <w:i w:val="0"/>
                <w:sz w:val="20"/>
              </w:rPr>
              <w:t xml:space="preserve">Affirmation of </w:t>
            </w:r>
            <w:r>
              <w:rPr>
                <w:b/>
                <w:i w:val="0"/>
                <w:sz w:val="20"/>
              </w:rPr>
              <w:t>fact</w:t>
            </w:r>
            <w:r>
              <w:rPr>
                <w:b w:val="0"/>
                <w:i w:val="0"/>
                <w:sz w:val="20"/>
              </w:rPr>
              <w:t xml:space="preserve"> · </w:t>
            </w:r>
            <w:r>
              <w:rPr>
                <w:b/>
                <w:i w:val="0"/>
                <w:sz w:val="20"/>
              </w:rPr>
              <w:t>promise</w:t>
            </w:r>
            <w:r>
              <w:rPr>
                <w:b w:val="0"/>
                <w:i w:val="0"/>
                <w:sz w:val="20"/>
              </w:rPr>
              <w:t xml:space="preserve"> · </w:t>
            </w:r>
            <w:r>
              <w:rPr>
                <w:b/>
                <w:i w:val="0"/>
                <w:sz w:val="20"/>
              </w:rPr>
              <w:t>description</w:t>
            </w:r>
          </w:p>
        </w:tc>
        <w:tc>
          <w:tcPr>
            <w:tcW w:type="dxa" w:w="5800"/>
            <w:tcMar>
              <w:top w:w="30" w:type="dxa"/>
              <w:bottom w:w="30" w:type="dxa"/>
              <w:left w:w="80" w:type="dxa"/>
              <w:right w:w="80" w:type="dxa"/>
            </w:tcMar>
          </w:tcPr>
          <w:p>
            <w:pPr>
              <w:spacing w:after="0" w:line="240" w:lineRule="auto"/>
            </w:pPr>
            <w:r>
              <w:rPr>
                <w:b w:val="0"/>
                <w:i w:val="0"/>
                <w:sz w:val="20"/>
              </w:rPr>
              <w:t xml:space="preserve">Affirmation of </w:t>
            </w:r>
            <w:r>
              <w:rPr>
                <w:b/>
                <w:i w:val="0"/>
                <w:sz w:val="20"/>
              </w:rPr>
              <w:t>value</w:t>
            </w:r>
            <w:r>
              <w:rPr>
                <w:b w:val="0"/>
                <w:i w:val="0"/>
                <w:sz w:val="20"/>
              </w:rPr>
              <w:t xml:space="preserve"> · </w:t>
            </w:r>
            <w:r>
              <w:rPr>
                <w:b/>
                <w:i w:val="0"/>
                <w:sz w:val="20"/>
              </w:rPr>
              <w:t>opinion</w:t>
            </w:r>
            <w:r>
              <w:rPr>
                <w:b w:val="0"/>
                <w:i w:val="0"/>
                <w:sz w:val="20"/>
              </w:rPr>
              <w:t xml:space="preserve"> · </w:t>
            </w:r>
            <w:r>
              <w:rPr>
                <w:b/>
                <w:i w:val="0"/>
                <w:sz w:val="20"/>
              </w:rPr>
              <w:t>commendation/praise</w:t>
            </w:r>
          </w:p>
        </w:tc>
      </w:tr>
      <w:tr>
        <w:trPr>
          <w:cantSplit w:val="true"/>
        </w:trPr>
        <w:tc>
          <w:tcPr>
            <w:tcW w:type="dxa" w:w="4712"/>
            <w:tcMar>
              <w:top w:w="30" w:type="dxa"/>
              <w:bottom w:w="30" w:type="dxa"/>
              <w:left w:w="80" w:type="dxa"/>
              <w:right w:w="80" w:type="dxa"/>
            </w:tcMar>
            <w:shd w:val="clear" w:color="auto" w:fill="F2F6FB"/>
          </w:tcPr>
          <w:p>
            <w:pPr>
              <w:spacing w:after="0" w:line="240" w:lineRule="auto"/>
            </w:pPr>
            <w:r>
              <w:rPr>
                <w:b w:val="0"/>
                <w:i w:val="0"/>
                <w:sz w:val="20"/>
              </w:rPr>
              <w:t>Specific · measurable</w:t>
            </w:r>
          </w:p>
        </w:tc>
        <w:tc>
          <w:tcPr>
            <w:tcW w:type="dxa" w:w="5800"/>
            <w:tcMar>
              <w:top w:w="30" w:type="dxa"/>
              <w:bottom w:w="30" w:type="dxa"/>
              <w:left w:w="80" w:type="dxa"/>
              <w:right w:w="80" w:type="dxa"/>
            </w:tcMar>
            <w:shd w:val="clear" w:color="auto" w:fill="F2F6FB"/>
          </w:tcPr>
          <w:p>
            <w:pPr>
              <w:spacing w:after="0" w:line="240" w:lineRule="auto"/>
            </w:pPr>
            <w:r>
              <w:rPr>
                <w:b w:val="0"/>
                <w:i w:val="0"/>
                <w:sz w:val="20"/>
              </w:rPr>
              <w:t>General · immeasurable</w:t>
            </w:r>
          </w:p>
        </w:tc>
      </w:tr>
      <w:tr>
        <w:trPr>
          <w:cantSplit w:val="true"/>
        </w:trPr>
        <w:tc>
          <w:tcPr>
            <w:tcW w:type="dxa" w:w="4712"/>
            <w:tcMar>
              <w:top w:w="30" w:type="dxa"/>
              <w:bottom w:w="30" w:type="dxa"/>
              <w:left w:w="80" w:type="dxa"/>
              <w:right w:w="80" w:type="dxa"/>
            </w:tcMar>
          </w:tcPr>
          <w:p>
            <w:pPr>
              <w:spacing w:after="0" w:line="240" w:lineRule="auto"/>
            </w:pPr>
            <w:r>
              <w:rPr>
                <w:b w:val="0"/>
                <w:i w:val="0"/>
                <w:sz w:val="20"/>
              </w:rPr>
              <w:t>Unequivocal</w:t>
            </w:r>
          </w:p>
        </w:tc>
        <w:tc>
          <w:tcPr>
            <w:tcW w:type="dxa" w:w="5800"/>
            <w:tcMar>
              <w:top w:w="30" w:type="dxa"/>
              <w:bottom w:w="30" w:type="dxa"/>
              <w:left w:w="80" w:type="dxa"/>
              <w:right w:w="80" w:type="dxa"/>
            </w:tcMar>
          </w:tcPr>
          <w:p>
            <w:pPr>
              <w:spacing w:after="0" w:line="240" w:lineRule="auto"/>
            </w:pPr>
            <w:r>
              <w:rPr>
                <w:b w:val="0"/>
                <w:i w:val="0"/>
                <w:sz w:val="20"/>
              </w:rPr>
              <w:t>Equivocal, hedged, conditional</w:t>
            </w:r>
          </w:p>
        </w:tc>
      </w:tr>
      <w:tr>
        <w:trPr>
          <w:cantSplit w:val="true"/>
        </w:trPr>
        <w:tc>
          <w:tcPr>
            <w:tcW w:type="dxa" w:w="4712"/>
            <w:tcMar>
              <w:top w:w="30" w:type="dxa"/>
              <w:bottom w:w="30" w:type="dxa"/>
              <w:left w:w="80" w:type="dxa"/>
              <w:right w:w="80" w:type="dxa"/>
            </w:tcMar>
            <w:shd w:val="clear" w:color="auto" w:fill="F2F6FB"/>
          </w:tcPr>
          <w:p>
            <w:pPr>
              <w:spacing w:after="0" w:line="240" w:lineRule="auto"/>
            </w:pPr>
            <w:r>
              <w:rPr>
                <w:b w:val="0"/>
                <w:i w:val="0"/>
                <w:sz w:val="20"/>
              </w:rPr>
              <w:t>Reasonable to rely on</w:t>
            </w:r>
          </w:p>
        </w:tc>
        <w:tc>
          <w:tcPr>
            <w:tcW w:type="dxa" w:w="5800"/>
            <w:tcMar>
              <w:top w:w="30" w:type="dxa"/>
              <w:bottom w:w="30" w:type="dxa"/>
              <w:left w:w="80" w:type="dxa"/>
              <w:right w:w="80" w:type="dxa"/>
            </w:tcMar>
            <w:shd w:val="clear" w:color="auto" w:fill="F2F6FB"/>
          </w:tcPr>
          <w:p>
            <w:pPr>
              <w:spacing w:after="0" w:line="240" w:lineRule="auto"/>
            </w:pPr>
            <w:r>
              <w:rPr>
                <w:b w:val="0"/>
                <w:i w:val="0"/>
                <w:sz w:val="20"/>
              </w:rPr>
              <w:t>Not reasonable to rely on</w:t>
            </w:r>
          </w:p>
        </w:tc>
      </w:tr>
      <w:tr>
        <w:trPr>
          <w:cantSplit w:val="true"/>
        </w:trPr>
        <w:tc>
          <w:tcPr>
            <w:tcW w:type="dxa" w:w="4712"/>
            <w:tcMar>
              <w:top w:w="30" w:type="dxa"/>
              <w:bottom w:w="30" w:type="dxa"/>
              <w:left w:w="80" w:type="dxa"/>
              <w:right w:w="80" w:type="dxa"/>
            </w:tcMar>
          </w:tcPr>
          <w:p>
            <w:pPr>
              <w:spacing w:after="0" w:line="240" w:lineRule="auto"/>
            </w:pPr>
            <w:r>
              <w:rPr>
                <w:b w:val="0"/>
                <w:i w:val="0"/>
                <w:sz w:val="20"/>
              </w:rPr>
              <w:t>Made in response to an inquiry</w:t>
            </w:r>
          </w:p>
        </w:tc>
        <w:tc>
          <w:tcPr>
            <w:tcW w:type="dxa" w:w="5800"/>
            <w:tcMar>
              <w:top w:w="30" w:type="dxa"/>
              <w:bottom w:w="30" w:type="dxa"/>
              <w:left w:w="80" w:type="dxa"/>
              <w:right w:w="80" w:type="dxa"/>
            </w:tcMar>
          </w:tcPr>
          <w:p>
            <w:pPr>
              <w:spacing w:after="0" w:line="240" w:lineRule="auto"/>
            </w:pPr>
            <w:r>
              <w:rPr>
                <w:b w:val="0"/>
                <w:i w:val="0"/>
                <w:sz w:val="20"/>
              </w:rPr>
              <w:t>Freely volunteered</w:t>
            </w:r>
          </w:p>
        </w:tc>
      </w:tr>
      <w:tr>
        <w:trPr>
          <w:cantSplit w:val="true"/>
        </w:trPr>
        <w:tc>
          <w:tcPr>
            <w:tcW w:type="dxa" w:w="4712"/>
            <w:tcMar>
              <w:top w:w="30" w:type="dxa"/>
              <w:bottom w:w="30" w:type="dxa"/>
              <w:left w:w="80" w:type="dxa"/>
              <w:right w:w="80" w:type="dxa"/>
            </w:tcMar>
            <w:shd w:val="clear" w:color="auto" w:fill="F2F6FB"/>
          </w:tcPr>
          <w:p>
            <w:pPr>
              <w:spacing w:after="0" w:line="240" w:lineRule="auto"/>
            </w:pPr>
            <w:r>
              <w:rPr>
                <w:b w:val="0"/>
                <w:i w:val="0"/>
                <w:sz w:val="20"/>
              </w:rPr>
              <w:t>Written*</w:t>
            </w:r>
          </w:p>
        </w:tc>
        <w:tc>
          <w:tcPr>
            <w:tcW w:type="dxa" w:w="5800"/>
            <w:tcMar>
              <w:top w:w="30" w:type="dxa"/>
              <w:bottom w:w="30" w:type="dxa"/>
              <w:left w:w="80" w:type="dxa"/>
              <w:right w:w="80" w:type="dxa"/>
            </w:tcMar>
            <w:shd w:val="clear" w:color="auto" w:fill="F2F6FB"/>
          </w:tcPr>
          <w:p>
            <w:pPr>
              <w:spacing w:after="0" w:line="240" w:lineRule="auto"/>
            </w:pPr>
            <w:r>
              <w:rPr>
                <w:b w:val="0"/>
                <w:i w:val="0"/>
                <w:sz w:val="20"/>
              </w:rPr>
              <w:t>Oral* (*not decisive — oral statements can be warranties)</w:t>
            </w:r>
          </w:p>
        </w:tc>
      </w:tr>
    </w:tbl>
    <w:p>
      <w:pPr>
        <w:spacing w:after="0" w:line="12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5166"/>
        <w:gridCol w:w="5345"/>
      </w:tblGrid>
      <w:tr>
        <w:trPr>
          <w:tblHeader w:val="true"/>
        </w:trPr>
        <w:tc>
          <w:tcPr>
            <w:tcW w:type="dxa" w:w="5166"/>
            <w:shd w:val="clear" w:color="auto" w:fill="1F3A5F"/>
            <w:tcMar>
              <w:top w:w="40" w:type="dxa"/>
              <w:bottom w:w="40" w:type="dxa"/>
              <w:left w:w="80" w:type="dxa"/>
              <w:right w:w="80" w:type="dxa"/>
            </w:tcMar>
          </w:tcPr>
          <w:p>
            <w:pPr>
              <w:spacing w:after="0"/>
            </w:pPr>
            <w:r>
              <w:rPr>
                <w:b/>
                <w:i w:val="0"/>
                <w:color w:val="FFFFFF"/>
                <w:sz w:val="20"/>
              </w:rPr>
              <w:t>Problem 3-6 statement</w:t>
            </w:r>
          </w:p>
        </w:tc>
        <w:tc>
          <w:tcPr>
            <w:tcW w:type="dxa" w:w="5346"/>
            <w:shd w:val="clear" w:color="auto" w:fill="1F3A5F"/>
            <w:tcMar>
              <w:top w:w="40" w:type="dxa"/>
              <w:bottom w:w="40" w:type="dxa"/>
              <w:left w:w="80" w:type="dxa"/>
              <w:right w:w="80" w:type="dxa"/>
            </w:tcMar>
          </w:tcPr>
          <w:p>
            <w:pPr>
              <w:spacing w:after="0"/>
            </w:pPr>
            <w:r>
              <w:rPr>
                <w:b/>
                <w:i w:val="0"/>
                <w:color w:val="FFFFFF"/>
                <w:sz w:val="20"/>
              </w:rPr>
              <w:t>Result</w:t>
            </w:r>
          </w:p>
        </w:tc>
      </w:tr>
      <w:tr>
        <w:trPr>
          <w:cantSplit w:val="true"/>
        </w:trPr>
        <w:tc>
          <w:tcPr>
            <w:tcW w:type="dxa" w:w="5166"/>
            <w:tcMar>
              <w:top w:w="30" w:type="dxa"/>
              <w:bottom w:w="30" w:type="dxa"/>
              <w:left w:w="80" w:type="dxa"/>
              <w:right w:w="80" w:type="dxa"/>
            </w:tcMar>
          </w:tcPr>
          <w:p>
            <w:pPr>
              <w:spacing w:after="0" w:line="240" w:lineRule="auto"/>
            </w:pPr>
            <w:r>
              <w:rPr>
                <w:b w:val="0"/>
                <w:i w:val="0"/>
                <w:sz w:val="20"/>
              </w:rPr>
              <w:t>"Looks good on you" · "a beautiful painting by a talented artist"</w:t>
            </w:r>
          </w:p>
        </w:tc>
        <w:tc>
          <w:tcPr>
            <w:tcW w:type="dxa" w:w="5346"/>
            <w:tcMar>
              <w:top w:w="30" w:type="dxa"/>
              <w:bottom w:w="30" w:type="dxa"/>
              <w:left w:w="80" w:type="dxa"/>
              <w:right w:w="80" w:type="dxa"/>
            </w:tcMar>
          </w:tcPr>
          <w:p>
            <w:pPr>
              <w:spacing w:after="0" w:line="240" w:lineRule="auto"/>
            </w:pPr>
            <w:r>
              <w:rPr>
                <w:b/>
                <w:i w:val="0"/>
                <w:sz w:val="20"/>
              </w:rPr>
              <w:t>Puffing</w:t>
            </w:r>
          </w:p>
        </w:tc>
      </w:tr>
      <w:tr>
        <w:trPr>
          <w:cantSplit w:val="true"/>
        </w:trPr>
        <w:tc>
          <w:tcPr>
            <w:tcW w:type="dxa" w:w="5166"/>
            <w:tcMar>
              <w:top w:w="30" w:type="dxa"/>
              <w:bottom w:w="30" w:type="dxa"/>
              <w:left w:w="80" w:type="dxa"/>
              <w:right w:w="80" w:type="dxa"/>
            </w:tcMar>
            <w:shd w:val="clear" w:color="auto" w:fill="F2F6FB"/>
          </w:tcPr>
          <w:p>
            <w:pPr>
              <w:spacing w:after="0" w:line="240" w:lineRule="auto"/>
            </w:pPr>
            <w:r>
              <w:rPr>
                <w:b w:val="0"/>
                <w:i w:val="0"/>
                <w:sz w:val="20"/>
              </w:rPr>
              <w:t>"Queen Anne" desk · "Ming" vase · "antique" table</w:t>
            </w:r>
          </w:p>
        </w:tc>
        <w:tc>
          <w:tcPr>
            <w:tcW w:type="dxa" w:w="5346"/>
            <w:tcMar>
              <w:top w:w="30" w:type="dxa"/>
              <w:bottom w:w="30" w:type="dxa"/>
              <w:left w:w="80" w:type="dxa"/>
              <w:right w:w="80" w:type="dxa"/>
            </w:tcMar>
            <w:shd w:val="clear" w:color="auto" w:fill="F2F6FB"/>
          </w:tcPr>
          <w:p>
            <w:pPr>
              <w:spacing w:after="0" w:line="240" w:lineRule="auto"/>
            </w:pPr>
            <w:r>
              <w:rPr>
                <w:b/>
                <w:i w:val="0"/>
                <w:sz w:val="20"/>
              </w:rPr>
              <w:t>Warranty</w:t>
            </w:r>
            <w:r>
              <w:rPr>
                <w:b w:val="0"/>
                <w:i w:val="0"/>
                <w:sz w:val="20"/>
              </w:rPr>
              <w:t xml:space="preserve"> (descriptions) — question whether "Queen Anne" means period or style</w:t>
            </w:r>
          </w:p>
        </w:tc>
      </w:tr>
      <w:tr>
        <w:trPr>
          <w:cantSplit w:val="true"/>
        </w:trPr>
        <w:tc>
          <w:tcPr>
            <w:tcW w:type="dxa" w:w="5166"/>
            <w:tcMar>
              <w:top w:w="30" w:type="dxa"/>
              <w:bottom w:w="30" w:type="dxa"/>
              <w:left w:w="80" w:type="dxa"/>
              <w:right w:w="80" w:type="dxa"/>
            </w:tcMar>
          </w:tcPr>
          <w:p>
            <w:pPr>
              <w:spacing w:after="0" w:line="240" w:lineRule="auto"/>
            </w:pPr>
            <w:r>
              <w:rPr>
                <w:b w:val="0"/>
                <w:i w:val="0"/>
                <w:sz w:val="20"/>
              </w:rPr>
              <w:t>Consumer seller: used washer "works great"</w:t>
            </w:r>
          </w:p>
        </w:tc>
        <w:tc>
          <w:tcPr>
            <w:tcW w:type="dxa" w:w="5346"/>
            <w:tcMar>
              <w:top w:w="30" w:type="dxa"/>
              <w:bottom w:w="30" w:type="dxa"/>
              <w:left w:w="80" w:type="dxa"/>
              <w:right w:w="80" w:type="dxa"/>
            </w:tcMar>
          </w:tcPr>
          <w:p>
            <w:pPr>
              <w:spacing w:after="0" w:line="240" w:lineRule="auto"/>
            </w:pPr>
            <w:r>
              <w:rPr>
                <w:b/>
                <w:i w:val="0"/>
                <w:sz w:val="20"/>
              </w:rPr>
              <w:t>Close call</w:t>
            </w:r>
            <w:r>
              <w:rPr>
                <w:b w:val="0"/>
                <w:i w:val="0"/>
                <w:sz w:val="20"/>
              </w:rPr>
              <w:t xml:space="preserve"> (Petti) — present condition (fact) vs. casual opinion</w:t>
            </w:r>
          </w:p>
        </w:tc>
      </w:tr>
      <w:tr>
        <w:trPr>
          <w:cantSplit w:val="true"/>
        </w:trPr>
        <w:tc>
          <w:tcPr>
            <w:tcW w:type="dxa" w:w="5166"/>
            <w:tcMar>
              <w:top w:w="30" w:type="dxa"/>
              <w:bottom w:w="30" w:type="dxa"/>
              <w:left w:w="80" w:type="dxa"/>
              <w:right w:w="80" w:type="dxa"/>
            </w:tcMar>
            <w:shd w:val="clear" w:color="auto" w:fill="F2F6FB"/>
          </w:tcPr>
          <w:p>
            <w:pPr>
              <w:spacing w:after="0" w:line="240" w:lineRule="auto"/>
            </w:pPr>
            <w:r>
              <w:rPr>
                <w:b w:val="0"/>
                <w:i w:val="0"/>
                <w:sz w:val="20"/>
              </w:rPr>
              <w:t>"The ball David Ortiz hit for a grand slam, Game 2, 2013 World Series"</w:t>
            </w:r>
          </w:p>
        </w:tc>
        <w:tc>
          <w:tcPr>
            <w:tcW w:type="dxa" w:w="5346"/>
            <w:tcMar>
              <w:top w:w="30" w:type="dxa"/>
              <w:bottom w:w="30" w:type="dxa"/>
              <w:left w:w="80" w:type="dxa"/>
              <w:right w:w="80" w:type="dxa"/>
            </w:tcMar>
            <w:shd w:val="clear" w:color="auto" w:fill="F2F6FB"/>
          </w:tcPr>
          <w:p>
            <w:pPr>
              <w:spacing w:after="0" w:line="240" w:lineRule="auto"/>
            </w:pPr>
            <w:r>
              <w:rPr>
                <w:b/>
                <w:i w:val="0"/>
                <w:sz w:val="20"/>
              </w:rPr>
              <w:t>Warranty</w:t>
            </w:r>
            <w:r>
              <w:rPr>
                <w:b w:val="0"/>
                <w:i w:val="0"/>
                <w:sz w:val="20"/>
              </w:rPr>
              <w:t xml:space="preserve"> — specific, verifiable</w:t>
            </w:r>
          </w:p>
        </w:tc>
      </w:tr>
      <w:tr>
        <w:trPr>
          <w:cantSplit w:val="true"/>
        </w:trPr>
        <w:tc>
          <w:tcPr>
            <w:tcW w:type="dxa" w:w="5166"/>
            <w:tcMar>
              <w:top w:w="30" w:type="dxa"/>
              <w:bottom w:w="30" w:type="dxa"/>
              <w:left w:w="80" w:type="dxa"/>
              <w:right w:w="80" w:type="dxa"/>
            </w:tcMar>
          </w:tcPr>
          <w:p>
            <w:pPr>
              <w:spacing w:after="0" w:line="240" w:lineRule="auto"/>
            </w:pPr>
            <w:r>
              <w:rPr>
                <w:b w:val="0"/>
                <w:i w:val="0"/>
                <w:sz w:val="20"/>
              </w:rPr>
              <w:t>"Replacement parts are readily available"</w:t>
            </w:r>
          </w:p>
        </w:tc>
        <w:tc>
          <w:tcPr>
            <w:tcW w:type="dxa" w:w="5346"/>
            <w:tcMar>
              <w:top w:w="30" w:type="dxa"/>
              <w:bottom w:w="30" w:type="dxa"/>
              <w:left w:w="80" w:type="dxa"/>
              <w:right w:w="80" w:type="dxa"/>
            </w:tcMar>
          </w:tcPr>
          <w:p>
            <w:pPr>
              <w:spacing w:after="0" w:line="240" w:lineRule="auto"/>
            </w:pPr>
            <w:r>
              <w:rPr>
                <w:b/>
                <w:i w:val="0"/>
                <w:sz w:val="20"/>
              </w:rPr>
              <w:t>Likely warranty</w:t>
            </w:r>
            <w:r>
              <w:rPr>
                <w:b w:val="0"/>
                <w:i w:val="0"/>
                <w:sz w:val="20"/>
              </w:rPr>
              <w:t xml:space="preserve"> — specific, measurable</w:t>
            </w:r>
          </w:p>
        </w:tc>
      </w:tr>
      <w:tr>
        <w:trPr>
          <w:cantSplit w:val="true"/>
        </w:trPr>
        <w:tc>
          <w:tcPr>
            <w:tcW w:type="dxa" w:w="5166"/>
            <w:tcMar>
              <w:top w:w="30" w:type="dxa"/>
              <w:bottom w:w="30" w:type="dxa"/>
              <w:left w:w="80" w:type="dxa"/>
              <w:right w:w="80" w:type="dxa"/>
            </w:tcMar>
            <w:shd w:val="clear" w:color="auto" w:fill="F2F6FB"/>
          </w:tcPr>
          <w:p>
            <w:pPr>
              <w:spacing w:after="0" w:line="240" w:lineRule="auto"/>
            </w:pPr>
            <w:r>
              <w:rPr>
                <w:b w:val="0"/>
                <w:i w:val="0"/>
                <w:sz w:val="20"/>
              </w:rPr>
              <w:t>"The safest car in its class"</w:t>
            </w:r>
          </w:p>
        </w:tc>
        <w:tc>
          <w:tcPr>
            <w:tcW w:type="dxa" w:w="5346"/>
            <w:tcMar>
              <w:top w:w="30" w:type="dxa"/>
              <w:bottom w:w="30" w:type="dxa"/>
              <w:left w:w="80" w:type="dxa"/>
              <w:right w:w="80" w:type="dxa"/>
            </w:tcMar>
            <w:shd w:val="clear" w:color="auto" w:fill="F2F6FB"/>
          </w:tcPr>
          <w:p>
            <w:pPr>
              <w:spacing w:after="0" w:line="240" w:lineRule="auto"/>
            </w:pPr>
            <w:r>
              <w:rPr>
                <w:b/>
                <w:i w:val="0"/>
                <w:sz w:val="20"/>
              </w:rPr>
              <w:t>Split</w:t>
            </w:r>
            <w:r>
              <w:rPr>
                <w:b w:val="0"/>
                <w:i w:val="0"/>
                <w:sz w:val="20"/>
              </w:rPr>
              <w:t xml:space="preserve"> — superlative puffery vs. measurable by crash ratings</w:t>
            </w:r>
          </w:p>
        </w:tc>
      </w:tr>
      <w:tr>
        <w:trPr>
          <w:cantSplit w:val="true"/>
        </w:trPr>
        <w:tc>
          <w:tcPr>
            <w:tcW w:type="dxa" w:w="5166"/>
            <w:tcMar>
              <w:top w:w="30" w:type="dxa"/>
              <w:bottom w:w="30" w:type="dxa"/>
              <w:left w:w="80" w:type="dxa"/>
              <w:right w:w="80" w:type="dxa"/>
            </w:tcMar>
          </w:tcPr>
          <w:p>
            <w:pPr>
              <w:spacing w:after="0" w:line="240" w:lineRule="auto"/>
            </w:pPr>
            <w:r>
              <w:rPr>
                <w:b w:val="0"/>
                <w:i w:val="0"/>
                <w:sz w:val="20"/>
              </w:rPr>
              <w:t>Used yacht is "seaworthy"</w:t>
            </w:r>
          </w:p>
        </w:tc>
        <w:tc>
          <w:tcPr>
            <w:tcW w:type="dxa" w:w="5346"/>
            <w:tcMar>
              <w:top w:w="30" w:type="dxa"/>
              <w:bottom w:w="30" w:type="dxa"/>
              <w:left w:w="80" w:type="dxa"/>
              <w:right w:w="80" w:type="dxa"/>
            </w:tcMar>
          </w:tcPr>
          <w:p>
            <w:pPr>
              <w:spacing w:after="0" w:line="240" w:lineRule="auto"/>
            </w:pPr>
            <w:r>
              <w:rPr>
                <w:b w:val="0"/>
                <w:i w:val="0"/>
                <w:sz w:val="20"/>
              </w:rPr>
              <w:t xml:space="preserve">Split — the problem cites </w:t>
            </w:r>
            <w:r>
              <w:rPr>
                <w:b/>
                <w:i w:val="0"/>
                <w:sz w:val="20"/>
              </w:rPr>
              <w:t xml:space="preserve">Keith v. Buchanan</w:t>
            </w:r>
            <w:r>
              <w:rPr>
                <w:b w:val="0"/>
                <w:i w:val="0"/>
                <w:sz w:val="20"/>
              </w:rPr>
              <w:t xml:space="preserve"> (warranty) vs. </w:t>
            </w:r>
            <w:r>
              <w:rPr>
                <w:b/>
                <w:i w:val="0"/>
                <w:sz w:val="20"/>
              </w:rPr>
              <w:t xml:space="preserve">Sessa v. Riegle</w:t>
            </w:r>
            <w:r>
              <w:rPr>
                <w:b w:val="0"/>
                <w:i w:val="0"/>
                <w:sz w:val="20"/>
              </w:rPr>
              <w:t xml:space="preserve"> (cited only). </w:t>
            </w:r>
            <w:r>
              <w:rPr>
                <w:b w:val="0"/>
                <w:i/>
                <w:color w:val="64748B"/>
                <w:sz w:val="20"/>
              </w:rPr>
              <w:t xml:space="preserve">Outside class materials: in Keith, a sales brochure called a 41-foot sailboat "seaworthy"; it wasn't → express warranty, no proof of reliance needed. Sessa involved a statement about a racehorse's soundness.</w:t>
            </w:r>
          </w:p>
        </w:tc>
      </w:tr>
    </w:tbl>
    <w:p>
      <w:pPr>
        <w:spacing w:after="0" w:line="120" w:lineRule="exact"/>
      </w:pPr>
    </w:p>
    <w:p>
      <w:pPr>
        <w:keepNext/>
        <w:spacing w:before="120" w:after="40"/>
        <w:pBdr>
          <w:bottom w:val="single" w:sz="6" w:space="1" w:color="8EAADB"/>
        </w:pBdr>
      </w:pPr>
      <w:r>
        <w:rPr>
          <w:b/>
          <w:i w:val="0"/>
          <w:color w:val="1F3A5F"/>
          <w:sz w:val="25"/>
        </w:rPr>
        <w:t>Basis of the bargain</w:t>
      </w:r>
    </w:p>
    <w:p>
      <w:pPr>
        <w:pStyle w:val="ListBullet"/>
      </w:pPr>
      <w:r>
        <w:rPr>
          <w:b/>
          <w:i w:val="0"/>
        </w:rPr>
        <w:t>Cmt. 3:</w:t>
      </w:r>
      <w:r>
        <w:rPr>
          <w:b w:val="0"/>
          <w:i w:val="0"/>
        </w:rPr>
        <w:t xml:space="preserve"> </w:t>
      </w:r>
      <w:r>
        <w:rPr>
          <w:b/>
          <w:i w:val="0"/>
        </w:rPr>
        <w:t>no particular reliance</w:t>
      </w:r>
      <w:r>
        <w:rPr>
          <w:b w:val="0"/>
          <w:i w:val="0"/>
        </w:rPr>
        <w:t xml:space="preserve"> need be shown; affirmations are part of the description unless </w:t>
      </w:r>
      <w:r>
        <w:rPr>
          <w:b/>
          <w:i w:val="0"/>
        </w:rPr>
        <w:t>clear affirmative proof</w:t>
      </w:r>
      <w:r>
        <w:rPr>
          <w:b w:val="0"/>
          <w:i w:val="0"/>
        </w:rPr>
        <w:t xml:space="preserve"> takes them out. </w:t>
      </w:r>
      <w:r>
        <w:rPr>
          <w:b/>
          <w:i w:val="0"/>
        </w:rPr>
        <w:t>Courts split:</w:t>
      </w:r>
      <w:r>
        <w:rPr>
          <w:b w:val="0"/>
          <w:i w:val="0"/>
        </w:rPr>
        <w:t xml:space="preserve"> reliance required · no reliance · rebuttable presumption. Written-contract warranties need no proof of reliance. Owner's manuals/package inserts can count even if read after the sale.</w:t>
      </w:r>
    </w:p>
    <w:p>
      <w:pPr>
        <w:pStyle w:val="ListBullet"/>
      </w:pPr>
      <w:r>
        <w:rPr>
          <w:b/>
          <w:i w:val="0"/>
        </w:rPr>
        <w:t>Factors:</w:t>
      </w:r>
      <w:r>
        <w:rPr>
          <w:b w:val="0"/>
          <w:i w:val="0"/>
        </w:rPr>
        <w:t xml:space="preserve"> statement plain and unambiguous · of objective importance to buyer · not easily checked by buyer · seller more expert · buyer relied in part · nothing suggested seller wasn't serious · nothing put buyer "on guard" · remedy fair to seller · </w:t>
      </w:r>
      <w:r>
        <w:rPr>
          <w:b/>
          <w:i w:val="0"/>
        </w:rPr>
        <w:t>price</w:t>
      </w:r>
      <w:r>
        <w:rPr>
          <w:b w:val="0"/>
          <w:i w:val="0"/>
        </w:rPr>
        <w:t xml:space="preserve"> supports the claim.</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CF6EE"/>
            <w:tcMar>
              <w:top w:w="70" w:type="dxa"/>
              <w:bottom w:w="70" w:type="dxa"/>
              <w:left w:w="140" w:type="dxa"/>
              <w:right w:w="120" w:type="dxa"/>
            </w:tcMar>
            <w:tcBorders>
              <w:left w:val="single" w:sz="30" w:space="0" w:color="2E7D32"/>
            </w:tcBorders>
          </w:tcPr>
          <w:p>
            <w:pPr>
              <w:spacing w:after="30" w:line="240" w:lineRule="auto"/>
            </w:pPr>
            <w:r>
              <w:rPr>
                <w:b/>
                <w:color w:val="2E7D32"/>
                <w:sz w:val="15"/>
              </w:rPr>
              <w:t xml:space="preserve">MAIN CASE ★   </w:t>
            </w:r>
            <w:r>
              <w:rPr>
                <w:b/>
                <w:i w:val="0"/>
                <w:sz w:val="21"/>
              </w:rPr>
              <w:t xml:space="preserve">Rogath v. Siebenmann (2d Cir. 1997) — basis of the bargain</w:t>
            </w:r>
          </w:p>
          <w:p>
            <w:pPr>
              <w:spacing w:after="30" w:line="240" w:lineRule="auto"/>
            </w:pPr>
            <w:r>
              <w:rPr>
                <w:b/>
                <w:i w:val="0"/>
                <w:color w:val="595959"/>
                <w:sz w:val="18"/>
              </w:rPr>
              <w:t xml:space="preserve">Source:</w:t>
            </w:r>
            <w:r>
              <w:rPr>
                <w:b w:val="0"/>
                <w:i w:val="0"/>
                <w:color w:val="595959"/>
                <w:sz w:val="18"/>
              </w:rPr>
              <w:t xml:space="preserve"> principal case, casebook pp. 121–126. Slide W2-S32.</w:t>
            </w:r>
          </w:p>
          <w:p>
            <w:pPr>
              <w:spacing w:after="30" w:line="240" w:lineRule="auto"/>
            </w:pPr>
            <w:r>
              <w:rPr>
                <w:b/>
                <w:i w:val="0"/>
                <w:sz w:val="21"/>
              </w:rPr>
              <w:t xml:space="preserve">Facts:</w:t>
            </w:r>
            <w:r>
              <w:rPr>
                <w:b w:val="0"/>
                <w:i w:val="0"/>
                <w:sz w:val="21"/>
              </w:rPr>
              <w:t xml:space="preserve"> Siebenmann sold Rogath a "Self Portrait" attributed to </w:t>
            </w:r>
            <w:r>
              <w:rPr>
                <w:b/>
                <w:i w:val="0"/>
                <w:sz w:val="21"/>
              </w:rPr>
              <w:t xml:space="preserve">Francis Bacon for $570,000</w:t>
            </w:r>
            <w:r>
              <w:rPr>
                <w:b w:val="0"/>
                <w:i w:val="0"/>
                <w:sz w:val="21"/>
              </w:rPr>
              <w:t xml:space="preserve">. The bill of sale warranted that he was the sole owner, that the painting was authentic, and that he </w:t>
            </w:r>
            <w:r>
              <w:rPr>
                <w:b/>
                <w:i w:val="0"/>
                <w:sz w:val="21"/>
              </w:rPr>
              <w:t xml:space="preserve">knew of no challenge to its authenticity</w:t>
            </w:r>
            <w:r>
              <w:rPr>
                <w:b w:val="0"/>
                <w:i w:val="0"/>
                <w:sz w:val="21"/>
              </w:rPr>
              <w:t xml:space="preserve">. In fact, the Marlborough Fine Art gallery in London had already told him it doubted the work. Rogath resold the painting for $950,000; that buyer learned of the doubts and demanded a refund, which Rogath paid. Rogath then sued. Siebenmann claimed he had told Rogath about the Marlborough "controversy" before the sale, and Rogath had also heard doubts from a Tate Gallery curator.</w:t>
            </w:r>
          </w:p>
          <w:p>
            <w:pPr>
              <w:spacing w:after="30" w:line="240" w:lineRule="auto"/>
            </w:pPr>
            <w:r>
              <w:rPr>
                <w:b/>
                <w:i w:val="0"/>
                <w:sz w:val="21"/>
              </w:rPr>
              <w:t xml:space="preserve">Held:</w:t>
            </w:r>
            <w:r>
              <w:rPr>
                <w:b w:val="0"/>
                <w:i w:val="0"/>
                <w:sz w:val="21"/>
              </w:rPr>
              <w:t xml:space="preserve"> The trial court's summary judgment for Rogath was vacated and the case remanded. The question isn't whether the buyer </w:t>
            </w:r>
            <w:r>
              <w:rPr>
                <w:b w:val="0"/>
                <w:i/>
                <w:sz w:val="21"/>
              </w:rPr>
              <w:t xml:space="preserve">believed</w:t>
            </w:r>
            <w:r>
              <w:rPr>
                <w:b w:val="0"/>
                <w:i w:val="0"/>
                <w:sz w:val="21"/>
              </w:rPr>
              <w:t xml:space="preserve"> the warranted facts, but whether he </w:t>
            </w:r>
            <w:r>
              <w:rPr>
                <w:b/>
                <w:i w:val="0"/>
                <w:sz w:val="21"/>
              </w:rPr>
              <w:t xml:space="preserve">bought the seller's promise</w:t>
            </w:r>
            <w:r>
              <w:rPr>
                <w:b w:val="0"/>
                <w:i w:val="0"/>
                <w:sz w:val="21"/>
              </w:rPr>
              <w:t xml:space="preserve">. A buyer who closes knowing facts </w:t>
            </w:r>
            <w:r>
              <w:rPr>
                <w:b/>
                <w:i w:val="0"/>
                <w:sz w:val="21"/>
              </w:rPr>
              <w:t xml:space="preserve">the seller disclosed</w:t>
            </w:r>
            <w:r>
              <w:rPr>
                <w:b w:val="0"/>
                <w:i w:val="0"/>
                <w:sz w:val="21"/>
              </w:rPr>
              <w:t xml:space="preserve"> that make the warranty false </w:t>
            </w:r>
            <w:r>
              <w:rPr>
                <w:b/>
                <w:i w:val="0"/>
                <w:sz w:val="21"/>
              </w:rPr>
              <w:t xml:space="preserve">waives</w:t>
            </w:r>
            <w:r>
              <w:rPr>
                <w:b w:val="0"/>
                <w:i w:val="0"/>
                <w:sz w:val="21"/>
              </w:rPr>
              <w:t xml:space="preserve"> the breach unless he expressly preserves his rights. Knowledge from a </w:t>
            </w:r>
            <w:r>
              <w:rPr>
                <w:b/>
                <w:i w:val="0"/>
                <w:sz w:val="21"/>
              </w:rPr>
              <w:t xml:space="preserve">third party</w:t>
            </w:r>
            <w:r>
              <w:rPr>
                <w:b w:val="0"/>
                <w:i w:val="0"/>
                <w:sz w:val="21"/>
              </w:rPr>
              <w:t xml:space="preserve"> or common knowledge doesn't bar recovery, because the buyer may have bought the warranty as insurance. So the key fact was whether </w:t>
            </w:r>
            <w:r>
              <w:rPr>
                <w:b/>
                <w:i w:val="0"/>
                <w:sz w:val="21"/>
              </w:rPr>
              <w:t xml:space="preserve">Siebenmann himself</w:t>
            </w:r>
            <w:r>
              <w:rPr>
                <w:b w:val="0"/>
                <w:i w:val="0"/>
                <w:sz w:val="21"/>
              </w:rPr>
              <w:t xml:space="preserve"> told Rogath; that was disputed, so trial was needed.</w:t>
            </w:r>
          </w:p>
          <w:p>
            <w:pPr>
              <w:spacing w:after="0" w:line="240" w:lineRule="auto"/>
            </w:pPr>
            <w:r>
              <w:rPr>
                <w:b/>
                <w:i w:val="0"/>
                <w:sz w:val="21"/>
              </w:rPr>
              <w:t xml:space="preserve">Why it matters:</w:t>
            </w:r>
            <w:r>
              <w:rPr>
                <w:b w:val="0"/>
                <w:i w:val="0"/>
                <w:sz w:val="21"/>
              </w:rPr>
              <w:t xml:space="preserve"> illustrates that "basis of the bargain" (§ 2-313 cmt. 3) isn't a strict reliance test. An express warranty allocates risk, and the </w:t>
            </w:r>
            <w:r>
              <w:rPr>
                <w:b/>
                <w:i w:val="0"/>
                <w:sz w:val="21"/>
              </w:rPr>
              <w:t xml:space="preserve">source</w:t>
            </w:r>
            <w:r>
              <w:rPr>
                <w:b w:val="0"/>
                <w:i w:val="0"/>
                <w:sz w:val="21"/>
              </w:rPr>
              <w:t xml:space="preserve"> of the buyer's knowledge decides the case.</w:t>
            </w:r>
          </w:p>
        </w:tc>
      </w:tr>
    </w:tbl>
    <w:p>
      <w:pPr>
        <w:spacing w:after="0" w:line="100" w:lineRule="exact"/>
      </w:pPr>
    </w:p>
    <w:p>
      <w:pPr>
        <w:pStyle w:val="ListBullet"/>
      </w:pPr>
      <w:r>
        <w:rPr>
          <w:b/>
          <w:i w:val="0"/>
        </w:rPr>
        <w:t xml:space="preserve">Problem 3-7 (HVAC: heating, ventilation, and air conditioning):</w:t>
      </w:r>
      <w:r>
        <w:rPr>
          <w:b w:val="0"/>
          <w:i w:val="0"/>
        </w:rPr>
        <w:t xml:space="preserve"> rep's "</w:t>
      </w:r>
      <w:r>
        <w:rPr>
          <w:b/>
          <w:i w:val="0"/>
        </w:rPr>
        <w:t xml:space="preserve">300,000 BTU [British thermal units]/hr</w:t>
      </w:r>
      <w:r>
        <w:rPr>
          <w:b w:val="0"/>
          <w:i w:val="0"/>
        </w:rPr>
        <w:t>" → warranty · "</w:t>
      </w:r>
      <w:r>
        <w:rPr>
          <w:b/>
          <w:i w:val="0"/>
        </w:rPr>
        <w:t>you'll be very happy</w:t>
      </w:r>
      <w:r>
        <w:rPr>
          <w:b w:val="0"/>
          <w:i w:val="0"/>
        </w:rPr>
        <w:t>" → puffing · brochure "</w:t>
      </w:r>
      <w:r>
        <w:rPr>
          <w:b/>
          <w:i w:val="0"/>
        </w:rPr>
        <w:t>under 100 decibels</w:t>
      </w:r>
      <w:r>
        <w:rPr>
          <w:b w:val="0"/>
          <w:i w:val="0"/>
        </w:rPr>
        <w:t>" → warranty (buyer skimmed it) · owner's manual "</w:t>
      </w:r>
      <w:r>
        <w:rPr>
          <w:b/>
          <w:i w:val="0"/>
        </w:rPr>
        <w:t>free of defects for one year</w:t>
      </w:r>
      <w:r>
        <w:rPr>
          <w:b w:val="0"/>
          <w:i w:val="0"/>
        </w:rPr>
        <w:t>" → likely warranty (post-sale term; future-performance promise).</w:t>
      </w:r>
    </w:p>
    <w:p>
      <w:pPr>
        <w:pStyle w:val="ListBullet"/>
      </w:pPr>
      <w:r>
        <w:rPr>
          <w:b/>
          <w:i w:val="0"/>
        </w:rPr>
        <w:t>Tobacco ads slide:</w:t>
      </w:r>
      <w:r>
        <w:rPr>
          <w:b w:val="0"/>
          <w:i w:val="0"/>
        </w:rPr>
        <w:t xml:space="preserve"> specific health claims ("immediate relief in cases of asthma"; "20,679 physicians say Luckies are less irritating") look like </w:t>
      </w:r>
      <w:r>
        <w:rPr>
          <w:b/>
          <w:i w:val="0"/>
        </w:rPr>
        <w:t>facts</w:t>
      </w:r>
      <w:r>
        <w:rPr>
          <w:b w:val="0"/>
          <w:i w:val="0"/>
        </w:rPr>
        <w:t>; "It's toasted" is puffery.</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VI. Gap Fillers &amp; Implied Warranties</w:t>
            </w:r>
            <w:r>
              <w:rPr>
                <w:b/>
                <w:color w:val="C9D9EE"/>
                <w:sz w:val="16"/>
              </w:rPr>
              <w:t xml:space="preserve">    WEEKS 2–3</w:t>
            </w:r>
          </w:p>
        </w:tc>
      </w:tr>
    </w:tbl>
    <w:p>
      <w:pPr>
        <w:keepNext/>
        <w:spacing w:after="0" w:line="80" w:lineRule="exact"/>
      </w:pPr>
    </w:p>
    <w:p>
      <w:pPr>
        <w:keepNext/>
        <w:spacing w:before="120" w:after="40"/>
        <w:pBdr>
          <w:bottom w:val="single" w:sz="6" w:space="1" w:color="8EAADB"/>
        </w:pBdr>
      </w:pPr>
      <w:r>
        <w:rPr>
          <w:b/>
          <w:i w:val="0"/>
          <w:color w:val="1F3A5F"/>
          <w:sz w:val="25"/>
        </w:rPr>
        <w:t>How gap fillers work</w:t>
      </w:r>
    </w:p>
    <w:p>
      <w:pPr>
        <w:pStyle w:val="ListBullet"/>
      </w:pPr>
      <w:r>
        <w:rPr>
          <w:b w:val="0"/>
          <w:i w:val="0"/>
        </w:rPr>
        <w:t xml:space="preserve">Open terms don't defeat a contract if the parties </w:t>
      </w:r>
      <w:r>
        <w:rPr>
          <w:b/>
          <w:i w:val="0"/>
        </w:rPr>
        <w:t>intended to contract</w:t>
      </w:r>
      <w:r>
        <w:rPr>
          <w:b w:val="0"/>
          <w:i w:val="0"/>
        </w:rPr>
        <w:t xml:space="preserve"> and there's a </w:t>
      </w:r>
      <w:r>
        <w:rPr>
          <w:b/>
          <w:i w:val="0"/>
        </w:rPr>
        <w:t>reasonably certain basis for a remedy</w:t>
      </w:r>
      <w:r>
        <w:rPr>
          <w:b w:val="0"/>
          <w:i w:val="0"/>
        </w:rPr>
        <w:t xml:space="preserve"> (§ 2-204(3)). </w:t>
      </w:r>
      <w:r>
        <w:rPr>
          <w:b/>
          <w:i w:val="0"/>
        </w:rPr>
        <w:t>Usage of trade and course of dealing fill some gaps; UCC gap fillers fill the rest.</w:t>
      </w:r>
      <w:r>
        <w:rPr>
          <w:b w:val="0"/>
          <w:i w:val="0"/>
        </w:rPr>
        <w:t xml:space="preserve"> No gap = no gap filler.</w:t>
      </w:r>
    </w:p>
    <w:p>
      <w:pPr>
        <w:pStyle w:val="ListBullet"/>
      </w:pPr>
      <w:r>
        <w:rPr>
          <w:b/>
          <w:i w:val="0"/>
        </w:rPr>
        <w:t>Key gap fillers:</w:t>
      </w:r>
      <w:r>
        <w:rPr>
          <w:b w:val="0"/>
          <w:i w:val="0"/>
        </w:rPr>
        <w:t xml:space="preserve"> warranties (§§ 2-312 title · 2-313 express* · 2-314 merchantability · 2-315 fitness) · price (§ 2-305) · output/requirements (§ 2-306) · price payable in money or otherwise (§ 2-304) · single lot (§ 2-307) · place (§ 2-308) · time (§ 2-309) · payment time (§ 2-310) · cooperation (§ 2-311) · tender/payment conditions (§§ 2-507, 2-511) · payment before inspection (§ 2-512). *Express warranties aren't gap fillers; § 2-313's creation rules are.</w:t>
      </w:r>
    </w:p>
    <w:p>
      <w:pPr>
        <w:pStyle w:val="ListBullet"/>
      </w:pPr>
      <w:r>
        <w:rPr>
          <w:b/>
          <w:i w:val="0"/>
        </w:rPr>
        <w:t>Problem 3-8:</w:t>
      </w:r>
      <w:r>
        <w:rPr>
          <w:b w:val="0"/>
          <w:i w:val="0"/>
        </w:rPr>
        <w:t xml:space="preserve"> </w:t>
      </w:r>
      <w:r>
        <w:rPr>
          <w:b/>
          <w:i w:val="0"/>
        </w:rPr>
        <w:t>(A)</w:t>
      </w:r>
      <w:r>
        <w:rPr>
          <w:b w:val="0"/>
          <w:i w:val="0"/>
        </w:rPr>
        <w:t xml:space="preserve"> signed deal for a skid loader, silent on delivery → </w:t>
      </w:r>
      <w:r>
        <w:rPr>
          <w:b/>
          <w:i w:val="0"/>
        </w:rPr>
        <w:t>enforceable</w:t>
      </w:r>
      <w:r>
        <w:rPr>
          <w:b w:val="0"/>
          <w:i w:val="0"/>
        </w:rPr>
        <w:t xml:space="preserve">; § 2-308 → delivery at </w:t>
      </w:r>
      <w:r>
        <w:rPr>
          <w:b/>
          <w:i w:val="0"/>
        </w:rPr>
        <w:t>seller's place of business</w:t>
      </w:r>
      <w:r>
        <w:rPr>
          <w:b w:val="0"/>
          <w:i w:val="0"/>
        </w:rPr>
        <w:t xml:space="preserve"> → </w:t>
      </w:r>
      <w:r>
        <w:rPr>
          <w:b/>
          <w:i w:val="0"/>
        </w:rPr>
        <w:t>buyer breached</w:t>
      </w:r>
      <w:r>
        <w:rPr>
          <w:b w:val="0"/>
          <w:i w:val="0"/>
        </w:rPr>
        <w:t xml:space="preserve"> by refusing to pick up. </w:t>
      </w:r>
      <w:r>
        <w:rPr>
          <w:b/>
          <w:i w:val="0"/>
        </w:rPr>
        <w:t>(B)</w:t>
      </w:r>
      <w:r>
        <w:rPr>
          <w:b w:val="0"/>
          <w:i w:val="0"/>
        </w:rPr>
        <w:t xml:space="preserve"> history of seller delivering → </w:t>
      </w:r>
      <w:r>
        <w:rPr>
          <w:b/>
          <w:i w:val="0"/>
        </w:rPr>
        <w:t>course of dealing</w:t>
      </w:r>
      <w:r>
        <w:rPr>
          <w:b w:val="0"/>
          <w:i w:val="0"/>
        </w:rPr>
        <w:t xml:space="preserve"> fills the term → </w:t>
      </w:r>
      <w:r>
        <w:rPr>
          <w:b/>
          <w:i w:val="0"/>
        </w:rPr>
        <w:t>seller breached</w:t>
      </w:r>
      <w:r>
        <w:rPr>
          <w:b w:val="0"/>
          <w:i w:val="0"/>
        </w:rPr>
        <w:t>.</w:t>
      </w:r>
    </w:p>
    <w:p>
      <w:pPr>
        <w:keepNext/>
        <w:spacing w:before="120" w:after="40"/>
        <w:pBdr>
          <w:bottom w:val="single" w:sz="6" w:space="1" w:color="8EAADB"/>
        </w:pBdr>
      </w:pPr>
      <w:r>
        <w:rPr>
          <w:b/>
          <w:i w:val="0"/>
          <w:color w:val="1F3A5F"/>
          <w:sz w:val="25"/>
        </w:rPr>
        <w:t>Implied warranties at a glance</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635"/>
        <w:gridCol w:w="2309"/>
        <w:gridCol w:w="2711"/>
        <w:gridCol w:w="2302"/>
        <w:gridCol w:w="2551"/>
      </w:tblGrid>
      <w:tr>
        <w:trPr>
          <w:tblHeader w:val="true"/>
        </w:trPr>
        <w:tc>
          <w:tcPr>
            <w:tcW w:type="dxa" w:w="636"/>
            <w:shd w:val="clear" w:color="auto" w:fill="1F3A5F"/>
            <w:tcMar>
              <w:top w:w="40" w:type="dxa"/>
              <w:bottom w:w="40" w:type="dxa"/>
              <w:left w:w="80" w:type="dxa"/>
              <w:right w:w="80" w:type="dxa"/>
            </w:tcMar>
          </w:tcPr>
          <w:p>
            <w:pPr>
              <w:spacing w:after="0"/>
            </w:pPr>
          </w:p>
        </w:tc>
        <w:tc>
          <w:tcPr>
            <w:tcW w:type="dxa" w:w="2310"/>
            <w:shd w:val="clear" w:color="auto" w:fill="1F3A5F"/>
            <w:tcMar>
              <w:top w:w="40" w:type="dxa"/>
              <w:bottom w:w="40" w:type="dxa"/>
              <w:left w:w="80" w:type="dxa"/>
              <w:right w:w="80" w:type="dxa"/>
            </w:tcMar>
          </w:tcPr>
          <w:p>
            <w:pPr>
              <w:spacing w:after="0"/>
            </w:pPr>
            <w:r>
              <w:rPr>
                <w:b/>
                <w:i w:val="0"/>
                <w:color w:val="FFFFFF"/>
                <w:sz w:val="20"/>
              </w:rPr>
              <w:t>Merchantability § 2-314</w:t>
            </w:r>
          </w:p>
        </w:tc>
        <w:tc>
          <w:tcPr>
            <w:tcW w:type="dxa" w:w="2712"/>
            <w:shd w:val="clear" w:color="auto" w:fill="1F3A5F"/>
            <w:tcMar>
              <w:top w:w="40" w:type="dxa"/>
              <w:bottom w:w="40" w:type="dxa"/>
              <w:left w:w="80" w:type="dxa"/>
              <w:right w:w="80" w:type="dxa"/>
            </w:tcMar>
          </w:tcPr>
          <w:p>
            <w:pPr>
              <w:spacing w:after="0"/>
            </w:pPr>
            <w:r>
              <w:rPr>
                <w:b/>
                <w:i w:val="0"/>
                <w:color w:val="FFFFFF"/>
                <w:sz w:val="20"/>
              </w:rPr>
              <w:t>Fitness § 2-315</w:t>
            </w:r>
          </w:p>
        </w:tc>
        <w:tc>
          <w:tcPr>
            <w:tcW w:type="dxa" w:w="2303"/>
            <w:shd w:val="clear" w:color="auto" w:fill="1F3A5F"/>
            <w:tcMar>
              <w:top w:w="40" w:type="dxa"/>
              <w:bottom w:w="40" w:type="dxa"/>
              <w:left w:w="80" w:type="dxa"/>
              <w:right w:w="80" w:type="dxa"/>
            </w:tcMar>
          </w:tcPr>
          <w:p>
            <w:pPr>
              <w:spacing w:after="0"/>
            </w:pPr>
            <w:r>
              <w:rPr>
                <w:b/>
                <w:i w:val="0"/>
                <w:color w:val="FFFFFF"/>
                <w:sz w:val="20"/>
              </w:rPr>
              <w:t>Title § 2-312(1)</w:t>
            </w:r>
          </w:p>
        </w:tc>
        <w:tc>
          <w:tcPr>
            <w:tcW w:type="dxa" w:w="2552"/>
            <w:shd w:val="clear" w:color="auto" w:fill="1F3A5F"/>
            <w:tcMar>
              <w:top w:w="40" w:type="dxa"/>
              <w:bottom w:w="40" w:type="dxa"/>
              <w:left w:w="80" w:type="dxa"/>
              <w:right w:w="80" w:type="dxa"/>
            </w:tcMar>
          </w:tcPr>
          <w:p>
            <w:pPr>
              <w:spacing w:after="0"/>
            </w:pPr>
            <w:r>
              <w:rPr>
                <w:b/>
                <w:i w:val="0"/>
                <w:color w:val="FFFFFF"/>
                <w:sz w:val="20"/>
              </w:rPr>
              <w:t>Non-infringement § 2-312(3)</w:t>
            </w:r>
          </w:p>
        </w:tc>
      </w:tr>
      <w:tr>
        <w:trPr>
          <w:cantSplit w:val="true"/>
        </w:trPr>
        <w:tc>
          <w:tcPr>
            <w:tcW w:type="dxa" w:w="636"/>
            <w:tcMar>
              <w:top w:w="30" w:type="dxa"/>
              <w:bottom w:w="30" w:type="dxa"/>
              <w:left w:w="80" w:type="dxa"/>
              <w:right w:w="80" w:type="dxa"/>
            </w:tcMar>
          </w:tcPr>
          <w:p>
            <w:pPr>
              <w:spacing w:after="0" w:line="240" w:lineRule="auto"/>
            </w:pPr>
            <w:r>
              <w:rPr>
                <w:b w:val="0"/>
                <w:i w:val="0"/>
                <w:sz w:val="20"/>
              </w:rPr>
              <w:t>Who makes it</w:t>
            </w:r>
          </w:p>
        </w:tc>
        <w:tc>
          <w:tcPr>
            <w:tcW w:type="dxa" w:w="2310"/>
            <w:tcMar>
              <w:top w:w="30" w:type="dxa"/>
              <w:bottom w:w="30" w:type="dxa"/>
              <w:left w:w="80" w:type="dxa"/>
              <w:right w:w="80" w:type="dxa"/>
            </w:tcMar>
          </w:tcPr>
          <w:p>
            <w:pPr>
              <w:spacing w:after="0" w:line="240" w:lineRule="auto"/>
            </w:pPr>
            <w:r>
              <w:rPr>
                <w:b/>
                <w:i w:val="0"/>
                <w:sz w:val="20"/>
              </w:rPr>
              <w:t>Merchant with respect to goods of that kind</w:t>
            </w:r>
          </w:p>
        </w:tc>
        <w:tc>
          <w:tcPr>
            <w:tcW w:type="dxa" w:w="2712"/>
            <w:tcMar>
              <w:top w:w="30" w:type="dxa"/>
              <w:bottom w:w="30" w:type="dxa"/>
              <w:left w:w="80" w:type="dxa"/>
              <w:right w:w="80" w:type="dxa"/>
            </w:tcMar>
          </w:tcPr>
          <w:p>
            <w:pPr>
              <w:spacing w:after="0" w:line="240" w:lineRule="auto"/>
            </w:pPr>
            <w:r>
              <w:rPr>
                <w:b/>
                <w:i w:val="0"/>
                <w:sz w:val="20"/>
              </w:rPr>
              <w:t>Any seller</w:t>
            </w:r>
            <w:r>
              <w:rPr>
                <w:b w:val="0"/>
                <w:i w:val="0"/>
                <w:sz w:val="20"/>
              </w:rPr>
              <w:t xml:space="preserve"> (usually merchants in practice)</w:t>
            </w:r>
          </w:p>
        </w:tc>
        <w:tc>
          <w:tcPr>
            <w:tcW w:type="dxa" w:w="2303"/>
            <w:tcMar>
              <w:top w:w="30" w:type="dxa"/>
              <w:bottom w:w="30" w:type="dxa"/>
              <w:left w:w="80" w:type="dxa"/>
              <w:right w:w="80" w:type="dxa"/>
            </w:tcMar>
          </w:tcPr>
          <w:p>
            <w:pPr>
              <w:spacing w:after="0" w:line="240" w:lineRule="auto"/>
            </w:pPr>
            <w:r>
              <w:rPr>
                <w:b/>
                <w:i w:val="0"/>
                <w:sz w:val="20"/>
              </w:rPr>
              <w:t>Every seller</w:t>
            </w:r>
          </w:p>
        </w:tc>
        <w:tc>
          <w:tcPr>
            <w:tcW w:type="dxa" w:w="2552"/>
            <w:tcMar>
              <w:top w:w="30" w:type="dxa"/>
              <w:bottom w:w="30" w:type="dxa"/>
              <w:left w:w="80" w:type="dxa"/>
              <w:right w:w="80" w:type="dxa"/>
            </w:tcMar>
          </w:tcPr>
          <w:p>
            <w:pPr>
              <w:spacing w:after="0" w:line="240" w:lineRule="auto"/>
            </w:pPr>
            <w:r>
              <w:rPr>
                <w:b w:val="0"/>
                <w:i w:val="0"/>
                <w:sz w:val="20"/>
              </w:rPr>
              <w:t xml:space="preserve">Merchant </w:t>
            </w:r>
            <w:r>
              <w:rPr>
                <w:b/>
                <w:i w:val="0"/>
                <w:sz w:val="20"/>
              </w:rPr>
              <w:t>regularly dealing</w:t>
            </w:r>
            <w:r>
              <w:rPr>
                <w:b w:val="0"/>
                <w:i w:val="0"/>
                <w:sz w:val="20"/>
              </w:rPr>
              <w:t xml:space="preserve"> in goods of the kind</w:t>
            </w:r>
          </w:p>
        </w:tc>
      </w:tr>
      <w:tr>
        <w:trPr>
          <w:cantSplit w:val="true"/>
        </w:trPr>
        <w:tc>
          <w:tcPr>
            <w:tcW w:type="dxa" w:w="636"/>
            <w:tcMar>
              <w:top w:w="30" w:type="dxa"/>
              <w:bottom w:w="30" w:type="dxa"/>
              <w:left w:w="80" w:type="dxa"/>
              <w:right w:w="80" w:type="dxa"/>
            </w:tcMar>
            <w:shd w:val="clear" w:color="auto" w:fill="F2F6FB"/>
          </w:tcPr>
          <w:p>
            <w:pPr>
              <w:spacing w:after="0" w:line="240" w:lineRule="auto"/>
            </w:pPr>
            <w:r>
              <w:rPr>
                <w:b w:val="0"/>
                <w:i w:val="0"/>
                <w:sz w:val="20"/>
              </w:rPr>
              <w:t>Trigger</w:t>
            </w:r>
          </w:p>
        </w:tc>
        <w:tc>
          <w:tcPr>
            <w:tcW w:type="dxa" w:w="2310"/>
            <w:tcMar>
              <w:top w:w="30" w:type="dxa"/>
              <w:bottom w:w="30" w:type="dxa"/>
              <w:left w:w="80" w:type="dxa"/>
              <w:right w:w="80" w:type="dxa"/>
            </w:tcMar>
            <w:shd w:val="clear" w:color="auto" w:fill="F2F6FB"/>
          </w:tcPr>
          <w:p>
            <w:pPr>
              <w:spacing w:after="0" w:line="240" w:lineRule="auto"/>
            </w:pPr>
            <w:r>
              <w:rPr>
                <w:b w:val="0"/>
                <w:i w:val="0"/>
                <w:sz w:val="20"/>
              </w:rPr>
              <w:t xml:space="preserve">Sale by such a merchant (incl. </w:t>
            </w:r>
            <w:r>
              <w:rPr>
                <w:b/>
                <w:i w:val="0"/>
                <w:sz w:val="20"/>
              </w:rPr>
              <w:t>food served for value</w:t>
            </w:r>
            <w:r>
              <w:rPr>
                <w:b w:val="0"/>
                <w:i w:val="0"/>
                <w:sz w:val="20"/>
              </w:rPr>
              <w:t>)</w:t>
            </w:r>
          </w:p>
        </w:tc>
        <w:tc>
          <w:tcPr>
            <w:tcW w:type="dxa" w:w="2712"/>
            <w:tcMar>
              <w:top w:w="30" w:type="dxa"/>
              <w:bottom w:w="30" w:type="dxa"/>
              <w:left w:w="80" w:type="dxa"/>
              <w:right w:w="80" w:type="dxa"/>
            </w:tcMar>
            <w:shd w:val="clear" w:color="auto" w:fill="F2F6FB"/>
          </w:tcPr>
          <w:p>
            <w:pPr>
              <w:spacing w:after="0" w:line="240" w:lineRule="auto"/>
            </w:pPr>
            <w:r>
              <w:rPr>
                <w:b w:val="0"/>
                <w:i w:val="0"/>
                <w:sz w:val="20"/>
              </w:rPr>
              <w:t xml:space="preserve">Seller </w:t>
            </w:r>
            <w:r>
              <w:rPr>
                <w:b/>
                <w:i w:val="0"/>
                <w:sz w:val="20"/>
              </w:rPr>
              <w:t>has reason to know</w:t>
            </w:r>
            <w:r>
              <w:rPr>
                <w:b w:val="0"/>
                <w:i w:val="0"/>
                <w:sz w:val="20"/>
              </w:rPr>
              <w:t xml:space="preserve"> buyer's </w:t>
            </w:r>
            <w:r>
              <w:rPr>
                <w:b/>
                <w:i w:val="0"/>
                <w:sz w:val="20"/>
              </w:rPr>
              <w:t>particular purpose</w:t>
            </w:r>
            <w:r>
              <w:rPr>
                <w:b w:val="0"/>
                <w:i w:val="0"/>
                <w:sz w:val="20"/>
              </w:rPr>
              <w:t xml:space="preserve"> and </w:t>
            </w:r>
            <w:r>
              <w:rPr>
                <w:b/>
                <w:i w:val="0"/>
                <w:sz w:val="20"/>
              </w:rPr>
              <w:t>reliance</w:t>
            </w:r>
            <w:r>
              <w:rPr>
                <w:b w:val="0"/>
                <w:i w:val="0"/>
                <w:sz w:val="20"/>
              </w:rPr>
              <w:t xml:space="preserve"> on seller's skill; buyer </w:t>
            </w:r>
            <w:r>
              <w:rPr>
                <w:b/>
                <w:i w:val="0"/>
                <w:sz w:val="20"/>
              </w:rPr>
              <w:t>actually relies</w:t>
            </w:r>
          </w:p>
        </w:tc>
        <w:tc>
          <w:tcPr>
            <w:tcW w:type="dxa" w:w="2303"/>
            <w:tcMar>
              <w:top w:w="30" w:type="dxa"/>
              <w:bottom w:w="30" w:type="dxa"/>
              <w:left w:w="80" w:type="dxa"/>
              <w:right w:w="80" w:type="dxa"/>
            </w:tcMar>
            <w:shd w:val="clear" w:color="auto" w:fill="F2F6FB"/>
          </w:tcPr>
          <w:p>
            <w:pPr>
              <w:spacing w:after="0" w:line="240" w:lineRule="auto"/>
            </w:pPr>
            <w:r>
              <w:rPr>
                <w:b w:val="0"/>
                <w:i w:val="0"/>
                <w:sz w:val="20"/>
              </w:rPr>
              <w:t>Every contract for sale</w:t>
            </w:r>
          </w:p>
        </w:tc>
        <w:tc>
          <w:tcPr>
            <w:tcW w:type="dxa" w:w="2552"/>
            <w:tcMar>
              <w:top w:w="30" w:type="dxa"/>
              <w:bottom w:w="30" w:type="dxa"/>
              <w:left w:w="80" w:type="dxa"/>
              <w:right w:w="80" w:type="dxa"/>
            </w:tcMar>
            <w:shd w:val="clear" w:color="auto" w:fill="F2F6FB"/>
          </w:tcPr>
          <w:p>
            <w:pPr>
              <w:spacing w:after="0" w:line="240" w:lineRule="auto"/>
            </w:pPr>
            <w:r>
              <w:rPr>
                <w:b w:val="0"/>
                <w:i w:val="0"/>
                <w:sz w:val="20"/>
              </w:rPr>
              <w:t xml:space="preserve">Every such sale — unless buyer </w:t>
            </w:r>
            <w:r>
              <w:rPr>
                <w:b/>
                <w:i w:val="0"/>
                <w:sz w:val="20"/>
              </w:rPr>
              <w:t>furnished specs</w:t>
            </w:r>
            <w:r>
              <w:rPr>
                <w:b w:val="0"/>
                <w:i w:val="0"/>
                <w:sz w:val="20"/>
              </w:rPr>
              <w:t xml:space="preserve"> (then buyer indemnifies seller)</w:t>
            </w:r>
          </w:p>
        </w:tc>
      </w:tr>
      <w:tr>
        <w:trPr>
          <w:cantSplit w:val="true"/>
        </w:trPr>
        <w:tc>
          <w:tcPr>
            <w:tcW w:type="dxa" w:w="636"/>
            <w:tcMar>
              <w:top w:w="30" w:type="dxa"/>
              <w:bottom w:w="30" w:type="dxa"/>
              <w:left w:w="80" w:type="dxa"/>
              <w:right w:w="80" w:type="dxa"/>
            </w:tcMar>
          </w:tcPr>
          <w:p>
            <w:pPr>
              <w:spacing w:after="0" w:line="240" w:lineRule="auto"/>
            </w:pPr>
            <w:r>
              <w:rPr>
                <w:b w:val="0"/>
                <w:i w:val="0"/>
                <w:sz w:val="20"/>
              </w:rPr>
              <w:t>Promise</w:t>
            </w:r>
          </w:p>
        </w:tc>
        <w:tc>
          <w:tcPr>
            <w:tcW w:type="dxa" w:w="2310"/>
            <w:tcMar>
              <w:top w:w="30" w:type="dxa"/>
              <w:bottom w:w="30" w:type="dxa"/>
              <w:left w:w="80" w:type="dxa"/>
              <w:right w:w="80" w:type="dxa"/>
            </w:tcMar>
          </w:tcPr>
          <w:p>
            <w:pPr>
              <w:spacing w:after="0" w:line="240" w:lineRule="auto"/>
            </w:pPr>
            <w:r>
              <w:rPr>
                <w:b w:val="0"/>
                <w:i w:val="0"/>
                <w:sz w:val="20"/>
              </w:rPr>
              <w:t xml:space="preserve">Goods are </w:t>
            </w:r>
            <w:r>
              <w:rPr>
                <w:b/>
                <w:i w:val="0"/>
                <w:sz w:val="20"/>
              </w:rPr>
              <w:t>merchantable</w:t>
            </w:r>
            <w:r>
              <w:rPr>
                <w:b w:val="0"/>
                <w:i w:val="0"/>
                <w:sz w:val="20"/>
              </w:rPr>
              <w:t xml:space="preserve"> — fit for </w:t>
            </w:r>
            <w:r>
              <w:rPr>
                <w:b/>
                <w:i w:val="0"/>
                <w:sz w:val="20"/>
              </w:rPr>
              <w:t>ordinary</w:t>
            </w:r>
            <w:r>
              <w:rPr>
                <w:b w:val="0"/>
                <w:i w:val="0"/>
                <w:sz w:val="20"/>
              </w:rPr>
              <w:t xml:space="preserve"> purposes</w:t>
            </w:r>
          </w:p>
        </w:tc>
        <w:tc>
          <w:tcPr>
            <w:tcW w:type="dxa" w:w="2712"/>
            <w:tcMar>
              <w:top w:w="30" w:type="dxa"/>
              <w:bottom w:w="30" w:type="dxa"/>
              <w:left w:w="80" w:type="dxa"/>
              <w:right w:w="80" w:type="dxa"/>
            </w:tcMar>
          </w:tcPr>
          <w:p>
            <w:pPr>
              <w:spacing w:after="0" w:line="240" w:lineRule="auto"/>
            </w:pPr>
            <w:r>
              <w:rPr>
                <w:b w:val="0"/>
                <w:i w:val="0"/>
                <w:sz w:val="20"/>
              </w:rPr>
              <w:t xml:space="preserve">Fit for buyer's </w:t>
            </w:r>
            <w:r>
              <w:rPr>
                <w:b/>
                <w:i w:val="0"/>
                <w:sz w:val="20"/>
              </w:rPr>
              <w:t>particular</w:t>
            </w:r>
            <w:r>
              <w:rPr>
                <w:b w:val="0"/>
                <w:i w:val="0"/>
                <w:sz w:val="20"/>
              </w:rPr>
              <w:t xml:space="preserve"> purpose</w:t>
            </w:r>
          </w:p>
        </w:tc>
        <w:tc>
          <w:tcPr>
            <w:tcW w:type="dxa" w:w="2303"/>
            <w:tcMar>
              <w:top w:w="30" w:type="dxa"/>
              <w:bottom w:w="30" w:type="dxa"/>
              <w:left w:w="80" w:type="dxa"/>
              <w:right w:w="80" w:type="dxa"/>
            </w:tcMar>
          </w:tcPr>
          <w:p>
            <w:pPr>
              <w:spacing w:after="0" w:line="240" w:lineRule="auto"/>
            </w:pPr>
            <w:r>
              <w:rPr>
                <w:b w:val="0"/>
                <w:i w:val="0"/>
                <w:sz w:val="20"/>
              </w:rPr>
              <w:t xml:space="preserve">Good title, </w:t>
            </w:r>
            <w:r>
              <w:rPr>
                <w:b/>
                <w:i w:val="0"/>
                <w:sz w:val="20"/>
              </w:rPr>
              <w:t>rightful</w:t>
            </w:r>
            <w:r>
              <w:rPr>
                <w:b w:val="0"/>
                <w:i w:val="0"/>
                <w:sz w:val="20"/>
              </w:rPr>
              <w:t xml:space="preserve"> transfer, </w:t>
            </w:r>
            <w:r>
              <w:rPr>
                <w:b/>
                <w:i w:val="0"/>
                <w:sz w:val="20"/>
              </w:rPr>
              <w:t>no unknown liens</w:t>
            </w:r>
          </w:p>
        </w:tc>
        <w:tc>
          <w:tcPr>
            <w:tcW w:type="dxa" w:w="2552"/>
            <w:tcMar>
              <w:top w:w="30" w:type="dxa"/>
              <w:bottom w:w="30" w:type="dxa"/>
              <w:left w:w="80" w:type="dxa"/>
              <w:right w:w="80" w:type="dxa"/>
            </w:tcMar>
          </w:tcPr>
          <w:p>
            <w:pPr>
              <w:spacing w:after="0" w:line="240" w:lineRule="auto"/>
            </w:pPr>
            <w:r>
              <w:rPr>
                <w:b w:val="0"/>
                <w:i w:val="0"/>
                <w:sz w:val="20"/>
              </w:rPr>
              <w:t xml:space="preserve">Free of </w:t>
            </w:r>
            <w:r>
              <w:rPr>
                <w:b/>
                <w:i w:val="0"/>
                <w:sz w:val="20"/>
              </w:rPr>
              <w:t>rightful</w:t>
            </w:r>
            <w:r>
              <w:rPr>
                <w:b w:val="0"/>
                <w:i w:val="0"/>
                <w:sz w:val="20"/>
              </w:rPr>
              <w:t xml:space="preserve"> third-party infringement claims</w:t>
            </w:r>
          </w:p>
        </w:tc>
      </w:tr>
      <w:tr>
        <w:trPr>
          <w:cantSplit w:val="true"/>
        </w:trPr>
        <w:tc>
          <w:tcPr>
            <w:tcW w:type="dxa" w:w="636"/>
            <w:tcMar>
              <w:top w:w="30" w:type="dxa"/>
              <w:bottom w:w="30" w:type="dxa"/>
              <w:left w:w="80" w:type="dxa"/>
              <w:right w:w="80" w:type="dxa"/>
            </w:tcMar>
            <w:shd w:val="clear" w:color="auto" w:fill="F2F6FB"/>
          </w:tcPr>
          <w:p>
            <w:pPr>
              <w:spacing w:after="0" w:line="240" w:lineRule="auto"/>
            </w:pPr>
            <w:r>
              <w:rPr>
                <w:b w:val="0"/>
                <w:i w:val="0"/>
                <w:sz w:val="20"/>
              </w:rPr>
              <w:t>Disclaimer</w:t>
            </w:r>
          </w:p>
        </w:tc>
        <w:tc>
          <w:tcPr>
            <w:tcW w:type="dxa" w:w="2310"/>
            <w:tcMar>
              <w:top w:w="30" w:type="dxa"/>
              <w:bottom w:w="30" w:type="dxa"/>
              <w:left w:w="80" w:type="dxa"/>
              <w:right w:w="80" w:type="dxa"/>
            </w:tcMar>
            <w:shd w:val="clear" w:color="auto" w:fill="F2F6FB"/>
          </w:tcPr>
          <w:p>
            <w:pPr>
              <w:spacing w:after="0" w:line="240" w:lineRule="auto"/>
            </w:pPr>
            <w:r>
              <w:rPr>
                <w:b w:val="0"/>
                <w:i w:val="0"/>
                <w:sz w:val="20"/>
              </w:rPr>
              <w:t>§ 2-316 (mention "merchantability"; conspicuous if written)</w:t>
            </w:r>
          </w:p>
        </w:tc>
        <w:tc>
          <w:tcPr>
            <w:tcW w:type="dxa" w:w="2712"/>
            <w:tcMar>
              <w:top w:w="30" w:type="dxa"/>
              <w:bottom w:w="30" w:type="dxa"/>
              <w:left w:w="80" w:type="dxa"/>
              <w:right w:w="80" w:type="dxa"/>
            </w:tcMar>
            <w:shd w:val="clear" w:color="auto" w:fill="F2F6FB"/>
          </w:tcPr>
          <w:p>
            <w:pPr>
              <w:spacing w:after="0" w:line="240" w:lineRule="auto"/>
            </w:pPr>
            <w:r>
              <w:rPr>
                <w:b w:val="0"/>
                <w:i w:val="0"/>
                <w:sz w:val="20"/>
              </w:rPr>
              <w:t>§ 2-316 (conspicuous writing)</w:t>
            </w:r>
          </w:p>
        </w:tc>
        <w:tc>
          <w:tcPr>
            <w:tcW w:type="dxa" w:w="2303"/>
            <w:tcMar>
              <w:top w:w="30" w:type="dxa"/>
              <w:bottom w:w="30" w:type="dxa"/>
              <w:left w:w="80" w:type="dxa"/>
              <w:right w:w="80" w:type="dxa"/>
            </w:tcMar>
            <w:shd w:val="clear" w:color="auto" w:fill="F2F6FB"/>
          </w:tcPr>
          <w:p>
            <w:pPr>
              <w:spacing w:after="0" w:line="240" w:lineRule="auto"/>
            </w:pPr>
            <w:r>
              <w:rPr>
                <w:b/>
                <w:i w:val="0"/>
                <w:sz w:val="20"/>
              </w:rPr>
              <w:t>Only</w:t>
            </w:r>
            <w:r>
              <w:rPr>
                <w:b w:val="0"/>
                <w:i w:val="0"/>
                <w:sz w:val="20"/>
              </w:rPr>
              <w:t xml:space="preserve"> specific language or circumstances (§ 2-312(2)) — "as is" </w:t>
            </w:r>
            <w:r>
              <w:rPr>
                <w:b/>
                <w:i w:val="0"/>
                <w:sz w:val="20"/>
              </w:rPr>
              <w:t>doesn't</w:t>
            </w:r>
            <w:r>
              <w:rPr>
                <w:b w:val="0"/>
                <w:i w:val="0"/>
                <w:sz w:val="20"/>
              </w:rPr>
              <w:t xml:space="preserve"> work</w:t>
            </w:r>
          </w:p>
        </w:tc>
        <w:tc>
          <w:tcPr>
            <w:tcW w:type="dxa" w:w="2552"/>
            <w:tcMar>
              <w:top w:w="30" w:type="dxa"/>
              <w:bottom w:w="30" w:type="dxa"/>
              <w:left w:w="80" w:type="dxa"/>
              <w:right w:w="80" w:type="dxa"/>
            </w:tcMar>
            <w:shd w:val="clear" w:color="auto" w:fill="F2F6FB"/>
          </w:tcPr>
          <w:p>
            <w:pPr>
              <w:spacing w:after="0" w:line="240" w:lineRule="auto"/>
            </w:pPr>
            <w:r>
              <w:rPr>
                <w:b w:val="0"/>
                <w:i w:val="0"/>
                <w:sz w:val="20"/>
              </w:rPr>
              <w:t>"Unless otherwise agreed"</w:t>
            </w:r>
          </w:p>
        </w:tc>
      </w:tr>
    </w:tbl>
    <w:p>
      <w:pPr>
        <w:spacing w:after="0" w:line="120" w:lineRule="exact"/>
      </w:pPr>
    </w:p>
    <w:p>
      <w:pPr>
        <w:pStyle w:val="ListBullet"/>
      </w:pPr>
      <w:r>
        <w:rPr>
          <w:b/>
          <w:i w:val="0"/>
        </w:rPr>
        <w:t>Camera example:</w:t>
      </w:r>
      <w:r>
        <w:rPr>
          <w:b w:val="0"/>
          <w:i w:val="0"/>
        </w:rPr>
        <w:t xml:space="preserve"> scratched lens → </w:t>
      </w:r>
      <w:r>
        <w:rPr>
          <w:b/>
          <w:i w:val="0"/>
        </w:rPr>
        <w:t>§ 2-314</w:t>
      </w:r>
      <w:r>
        <w:rPr>
          <w:b w:val="0"/>
          <w:i w:val="0"/>
        </w:rPr>
        <w:t xml:space="preserve">; battery won't last the 4 hours buyer needs → </w:t>
      </w:r>
      <w:r>
        <w:rPr>
          <w:b/>
          <w:i w:val="0"/>
        </w:rPr>
        <w:t>§ 2-315</w:t>
      </w:r>
      <w:r>
        <w:rPr>
          <w:b w:val="0"/>
          <w:i w:val="0"/>
        </w:rPr>
        <w:t xml:space="preserve">; stolen camera → </w:t>
      </w:r>
      <w:r>
        <w:rPr>
          <w:b/>
          <w:i w:val="0"/>
        </w:rPr>
        <w:t>§ 2-312</w:t>
      </w:r>
      <w:r>
        <w:rPr>
          <w:b w:val="0"/>
          <w:i w:val="0"/>
        </w:rPr>
        <w:t xml:space="preserve">. Other implied warranties can arise from </w:t>
      </w:r>
      <w:r>
        <w:rPr>
          <w:b/>
          <w:i w:val="0"/>
        </w:rPr>
        <w:t>course of dealing or usage of trade</w:t>
      </w:r>
      <w:r>
        <w:rPr>
          <w:b w:val="0"/>
          <w:i w:val="0"/>
        </w:rPr>
        <w:t xml:space="preserve"> (§ 2-314(3)).</w:t>
      </w:r>
    </w:p>
    <w:p>
      <w:pPr>
        <w:pStyle w:val="ListBullet"/>
      </w:pPr>
      <w:r>
        <w:rPr>
          <w:b/>
          <w:i w:val="0"/>
        </w:rPr>
        <w:t>Cumulation (§ 2-317):</w:t>
      </w:r>
      <w:r>
        <w:rPr>
          <w:b w:val="0"/>
          <w:i w:val="0"/>
        </w:rPr>
        <w:t xml:space="preserve"> specs beat samples/general descriptions; a sample from bulk beats general description; </w:t>
      </w:r>
      <w:r>
        <w:rPr>
          <w:b/>
          <w:i w:val="0"/>
        </w:rPr>
        <w:t>express warranties displace inconsistent implied warranties except fitness</w:t>
      </w:r>
      <w:r>
        <w:rPr>
          <w:b w:val="0"/>
          <w:i w:val="0"/>
        </w:rPr>
        <w:t>.</w:t>
      </w:r>
    </w:p>
    <w:p>
      <w:pPr>
        <w:keepNext/>
        <w:spacing w:before="120" w:after="40"/>
        <w:pBdr>
          <w:bottom w:val="single" w:sz="6" w:space="1" w:color="8EAADB"/>
        </w:pBdr>
      </w:pPr>
      <w:r>
        <w:rPr>
          <w:b/>
          <w:i w:val="0"/>
          <w:color w:val="1F3A5F"/>
          <w:sz w:val="25"/>
        </w:rPr>
        <w:t>Merchantability — § 2-314</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Goods must </w:t>
            </w:r>
            <w:r>
              <w:rPr>
                <w:b/>
                <w:i w:val="0"/>
                <w:sz w:val="21"/>
              </w:rPr>
              <w:t>at least</w:t>
            </w:r>
            <w:r>
              <w:rPr>
                <w:b w:val="0"/>
                <w:i w:val="0"/>
                <w:sz w:val="21"/>
              </w:rPr>
              <w:t xml:space="preserve">: (a) </w:t>
            </w:r>
            <w:r>
              <w:rPr>
                <w:b/>
                <w:i w:val="0"/>
                <w:sz w:val="21"/>
              </w:rPr>
              <w:t>pass without objection in the trade</w:t>
            </w:r>
            <w:r>
              <w:rPr>
                <w:b w:val="0"/>
                <w:i w:val="0"/>
                <w:sz w:val="21"/>
              </w:rPr>
              <w:t xml:space="preserve"> under the description; (b) if fungible, be of </w:t>
            </w:r>
            <w:r>
              <w:rPr>
                <w:b/>
                <w:i w:val="0"/>
                <w:sz w:val="21"/>
              </w:rPr>
              <w:t>fair average quality</w:t>
            </w:r>
            <w:r>
              <w:rPr>
                <w:b w:val="0"/>
                <w:i w:val="0"/>
                <w:sz w:val="21"/>
              </w:rPr>
              <w:t xml:space="preserve">; (c) be </w:t>
            </w:r>
            <w:r>
              <w:rPr>
                <w:b/>
                <w:i w:val="0"/>
                <w:sz w:val="21"/>
              </w:rPr>
              <w:t>fit for the ordinary purposes</w:t>
            </w:r>
            <w:r>
              <w:rPr>
                <w:b w:val="0"/>
                <w:i w:val="0"/>
                <w:sz w:val="21"/>
              </w:rPr>
              <w:t xml:space="preserve"> for which such goods are used (</w:t>
            </w:r>
            <w:r>
              <w:rPr>
                <w:b/>
                <w:i w:val="0"/>
                <w:sz w:val="21"/>
              </w:rPr>
              <w:t>most important</w:t>
            </w:r>
            <w:r>
              <w:rPr>
                <w:b w:val="0"/>
                <w:i w:val="0"/>
                <w:sz w:val="21"/>
              </w:rPr>
              <w:t xml:space="preserve">); (d) run of </w:t>
            </w:r>
            <w:r>
              <w:rPr>
                <w:b/>
                <w:i w:val="0"/>
                <w:sz w:val="21"/>
              </w:rPr>
              <w:t>even kind, quality, quantity</w:t>
            </w:r>
            <w:r>
              <w:rPr>
                <w:b w:val="0"/>
                <w:i w:val="0"/>
                <w:sz w:val="21"/>
              </w:rPr>
              <w:t xml:space="preserve"> within permitted variations; (e) be </w:t>
            </w:r>
            <w:r>
              <w:rPr>
                <w:b/>
                <w:i w:val="0"/>
                <w:sz w:val="21"/>
              </w:rPr>
              <w:t>adequately contained, packaged, labeled</w:t>
            </w:r>
            <w:r>
              <w:rPr>
                <w:b w:val="0"/>
                <w:i w:val="0"/>
                <w:sz w:val="21"/>
              </w:rPr>
              <w:t xml:space="preserve">; (f) </w:t>
            </w:r>
            <w:r>
              <w:rPr>
                <w:b/>
                <w:i w:val="0"/>
                <w:sz w:val="21"/>
              </w:rPr>
              <w:t>conform to promises/affirmations on the container or label</w:t>
            </w:r>
            <w:r>
              <w:rPr>
                <w:b w:val="0"/>
                <w:i w:val="0"/>
                <w:sz w:val="21"/>
              </w:rPr>
              <w:t>.</w:t>
            </w:r>
          </w:p>
        </w:tc>
      </w:tr>
    </w:tbl>
    <w:p>
      <w:pPr>
        <w:spacing w:after="0" w:line="100" w:lineRule="exact"/>
      </w:pPr>
    </w:p>
    <w:p>
      <w:pPr>
        <w:pStyle w:val="ListBullet"/>
      </w:pPr>
      <w:r>
        <w:rPr>
          <w:b/>
          <w:i w:val="0"/>
        </w:rPr>
        <w:t>Strict liability:</w:t>
      </w:r>
      <w:r>
        <w:rPr>
          <w:b w:val="0"/>
          <w:i w:val="0"/>
        </w:rPr>
        <w:t xml:space="preserve"> usually a </w:t>
      </w:r>
      <w:r>
        <w:rPr>
          <w:b/>
          <w:i w:val="0"/>
        </w:rPr>
        <w:t>defect at the time of sale</w:t>
      </w:r>
      <w:r>
        <w:rPr>
          <w:b w:val="0"/>
          <w:i w:val="0"/>
        </w:rPr>
        <w:t xml:space="preserve"> (or failure to give proper instructions); seller's </w:t>
      </w:r>
      <w:r>
        <w:rPr>
          <w:b/>
          <w:i w:val="0"/>
        </w:rPr>
        <w:t>lack of knowledge is no defense</w:t>
      </w:r>
      <w:r>
        <w:rPr>
          <w:b w:val="0"/>
          <w:i w:val="0"/>
        </w:rPr>
        <w:t xml:space="preserve"> — not negligence-based.</w:t>
      </w:r>
    </w:p>
    <w:p>
      <w:pPr>
        <w:pStyle w:val="ListBullet"/>
      </w:pPr>
      <w:r>
        <w:rPr>
          <w:b/>
          <w:i w:val="0"/>
        </w:rPr>
        <w:t>Who is a merchant (§ 2-104(1)):</w:t>
      </w:r>
      <w:r>
        <w:rPr>
          <w:b w:val="0"/>
          <w:i w:val="0"/>
        </w:rPr>
        <w:t xml:space="preserve"> one who </w:t>
      </w:r>
      <w:r>
        <w:rPr>
          <w:b/>
          <w:i w:val="0"/>
        </w:rPr>
        <w:t>deals in goods of the kind</w:t>
      </w:r>
      <w:r>
        <w:rPr>
          <w:b w:val="0"/>
          <w:i w:val="0"/>
        </w:rPr>
        <w:t xml:space="preserve">, or by occupation </w:t>
      </w:r>
      <w:r>
        <w:rPr>
          <w:b/>
          <w:i w:val="0"/>
        </w:rPr>
        <w:t>holds itself out</w:t>
      </w:r>
      <w:r>
        <w:rPr>
          <w:b w:val="0"/>
          <w:i w:val="0"/>
        </w:rPr>
        <w:t xml:space="preserve"> as having knowledge/skill about the practices or goods, or to whom such skill is </w:t>
      </w:r>
      <w:r>
        <w:rPr>
          <w:b/>
          <w:i w:val="0"/>
        </w:rPr>
        <w:t>attributed through an agent/broker</w:t>
      </w:r>
      <w:r>
        <w:rPr>
          <w:b w:val="0"/>
          <w:i w:val="0"/>
        </w:rPr>
        <w:t xml:space="preserve">. For § 2-314 the narrow </w:t>
      </w:r>
      <w:r>
        <w:rPr>
          <w:b/>
          <w:i w:val="0"/>
        </w:rPr>
        <w:t>"goods"</w:t>
      </w:r>
      <w:r>
        <w:rPr>
          <w:b w:val="0"/>
          <w:i w:val="0"/>
        </w:rPr>
        <w:t xml:space="preserve"> sense applies; isolated sellers aren't merchants (but must disclose known hidden defects — cmt. 3).</w:t>
      </w:r>
    </w:p>
    <w:p>
      <w:pPr>
        <w:pStyle w:val="ListBullet"/>
      </w:pPr>
      <w:r>
        <w:rPr>
          <w:b/>
          <w:i w:val="0"/>
        </w:rPr>
        <w:t>Used goods:</w:t>
      </w:r>
      <w:r>
        <w:rPr>
          <w:b w:val="0"/>
          <w:i w:val="0"/>
        </w:rPr>
        <w:t xml:space="preserve"> warranty applies, but only to the quality appropriate for used goods.</w:t>
      </w:r>
    </w:p>
    <w:p>
      <w:pPr>
        <w:pStyle w:val="ListBullet"/>
      </w:pPr>
      <w:r>
        <w:rPr>
          <w:b/>
          <w:i w:val="0"/>
        </w:rPr>
        <w:t xml:space="preserve">Privity — § 2-318</w:t>
      </w:r>
      <w:r>
        <w:rPr>
          <w:b w:val="0"/>
          <w:i w:val="0"/>
        </w:rPr>
        <w:t xml:space="preserve"> (states pick one): Alt. A — buyer's family, household, and home guests injured in person; Alt. B — any natural person reasonably expected to use, consume, or be affected and injured in person; Alt. C — any person reasonably expected to be affected and injured (not limited to personal injury). The seller </w:t>
      </w:r>
      <w:r>
        <w:rPr>
          <w:b/>
          <w:i w:val="0"/>
        </w:rPr>
        <w:t xml:space="preserve">can't exclude</w:t>
      </w:r>
      <w:r>
        <w:rPr>
          <w:b w:val="0"/>
          <w:i w:val="0"/>
        </w:rPr>
        <w:t xml:space="preserve"> § 2-318 coverage.</w:t>
      </w:r>
    </w:p>
    <w:p>
      <w:pPr>
        <w:pStyle w:val="ListBullet"/>
      </w:pPr>
      <w:r>
        <w:rPr>
          <w:b/>
          <w:i w:val="0"/>
        </w:rPr>
        <w:t>Examples:</w:t>
      </w:r>
      <w:r>
        <w:rPr>
          <w:b w:val="0"/>
          <w:i w:val="0"/>
        </w:rPr>
        <w:t xml:space="preserve"> detergent must clean, not damage fabric or the washer, and match its label; a pencil must write and erase with ordinary effort.</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5142"/>
        <w:gridCol w:w="5369"/>
      </w:tblGrid>
      <w:tr>
        <w:trPr>
          <w:tblHeader w:val="true"/>
        </w:trPr>
        <w:tc>
          <w:tcPr>
            <w:tcW w:type="dxa" w:w="5143"/>
            <w:shd w:val="clear" w:color="auto" w:fill="1F3A5F"/>
            <w:tcMar>
              <w:top w:w="40" w:type="dxa"/>
              <w:bottom w:w="40" w:type="dxa"/>
              <w:left w:w="80" w:type="dxa"/>
              <w:right w:w="80" w:type="dxa"/>
            </w:tcMar>
          </w:tcPr>
          <w:p>
            <w:pPr>
              <w:spacing w:after="0"/>
            </w:pPr>
            <w:r>
              <w:rPr>
                <w:b/>
                <w:i w:val="0"/>
                <w:color w:val="FFFFFF"/>
                <w:sz w:val="20"/>
              </w:rPr>
              <w:t>Problem 3-9 seller</w:t>
            </w:r>
          </w:p>
        </w:tc>
        <w:tc>
          <w:tcPr>
            <w:tcW w:type="dxa" w:w="5369"/>
            <w:shd w:val="clear" w:color="auto" w:fill="1F3A5F"/>
            <w:tcMar>
              <w:top w:w="40" w:type="dxa"/>
              <w:bottom w:w="40" w:type="dxa"/>
              <w:left w:w="80" w:type="dxa"/>
              <w:right w:w="80" w:type="dxa"/>
            </w:tcMar>
          </w:tcPr>
          <w:p>
            <w:pPr>
              <w:spacing w:after="0"/>
            </w:pPr>
            <w:r>
              <w:rPr>
                <w:b/>
                <w:i w:val="0"/>
                <w:color w:val="FFFFFF"/>
                <w:sz w:val="20"/>
              </w:rPr>
              <w:t>Makes the warranty?</w:t>
            </w:r>
          </w:p>
        </w:tc>
      </w:tr>
      <w:tr>
        <w:trPr>
          <w:cantSplit w:val="true"/>
        </w:trPr>
        <w:tc>
          <w:tcPr>
            <w:tcW w:type="dxa" w:w="5143"/>
            <w:tcMar>
              <w:top w:w="30" w:type="dxa"/>
              <w:bottom w:w="30" w:type="dxa"/>
              <w:left w:w="80" w:type="dxa"/>
              <w:right w:w="80" w:type="dxa"/>
            </w:tcMar>
          </w:tcPr>
          <w:p>
            <w:pPr>
              <w:spacing w:after="0" w:line="240" w:lineRule="auto"/>
            </w:pPr>
            <w:r>
              <w:rPr>
                <w:b w:val="0"/>
                <w:i w:val="0"/>
                <w:sz w:val="20"/>
              </w:rPr>
              <w:t>Artisan (accountant) selling her stained-glass baubles at a semi-annual craft fair</w:t>
            </w:r>
          </w:p>
        </w:tc>
        <w:tc>
          <w:tcPr>
            <w:tcW w:type="dxa" w:w="5369"/>
            <w:tcMar>
              <w:top w:w="30" w:type="dxa"/>
              <w:bottom w:w="30" w:type="dxa"/>
              <w:left w:w="80" w:type="dxa"/>
              <w:right w:w="80" w:type="dxa"/>
            </w:tcMar>
          </w:tcPr>
          <w:p>
            <w:pPr>
              <w:spacing w:after="0" w:line="240" w:lineRule="auto"/>
            </w:pPr>
            <w:r>
              <w:rPr>
                <w:b/>
                <w:i w:val="0"/>
                <w:sz w:val="20"/>
              </w:rPr>
              <w:t>Likely yes</w:t>
            </w:r>
            <w:r>
              <w:rPr>
                <w:b w:val="0"/>
                <w:i w:val="0"/>
                <w:sz w:val="20"/>
              </w:rPr>
              <w:t xml:space="preserve"> — regularly makes and sells goods of that kind; the day job isn't decisive</w:t>
            </w:r>
          </w:p>
        </w:tc>
      </w:tr>
      <w:tr>
        <w:trPr>
          <w:cantSplit w:val="true"/>
        </w:trPr>
        <w:tc>
          <w:tcPr>
            <w:tcW w:type="dxa" w:w="5143"/>
            <w:tcMar>
              <w:top w:w="30" w:type="dxa"/>
              <w:bottom w:w="30" w:type="dxa"/>
              <w:left w:w="80" w:type="dxa"/>
              <w:right w:w="80" w:type="dxa"/>
            </w:tcMar>
            <w:shd w:val="clear" w:color="auto" w:fill="F2F6FB"/>
          </w:tcPr>
          <w:p>
            <w:pPr>
              <w:spacing w:after="0" w:line="240" w:lineRule="auto"/>
            </w:pPr>
            <w:r>
              <w:rPr>
                <w:b w:val="0"/>
                <w:i w:val="0"/>
                <w:sz w:val="20"/>
              </w:rPr>
              <w:t>Rental company selling oldest fleet cars every 4 months</w:t>
            </w:r>
          </w:p>
        </w:tc>
        <w:tc>
          <w:tcPr>
            <w:tcW w:type="dxa" w:w="5369"/>
            <w:tcMar>
              <w:top w:w="30" w:type="dxa"/>
              <w:bottom w:w="30" w:type="dxa"/>
              <w:left w:w="80" w:type="dxa"/>
              <w:right w:w="80" w:type="dxa"/>
            </w:tcMar>
            <w:shd w:val="clear" w:color="auto" w:fill="F2F6FB"/>
          </w:tcPr>
          <w:p>
            <w:pPr>
              <w:spacing w:after="0" w:line="240" w:lineRule="auto"/>
            </w:pPr>
            <w:r>
              <w:rPr>
                <w:b/>
                <w:i w:val="0"/>
                <w:sz w:val="20"/>
              </w:rPr>
              <w:t>Likely yes</w:t>
            </w:r>
            <w:r>
              <w:rPr>
                <w:b w:val="0"/>
                <w:i w:val="0"/>
                <w:sz w:val="20"/>
              </w:rPr>
              <w:t xml:space="preserve"> — regular, recurring used-car sales</w:t>
            </w:r>
          </w:p>
        </w:tc>
      </w:tr>
      <w:tr>
        <w:trPr>
          <w:cantSplit w:val="true"/>
        </w:trPr>
        <w:tc>
          <w:tcPr>
            <w:tcW w:type="dxa" w:w="5143"/>
            <w:tcMar>
              <w:top w:w="30" w:type="dxa"/>
              <w:bottom w:w="30" w:type="dxa"/>
              <w:left w:w="80" w:type="dxa"/>
              <w:right w:w="80" w:type="dxa"/>
            </w:tcMar>
          </w:tcPr>
          <w:p>
            <w:pPr>
              <w:spacing w:after="0" w:line="240" w:lineRule="auto"/>
            </w:pPr>
            <w:r>
              <w:rPr>
                <w:b w:val="0"/>
                <w:i w:val="0"/>
                <w:sz w:val="20"/>
              </w:rPr>
              <w:t>Contractor (60% services/40% materials; clients pick materials)</w:t>
            </w:r>
          </w:p>
        </w:tc>
        <w:tc>
          <w:tcPr>
            <w:tcW w:type="dxa" w:w="5369"/>
            <w:tcMar>
              <w:top w:w="30" w:type="dxa"/>
              <w:bottom w:w="30" w:type="dxa"/>
              <w:left w:w="80" w:type="dxa"/>
              <w:right w:w="80" w:type="dxa"/>
            </w:tcMar>
          </w:tcPr>
          <w:p>
            <w:pPr>
              <w:spacing w:after="0" w:line="240" w:lineRule="auto"/>
            </w:pPr>
            <w:r>
              <w:rPr>
                <w:b w:val="0"/>
                <w:i w:val="0"/>
                <w:sz w:val="20"/>
              </w:rPr>
              <w:t>Hybrid — warranty rules still apply to the goods; likely a merchant in what it regularly supplies</w:t>
            </w:r>
          </w:p>
        </w:tc>
      </w:tr>
      <w:tr>
        <w:trPr>
          <w:cantSplit w:val="true"/>
        </w:trPr>
        <w:tc>
          <w:tcPr>
            <w:tcW w:type="dxa" w:w="5143"/>
            <w:tcMar>
              <w:top w:w="30" w:type="dxa"/>
              <w:bottom w:w="30" w:type="dxa"/>
              <w:left w:w="80" w:type="dxa"/>
              <w:right w:w="80" w:type="dxa"/>
            </w:tcMar>
            <w:shd w:val="clear" w:color="auto" w:fill="F2F6FB"/>
          </w:tcPr>
          <w:p>
            <w:pPr>
              <w:spacing w:after="0" w:line="240" w:lineRule="auto"/>
            </w:pPr>
            <w:r>
              <w:rPr>
                <w:b w:val="0"/>
                <w:i w:val="0"/>
                <w:sz w:val="20"/>
              </w:rPr>
              <w:t>Decorator paid a finder's fee by the client</w:t>
            </w:r>
          </w:p>
        </w:tc>
        <w:tc>
          <w:tcPr>
            <w:tcW w:type="dxa" w:w="5369"/>
            <w:tcMar>
              <w:top w:w="30" w:type="dxa"/>
              <w:bottom w:w="30" w:type="dxa"/>
              <w:left w:w="80" w:type="dxa"/>
              <w:right w:w="80" w:type="dxa"/>
            </w:tcMar>
            <w:shd w:val="clear" w:color="auto" w:fill="F2F6FB"/>
          </w:tcPr>
          <w:p>
            <w:pPr>
              <w:spacing w:after="0" w:line="240" w:lineRule="auto"/>
            </w:pPr>
            <w:r>
              <w:rPr>
                <w:b/>
                <w:i w:val="0"/>
                <w:sz w:val="20"/>
              </w:rPr>
              <w:t>No</w:t>
            </w:r>
            <w:r>
              <w:rPr>
                <w:b w:val="0"/>
                <w:i w:val="0"/>
                <w:sz w:val="20"/>
              </w:rPr>
              <w:t xml:space="preserve"> — not the seller</w:t>
            </w:r>
          </w:p>
        </w:tc>
      </w:tr>
    </w:tbl>
    <w:p>
      <w:pPr>
        <w:spacing w:after="0" w:line="12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3874"/>
        <w:gridCol w:w="6637"/>
      </w:tblGrid>
      <w:tr>
        <w:trPr>
          <w:tblHeader w:val="true"/>
        </w:trPr>
        <w:tc>
          <w:tcPr>
            <w:tcW w:type="dxa" w:w="3874"/>
            <w:shd w:val="clear" w:color="auto" w:fill="1F3A5F"/>
            <w:tcMar>
              <w:top w:w="40" w:type="dxa"/>
              <w:bottom w:w="40" w:type="dxa"/>
              <w:left w:w="80" w:type="dxa"/>
              <w:right w:w="80" w:type="dxa"/>
            </w:tcMar>
          </w:tcPr>
          <w:p>
            <w:pPr>
              <w:spacing w:after="0"/>
            </w:pPr>
            <w:r>
              <w:rPr>
                <w:b/>
                <w:i w:val="0"/>
                <w:color w:val="FFFFFF"/>
                <w:sz w:val="20"/>
              </w:rPr>
              <w:t>Problem 3-10</w:t>
            </w:r>
          </w:p>
        </w:tc>
        <w:tc>
          <w:tcPr>
            <w:tcW w:type="dxa" w:w="6638"/>
            <w:shd w:val="clear" w:color="auto" w:fill="1F3A5F"/>
            <w:tcMar>
              <w:top w:w="40" w:type="dxa"/>
              <w:bottom w:w="40" w:type="dxa"/>
              <w:left w:w="80" w:type="dxa"/>
              <w:right w:w="80" w:type="dxa"/>
            </w:tcMar>
          </w:tcPr>
          <w:p>
            <w:pPr>
              <w:spacing w:after="0"/>
            </w:pPr>
            <w:r>
              <w:rPr>
                <w:b/>
                <w:i w:val="0"/>
                <w:color w:val="FFFFFF"/>
                <w:sz w:val="20"/>
              </w:rPr>
              <w:t>Breach?</w:t>
            </w:r>
          </w:p>
        </w:tc>
      </w:tr>
      <w:tr>
        <w:trPr>
          <w:cantSplit w:val="true"/>
        </w:trPr>
        <w:tc>
          <w:tcPr>
            <w:tcW w:type="dxa" w:w="3874"/>
            <w:tcMar>
              <w:top w:w="30" w:type="dxa"/>
              <w:bottom w:w="30" w:type="dxa"/>
              <w:left w:w="80" w:type="dxa"/>
              <w:right w:w="80" w:type="dxa"/>
            </w:tcMar>
          </w:tcPr>
          <w:p>
            <w:pPr>
              <w:spacing w:after="0" w:line="240" w:lineRule="auto"/>
            </w:pPr>
            <w:r>
              <w:rPr>
                <w:b w:val="0"/>
                <w:i w:val="0"/>
                <w:sz w:val="20"/>
              </w:rPr>
              <w:t>New mower fails on 4th use</w:t>
            </w:r>
          </w:p>
        </w:tc>
        <w:tc>
          <w:tcPr>
            <w:tcW w:type="dxa" w:w="6638"/>
            <w:tcMar>
              <w:top w:w="30" w:type="dxa"/>
              <w:bottom w:w="30" w:type="dxa"/>
              <w:left w:w="80" w:type="dxa"/>
              <w:right w:w="80" w:type="dxa"/>
            </w:tcMar>
          </w:tcPr>
          <w:p>
            <w:pPr>
              <w:spacing w:after="0" w:line="240" w:lineRule="auto"/>
            </w:pPr>
            <w:r>
              <w:rPr>
                <w:b/>
                <w:i w:val="0"/>
                <w:sz w:val="20"/>
              </w:rPr>
              <w:t>Likely</w:t>
            </w:r>
            <w:r>
              <w:rPr>
                <w:b w:val="0"/>
                <w:i w:val="0"/>
                <w:sz w:val="20"/>
              </w:rPr>
              <w:t xml:space="preserve"> — early failure is circumstantial proof of a defect at sale (unless misuse)</w:t>
            </w:r>
          </w:p>
        </w:tc>
      </w:tr>
      <w:tr>
        <w:trPr>
          <w:cantSplit w:val="true"/>
        </w:trPr>
        <w:tc>
          <w:tcPr>
            <w:tcW w:type="dxa" w:w="3874"/>
            <w:tcMar>
              <w:top w:w="30" w:type="dxa"/>
              <w:bottom w:w="30" w:type="dxa"/>
              <w:left w:w="80" w:type="dxa"/>
              <w:right w:w="80" w:type="dxa"/>
            </w:tcMar>
            <w:shd w:val="clear" w:color="auto" w:fill="F2F6FB"/>
          </w:tcPr>
          <w:p>
            <w:pPr>
              <w:spacing w:after="0" w:line="240" w:lineRule="auto"/>
            </w:pPr>
            <w:r>
              <w:rPr>
                <w:b w:val="0"/>
                <w:i w:val="0"/>
                <w:sz w:val="20"/>
              </w:rPr>
              <w:t>Bone in a salmon fillet</w:t>
            </w:r>
          </w:p>
        </w:tc>
        <w:tc>
          <w:tcPr>
            <w:tcW w:type="dxa" w:w="6638"/>
            <w:tcMar>
              <w:top w:w="30" w:type="dxa"/>
              <w:bottom w:w="30" w:type="dxa"/>
              <w:left w:w="80" w:type="dxa"/>
              <w:right w:w="80" w:type="dxa"/>
            </w:tcMar>
            <w:shd w:val="clear" w:color="auto" w:fill="F2F6FB"/>
          </w:tcPr>
          <w:p>
            <w:pPr>
              <w:spacing w:after="0" w:line="240" w:lineRule="auto"/>
            </w:pPr>
            <w:r>
              <w:rPr>
                <w:b w:val="0"/>
                <w:i w:val="0"/>
                <w:sz w:val="20"/>
              </w:rPr>
              <w:t xml:space="preserve">Depends on the approach — the problem cites Webster (no breach) against Mexicali Rose and Schafer. </w:t>
            </w:r>
            <w:r>
              <w:rPr>
                <w:b w:val="0"/>
                <w:i/>
                <w:color w:val="64748B"/>
                <w:sz w:val="20"/>
              </w:rPr>
              <w:t xml:space="preserve">Outside class materials: these are usually called the "foreign-natural" test (Webster) and the "reasonable-expectation" test (Schafer); a fillet sold as boneless is the stronger claim under the latter.</w:t>
            </w:r>
          </w:p>
        </w:tc>
      </w:tr>
      <w:tr>
        <w:trPr>
          <w:cantSplit w:val="true"/>
        </w:trPr>
        <w:tc>
          <w:tcPr>
            <w:tcW w:type="dxa" w:w="3874"/>
            <w:tcMar>
              <w:top w:w="30" w:type="dxa"/>
              <w:bottom w:w="30" w:type="dxa"/>
              <w:left w:w="80" w:type="dxa"/>
              <w:right w:w="80" w:type="dxa"/>
            </w:tcMar>
          </w:tcPr>
          <w:p>
            <w:pPr>
              <w:spacing w:after="0" w:line="240" w:lineRule="auto"/>
            </w:pPr>
            <w:r>
              <w:rPr>
                <w:b w:val="0"/>
                <w:i w:val="0"/>
                <w:sz w:val="20"/>
              </w:rPr>
              <w:t>Yarn color varies across five dye lots</w:t>
            </w:r>
          </w:p>
        </w:tc>
        <w:tc>
          <w:tcPr>
            <w:tcW w:type="dxa" w:w="6638"/>
            <w:tcMar>
              <w:top w:w="30" w:type="dxa"/>
              <w:bottom w:w="30" w:type="dxa"/>
              <w:left w:w="80" w:type="dxa"/>
              <w:right w:w="80" w:type="dxa"/>
            </w:tcMar>
          </w:tcPr>
          <w:p>
            <w:pPr>
              <w:spacing w:after="0" w:line="240" w:lineRule="auto"/>
            </w:pPr>
            <w:r>
              <w:rPr>
                <w:b/>
                <w:i w:val="0"/>
                <w:sz w:val="20"/>
              </w:rPr>
              <w:t>Likely not</w:t>
            </w:r>
            <w:r>
              <w:rPr>
                <w:b w:val="0"/>
                <w:i w:val="0"/>
                <w:sz w:val="20"/>
              </w:rPr>
              <w:t xml:space="preserve"> if within </w:t>
            </w:r>
            <w:r>
              <w:rPr>
                <w:b/>
                <w:i w:val="0"/>
                <w:sz w:val="20"/>
              </w:rPr>
              <w:t>trade-usage</w:t>
            </w:r>
            <w:r>
              <w:rPr>
                <w:b w:val="0"/>
                <w:i w:val="0"/>
                <w:sz w:val="20"/>
              </w:rPr>
              <w:t xml:space="preserve"> variations (§ 2-314(2)(d))</w:t>
            </w:r>
          </w:p>
        </w:tc>
      </w:tr>
      <w:tr>
        <w:trPr>
          <w:cantSplit w:val="true"/>
        </w:trPr>
        <w:tc>
          <w:tcPr>
            <w:tcW w:type="dxa" w:w="3874"/>
            <w:tcMar>
              <w:top w:w="30" w:type="dxa"/>
              <w:bottom w:w="30" w:type="dxa"/>
              <w:left w:w="80" w:type="dxa"/>
              <w:right w:w="80" w:type="dxa"/>
            </w:tcMar>
            <w:shd w:val="clear" w:color="auto" w:fill="F2F6FB"/>
          </w:tcPr>
          <w:p>
            <w:pPr>
              <w:spacing w:after="0" w:line="240" w:lineRule="auto"/>
            </w:pPr>
            <w:r>
              <w:rPr>
                <w:b w:val="0"/>
                <w:i w:val="0"/>
                <w:sz w:val="20"/>
              </w:rPr>
              <w:t>Car meets all safety rules but rates low in crashes</w:t>
            </w:r>
          </w:p>
        </w:tc>
        <w:tc>
          <w:tcPr>
            <w:tcW w:type="dxa" w:w="6638"/>
            <w:tcMar>
              <w:top w:w="30" w:type="dxa"/>
              <w:bottom w:w="30" w:type="dxa"/>
              <w:left w:w="80" w:type="dxa"/>
              <w:right w:w="80" w:type="dxa"/>
            </w:tcMar>
            <w:shd w:val="clear" w:color="auto" w:fill="F2F6FB"/>
          </w:tcPr>
          <w:p>
            <w:pPr>
              <w:spacing w:after="0" w:line="240" w:lineRule="auto"/>
            </w:pPr>
            <w:r>
              <w:rPr>
                <w:b/>
                <w:i w:val="0"/>
                <w:sz w:val="20"/>
              </w:rPr>
              <w:t>Likely not</w:t>
            </w:r>
            <w:r>
              <w:rPr>
                <w:b w:val="0"/>
                <w:i w:val="0"/>
                <w:sz w:val="20"/>
              </w:rPr>
              <w:t xml:space="preserve"> — needs minimal, not top, safety (different under fitness if buyer stated a safety need)</w:t>
            </w:r>
          </w:p>
        </w:tc>
      </w:tr>
    </w:tbl>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F2F3F5"/>
            <w:tcMar>
              <w:top w:w="70" w:type="dxa"/>
              <w:bottom w:w="70" w:type="dxa"/>
              <w:left w:w="140" w:type="dxa"/>
              <w:right w:w="120" w:type="dxa"/>
            </w:tcMar>
            <w:tcBorders>
              <w:left w:val="single" w:sz="30" w:space="0" w:color="6B7280"/>
            </w:tcBorders>
          </w:tcPr>
          <w:p>
            <w:pPr>
              <w:spacing w:after="30" w:line="240" w:lineRule="auto"/>
            </w:pPr>
            <w:r>
              <w:rPr>
                <w:b/>
                <w:color w:val="6B7280"/>
                <w:sz w:val="15"/>
              </w:rPr>
              <w:t xml:space="preserve">CITED ONLY   </w:t>
            </w:r>
            <w:r>
              <w:rPr>
                <w:b/>
                <w:i w:val="0"/>
                <w:sz w:val="21"/>
              </w:rPr>
              <w:t xml:space="preserve">Webster v. Blue Ship Tea Room (Mass. 1964) — merchantability of food</w:t>
            </w:r>
          </w:p>
          <w:p>
            <w:pPr>
              <w:spacing w:after="30" w:line="240" w:lineRule="auto"/>
            </w:pPr>
            <w:r>
              <w:rPr>
                <w:b/>
                <w:i w:val="0"/>
                <w:sz w:val="21"/>
              </w:rPr>
              <w:t xml:space="preserve">In the casebook:</w:t>
            </w:r>
            <w:r>
              <w:rPr>
                <w:b w:val="0"/>
                <w:i w:val="0"/>
                <w:sz w:val="21"/>
              </w:rPr>
              <w:t xml:space="preserve"> cited only, in Problem 3-10(b) (Boggs chokes on a bone in a salmon fillet), alongside Mexicali Rose and Schafer. The casebook gives no facts or holding.</w:t>
            </w:r>
          </w:p>
          <w:p>
            <w:pPr>
              <w:spacing w:after="30" w:line="240" w:lineRule="auto"/>
            </w:pPr>
            <w:r>
              <w:rPr>
                <w:b/>
                <w:i/>
                <w:color w:val="64748B"/>
                <w:sz w:val="21"/>
              </w:rPr>
              <w:t xml:space="preserve">Outside class materials — facts:</w:t>
            </w:r>
            <w:r>
              <w:rPr>
                <w:b w:val="0"/>
                <w:i/>
                <w:color w:val="64748B"/>
                <w:sz w:val="21"/>
              </w:rPr>
              <w:t xml:space="preserve"> a diner ordered fish chowder at a Boston restaurant; a fish bone lodged in her throat and had to be removed. She sued for breach of the implied warranty of merchantability, and a jury found for her.</w:t>
            </w:r>
          </w:p>
          <w:p>
            <w:pPr>
              <w:spacing w:after="30" w:line="240" w:lineRule="auto"/>
            </w:pPr>
            <w:r>
              <w:rPr>
                <w:b/>
                <w:i/>
                <w:color w:val="64748B"/>
                <w:sz w:val="21"/>
              </w:rPr>
              <w:t xml:space="preserve">Outside class materials — held:</w:t>
            </w:r>
            <w:r>
              <w:rPr>
                <w:b w:val="0"/>
                <w:i/>
                <w:color w:val="64748B"/>
                <w:sz w:val="21"/>
              </w:rPr>
              <w:t xml:space="preserve"> reversed. Bones are natural to New England fish chowder and to be expected, so the chowder was fit for its ordinary purpose.</w:t>
            </w:r>
          </w:p>
          <w:p>
            <w:pPr>
              <w:spacing w:after="0" w:line="240" w:lineRule="auto"/>
            </w:pPr>
            <w:r>
              <w:rPr>
                <w:b/>
                <w:i w:val="0"/>
                <w:sz w:val="21"/>
              </w:rPr>
              <w:t xml:space="preserve">Why it matters:</w:t>
            </w:r>
            <w:r>
              <w:rPr>
                <w:b w:val="0"/>
                <w:i w:val="0"/>
                <w:sz w:val="21"/>
              </w:rPr>
              <w:t xml:space="preserve"> merchantability = fit for </w:t>
            </w:r>
            <w:r>
              <w:rPr>
                <w:b/>
                <w:i w:val="0"/>
                <w:sz w:val="21"/>
              </w:rPr>
              <w:t xml:space="preserve">ordinary</w:t>
            </w:r>
            <w:r>
              <w:rPr>
                <w:b w:val="0"/>
                <w:i w:val="0"/>
                <w:sz w:val="21"/>
              </w:rPr>
              <w:t xml:space="preserve"> purposes (§ 2-314(2)(c)); the problem asks whether a bone in a </w:t>
            </w:r>
            <w:r>
              <w:rPr>
                <w:b w:val="0"/>
                <w:i/>
                <w:sz w:val="21"/>
              </w:rPr>
              <w:t xml:space="preserve">fillet</w:t>
            </w:r>
            <w:r>
              <w:rPr>
                <w:b w:val="0"/>
                <w:i w:val="0"/>
                <w:sz w:val="21"/>
              </w:rPr>
              <w:t xml:space="preserve"> is different.</w:t>
            </w:r>
          </w:p>
        </w:tc>
      </w:tr>
    </w:tbl>
    <w:p>
      <w:pPr>
        <w:spacing w:after="0" w:line="120" w:lineRule="exact"/>
      </w:pPr>
      <w:r/>
    </w:p>
    <w:p>
      <w:pPr>
        <w:spacing w:after="0" w:line="120" w:lineRule="exact"/>
      </w:pPr>
    </w:p>
    <w:p>
      <w:pPr>
        <w:keepNext/>
        <w:spacing w:before="120" w:after="40"/>
        <w:pBdr>
          <w:bottom w:val="single" w:sz="6" w:space="1" w:color="8EAADB"/>
        </w:pBdr>
      </w:pPr>
      <w:r>
        <w:rPr>
          <w:b/>
          <w:i w:val="0"/>
          <w:color w:val="1F3A5F"/>
          <w:sz w:val="25"/>
        </w:rPr>
        <w:t>Fitness for a particular purpose — § 2-315</w:t>
      </w:r>
    </w:p>
    <w:p>
      <w:pPr>
        <w:pStyle w:val="ListBullet"/>
      </w:pPr>
      <w:r>
        <w:rPr>
          <w:b/>
          <w:i w:val="0"/>
        </w:rPr>
        <w:t>Four elements:</w:t>
      </w:r>
      <w:r>
        <w:rPr>
          <w:b w:val="0"/>
          <w:i w:val="0"/>
        </w:rPr>
        <w:t xml:space="preserve"> seller </w:t>
      </w:r>
      <w:r>
        <w:rPr>
          <w:b/>
          <w:i w:val="0"/>
        </w:rPr>
        <w:t>has reason to know</w:t>
      </w:r>
      <w:r>
        <w:rPr>
          <w:b w:val="0"/>
          <w:i w:val="0"/>
        </w:rPr>
        <w:t xml:space="preserve"> the purpose · buyer has a </w:t>
      </w:r>
      <w:r>
        <w:rPr>
          <w:b/>
          <w:i w:val="0"/>
        </w:rPr>
        <w:t>particular</w:t>
      </w:r>
      <w:r>
        <w:rPr>
          <w:b w:val="0"/>
          <w:i w:val="0"/>
        </w:rPr>
        <w:t xml:space="preserve"> (not ordinary) purpose · seller has </w:t>
      </w:r>
      <w:r>
        <w:rPr>
          <w:b/>
          <w:i w:val="0"/>
        </w:rPr>
        <w:t>reason to know of reliance</w:t>
      </w:r>
      <w:r>
        <w:rPr>
          <w:b w:val="0"/>
          <w:i w:val="0"/>
        </w:rPr>
        <w:t xml:space="preserve"> · buyer </w:t>
      </w:r>
      <w:r>
        <w:rPr>
          <w:b/>
          <w:i w:val="0"/>
        </w:rPr>
        <w:t>actually relies</w:t>
      </w:r>
      <w:r>
        <w:rPr>
          <w:b w:val="0"/>
          <w:i w:val="0"/>
        </w:rPr>
        <w:t xml:space="preserve">. Seller </w:t>
      </w:r>
      <w:r>
        <w:rPr>
          <w:b/>
          <w:i w:val="0"/>
        </w:rPr>
        <w:t>need not be a merchant</w:t>
      </w:r>
      <w:r>
        <w:rPr>
          <w:b w:val="0"/>
          <w:i w:val="0"/>
        </w:rPr>
        <w:t>; reliance need not be reasonable.</w:t>
      </w:r>
    </w:p>
    <w:p>
      <w:pPr>
        <w:pStyle w:val="ListBullet"/>
      </w:pPr>
      <w:r>
        <w:rPr>
          <w:b/>
          <w:i w:val="0"/>
        </w:rPr>
        <w:t>Particular vs. ordinary (cmt. 2):</w:t>
      </w:r>
      <w:r>
        <w:rPr>
          <w:b w:val="0"/>
          <w:i w:val="0"/>
        </w:rPr>
        <w:t xml:space="preserve"> shoes for walking vs. for </w:t>
      </w:r>
      <w:r>
        <w:rPr>
          <w:b/>
          <w:i w:val="0"/>
        </w:rPr>
        <w:t>mountain climbing</w:t>
      </w:r>
      <w:r>
        <w:rPr>
          <w:b w:val="0"/>
          <w:i w:val="0"/>
        </w:rPr>
        <w:t xml:space="preserve">. The use needn't be unique — just </w:t>
      </w:r>
      <w:r>
        <w:rPr>
          <w:b/>
          <w:i w:val="0"/>
        </w:rPr>
        <w:t>different from customary use</w:t>
      </w:r>
      <w:r>
        <w:rPr>
          <w:b w:val="0"/>
          <w:i w:val="0"/>
        </w:rPr>
        <w:t xml:space="preserve"> (Ingram River v. Pott).</w:t>
      </w:r>
    </w:p>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6F4F7"/>
            <w:tcMar>
              <w:top w:w="70" w:type="dxa"/>
              <w:bottom w:w="70" w:type="dxa"/>
              <w:left w:w="140" w:type="dxa"/>
              <w:right w:w="120" w:type="dxa"/>
            </w:tcMar>
            <w:tcBorders>
              <w:left w:val="single" w:sz="30" w:space="0" w:color="0E7490"/>
            </w:tcBorders>
          </w:tcPr>
          <w:p>
            <w:pPr>
              <w:spacing w:after="30" w:line="240" w:lineRule="auto"/>
            </w:pPr>
            <w:r>
              <w:rPr>
                <w:b/>
                <w:color w:val="0E7490"/>
                <w:sz w:val="15"/>
              </w:rPr>
              <w:t xml:space="preserve">NOTE CASE   </w:t>
            </w:r>
            <w:r>
              <w:rPr>
                <w:b/>
                <w:i w:val="0"/>
                <w:sz w:val="21"/>
              </w:rPr>
              <w:t xml:space="preserve">Ingram River Equip. v. Pott Indus. (8th Cir. 1987) — "particular" purpose</w:t>
            </w:r>
          </w:p>
          <w:p>
            <w:pPr>
              <w:spacing w:after="30" w:line="240" w:lineRule="auto"/>
            </w:pPr>
            <w:r>
              <w:rPr>
                <w:b/>
                <w:i w:val="0"/>
                <w:color w:val="595959"/>
                <w:sz w:val="18"/>
              </w:rPr>
              <w:t xml:space="preserve">Source:</w:t>
            </w:r>
            <w:r>
              <w:rPr>
                <w:b w:val="0"/>
                <w:i w:val="0"/>
                <w:color w:val="595959"/>
                <w:sz w:val="18"/>
              </w:rPr>
              <w:t xml:space="preserve"> note case — the casebook quotes the opinion, pp. 139–141. Not on the slides.</w:t>
            </w:r>
          </w:p>
          <w:p>
            <w:pPr>
              <w:spacing w:after="30" w:line="240" w:lineRule="auto"/>
            </w:pPr>
            <w:r>
              <w:rPr>
                <w:b/>
                <w:i w:val="0"/>
                <w:sz w:val="21"/>
              </w:rPr>
              <w:t xml:space="preserve">Facts:</w:t>
            </w:r>
            <w:r>
              <w:rPr>
                <w:b w:val="0"/>
                <w:i w:val="0"/>
                <w:sz w:val="21"/>
              </w:rPr>
              <w:t xml:space="preserve"> Ingram bought </w:t>
            </w:r>
            <w:r>
              <w:rPr>
                <w:b/>
                <w:i w:val="0"/>
                <w:sz w:val="21"/>
              </w:rPr>
              <w:t xml:space="preserve">four tank barges with heating coils</w:t>
            </w:r>
            <w:r>
              <w:rPr>
                <w:b w:val="0"/>
                <w:i w:val="0"/>
                <w:sz w:val="21"/>
              </w:rPr>
              <w:t xml:space="preserve"> from builder Pott to haul </w:t>
            </w:r>
            <w:r>
              <w:rPr>
                <w:b/>
                <w:i w:val="0"/>
                <w:sz w:val="21"/>
              </w:rPr>
              <w:t xml:space="preserve">heavy petroleum products</w:t>
            </w:r>
            <w:r>
              <w:rPr>
                <w:b w:val="0"/>
                <w:i w:val="0"/>
                <w:sz w:val="21"/>
              </w:rPr>
              <w:t xml:space="preserve"> on the Mississippi and heat them so they would unload in cold weather. Pott argued that carrying and heating heavy oil is the </w:t>
            </w:r>
            <w:r>
              <w:rPr>
                <w:b w:val="0"/>
                <w:i/>
                <w:sz w:val="21"/>
              </w:rPr>
              <w:t xml:space="preserve">ordinary</w:t>
            </w:r>
            <w:r>
              <w:rPr>
                <w:b w:val="0"/>
                <w:i w:val="0"/>
                <w:sz w:val="21"/>
              </w:rPr>
              <w:t xml:space="preserve"> use of coil-equipped barges — it had built 30+ for exactly that — so no fitness warranty arose.</w:t>
            </w:r>
          </w:p>
          <w:p>
            <w:pPr>
              <w:spacing w:after="30" w:line="240" w:lineRule="auto"/>
            </w:pPr>
            <w:r>
              <w:rPr>
                <w:b/>
                <w:i w:val="0"/>
                <w:sz w:val="21"/>
              </w:rPr>
              <w:t xml:space="preserve">Held:</w:t>
            </w:r>
            <w:r>
              <w:rPr>
                <w:b w:val="0"/>
                <w:i w:val="0"/>
                <w:sz w:val="21"/>
              </w:rPr>
              <w:t xml:space="preserve"> A fitness warranty could arise. The buyer's use </w:t>
            </w:r>
            <w:r>
              <w:rPr>
                <w:b/>
                <w:i w:val="0"/>
                <w:sz w:val="21"/>
              </w:rPr>
              <w:t xml:space="preserve">need not be unique</w:t>
            </w:r>
            <w:r>
              <w:rPr>
                <w:b w:val="0"/>
                <w:i w:val="0"/>
                <w:sz w:val="21"/>
              </w:rPr>
              <w:t xml:space="preserve">; the question is whether it is </w:t>
            </w:r>
            <w:r>
              <w:rPr>
                <w:b/>
                <w:i w:val="0"/>
                <w:sz w:val="21"/>
              </w:rPr>
              <w:t xml:space="preserve">sufficiently different from the customary use</w:t>
            </w:r>
            <w:r>
              <w:rPr>
                <w:b w:val="0"/>
                <w:i w:val="0"/>
                <w:sz w:val="21"/>
              </w:rPr>
              <w:t xml:space="preserve"> of the goods. That depends on whether the goods are "tank barges" (used for many cargoes) or "heating-coil barges" — like buying climbing shoes at a general shoe store vs. a climbing store. It's a fact question, and the finding for Ingram stood.</w:t>
            </w:r>
          </w:p>
          <w:p>
            <w:pPr>
              <w:spacing w:after="0" w:line="240" w:lineRule="auto"/>
            </w:pPr>
            <w:r>
              <w:rPr>
                <w:b/>
                <w:i w:val="0"/>
                <w:sz w:val="21"/>
              </w:rPr>
              <w:t xml:space="preserve">Why it matters:</w:t>
            </w:r>
            <w:r>
              <w:rPr>
                <w:b w:val="0"/>
                <w:i w:val="0"/>
                <w:sz w:val="21"/>
              </w:rPr>
              <w:t xml:space="preserve"> draws the line between § 2-315 (particular purpose) and § 2-314 (ordinary purpose).</w:t>
            </w:r>
          </w:p>
        </w:tc>
      </w:tr>
    </w:tbl>
    <w:p>
      <w:pPr>
        <w:spacing w:after="0" w:line="120" w:lineRule="exact"/>
      </w:pPr>
      <w:r/>
    </w:p>
    <w:p>
      <w:pPr>
        <w:pStyle w:val="ListBullet"/>
      </w:pPr>
      <w:r>
        <w:rPr>
          <w:b/>
          <w:i w:val="0"/>
        </w:rPr>
        <w:t>No reliance</w:t>
      </w:r>
      <w:r>
        <w:rPr>
          <w:b w:val="0"/>
          <w:i w:val="0"/>
        </w:rPr>
        <w:t xml:space="preserve"> if buyer gives precise </w:t>
      </w:r>
      <w:r>
        <w:rPr>
          <w:b/>
          <w:i w:val="0"/>
        </w:rPr>
        <w:t>specifications</w:t>
      </w:r>
      <w:r>
        <w:rPr>
          <w:b w:val="0"/>
          <w:i w:val="0"/>
        </w:rPr>
        <w:t xml:space="preserve"> or insists on a </w:t>
      </w:r>
      <w:r>
        <w:rPr>
          <w:b/>
          <w:i w:val="0"/>
        </w:rPr>
        <w:t>brand</w:t>
      </w:r>
      <w:r>
        <w:rPr>
          <w:b w:val="0"/>
          <w:i w:val="0"/>
        </w:rPr>
        <w:t>.</w:t>
      </w:r>
    </w:p>
    <w:p>
      <w:pPr>
        <w:pStyle w:val="ListBullet"/>
      </w:pPr>
      <w:r>
        <w:rPr>
          <w:b/>
          <w:i w:val="0"/>
        </w:rPr>
        <w:t>Disclaiming fitness:</w:t>
      </w:r>
      <w:r>
        <w:rPr>
          <w:b w:val="0"/>
          <w:i w:val="0"/>
        </w:rPr>
        <w:t xml:space="preserve"> must be </w:t>
      </w:r>
      <w:r>
        <w:rPr>
          <w:b/>
          <w:i w:val="0"/>
        </w:rPr>
        <w:t>in writing and conspicuous</w:t>
      </w:r>
      <w:r>
        <w:rPr>
          <w:b w:val="0"/>
          <w:i w:val="0"/>
        </w:rPr>
        <w:t>; needn't mention "fitness" — e.g., "There are no warranties which extend beyond the description on the face hereof"; "</w:t>
      </w:r>
      <w:r>
        <w:rPr>
          <w:b/>
          <w:i w:val="0"/>
        </w:rPr>
        <w:t>as is</w:t>
      </w:r>
      <w:r>
        <w:rPr>
          <w:b w:val="0"/>
          <w:i w:val="0"/>
        </w:rPr>
        <w:t>" also works.</w:t>
      </w:r>
    </w:p>
    <w:p>
      <w:pPr>
        <w:keepNext/>
        <w:spacing w:before="120" w:after="40"/>
        <w:pBdr>
          <w:bottom w:val="single" w:sz="6" w:space="1" w:color="8EAADB"/>
        </w:pBdr>
      </w:pPr>
      <w:r>
        <w:rPr>
          <w:b/>
          <w:i w:val="0"/>
          <w:color w:val="1F3A5F"/>
          <w:sz w:val="25"/>
        </w:rPr>
        <w:t>Title and the power to transfer — § 2-312, § 2-403</w:t>
      </w:r>
    </w:p>
    <w:p>
      <w:pPr>
        <w:pStyle w:val="ListBullet"/>
      </w:pPr>
      <w:r>
        <w:rPr>
          <w:b/>
          <w:i w:val="0"/>
        </w:rPr>
        <w:t>Approach:</w:t>
      </w:r>
      <w:r>
        <w:rPr>
          <w:b w:val="0"/>
          <w:i w:val="0"/>
        </w:rPr>
        <w:t xml:space="preserve"> (1) what rights were </w:t>
      </w:r>
      <w:r>
        <w:rPr>
          <w:b/>
          <w:i w:val="0"/>
        </w:rPr>
        <w:t>purported</w:t>
      </w:r>
      <w:r>
        <w:rPr>
          <w:b w:val="0"/>
          <w:i w:val="0"/>
        </w:rPr>
        <w:t xml:space="preserve"> to be transferred (§ 2-403); (2) did buyer actually get </w:t>
      </w:r>
      <w:r>
        <w:rPr>
          <w:b/>
          <w:i w:val="0"/>
        </w:rPr>
        <w:t>good title</w:t>
      </w:r>
      <w:r>
        <w:rPr>
          <w:b w:val="0"/>
          <w:i w:val="0"/>
        </w:rPr>
        <w:t xml:space="preserve"> (§ 2-312)? (3) if not, </w:t>
      </w:r>
      <w:r>
        <w:rPr>
          <w:b/>
          <w:i w:val="0"/>
        </w:rPr>
        <w:t>breach</w:t>
      </w:r>
      <w:r>
        <w:rPr>
          <w:b w:val="0"/>
          <w:i w:val="0"/>
        </w:rPr>
        <w:t xml:space="preserve">. Most courts: a </w:t>
      </w:r>
      <w:r>
        <w:rPr>
          <w:b/>
          <w:i w:val="0"/>
        </w:rPr>
        <w:t>colorable third-party claim</w:t>
      </w:r>
      <w:r>
        <w:rPr>
          <w:b w:val="0"/>
          <w:i w:val="0"/>
        </w:rPr>
        <w:t xml:space="preserve"> breaches even if title proves good — buyer shouldn't have to </w:t>
      </w:r>
      <w:r>
        <w:rPr>
          <w:b/>
          <w:i w:val="0"/>
        </w:rPr>
        <w:t>litigate</w:t>
      </w:r>
      <w:r>
        <w:rPr>
          <w:b w:val="0"/>
          <w:i w:val="0"/>
        </w:rPr>
        <w:t xml:space="preserve"> to protect title (cmt. 1).</w:t>
      </w:r>
    </w:p>
    <w:p>
      <w:pPr>
        <w:pStyle w:val="ListBullet"/>
      </w:pPr>
      <w:r>
        <w:rPr>
          <w:b/>
          <w:i w:val="0"/>
        </w:rPr>
        <w:t>§ 2-403(1):</w:t>
      </w:r>
      <w:r>
        <w:rPr>
          <w:b w:val="0"/>
          <w:i w:val="0"/>
        </w:rPr>
        <w:t xml:space="preserve"> a purchaser gets the title its transferor </w:t>
      </w:r>
      <w:r>
        <w:rPr>
          <w:b/>
          <w:i w:val="0"/>
        </w:rPr>
        <w:t>had or had power to transfer</w:t>
      </w:r>
      <w:r>
        <w:rPr>
          <w:b w:val="0"/>
          <w:i w:val="0"/>
        </w:rPr>
        <w:t xml:space="preserve">; a buyer of a </w:t>
      </w:r>
      <w:r>
        <w:rPr>
          <w:b/>
          <w:i w:val="0"/>
        </w:rPr>
        <w:t>limited interest</w:t>
      </w:r>
      <w:r>
        <w:rPr>
          <w:b w:val="0"/>
          <w:i w:val="0"/>
        </w:rPr>
        <w:t xml:space="preserve"> gets only that. A transferor with </w:t>
      </w:r>
      <w:r>
        <w:rPr>
          <w:b/>
          <w:i w:val="0"/>
        </w:rPr>
        <w:t>voidable</w:t>
      </w:r>
      <w:r>
        <w:rPr>
          <w:b w:val="0"/>
          <w:i w:val="0"/>
        </w:rPr>
        <w:t xml:space="preserve"> title (fraud, </w:t>
      </w:r>
      <w:r>
        <w:rPr>
          <w:b/>
          <w:i w:val="0"/>
        </w:rPr>
        <w:t>dishonored check</w:t>
      </w:r>
      <w:r>
        <w:rPr>
          <w:b w:val="0"/>
          <w:i w:val="0"/>
        </w:rPr>
        <w:t xml:space="preserve">, identity deception, "cash sale," larcenous fraud) can pass </w:t>
      </w:r>
      <w:r>
        <w:rPr>
          <w:b/>
          <w:i w:val="0"/>
        </w:rPr>
        <w:t>good title to a good-faith purchaser for value</w:t>
      </w:r>
      <w:r>
        <w:rPr>
          <w:b w:val="0"/>
          <w:i w:val="0"/>
        </w:rPr>
        <w:t xml:space="preserve">. A </w:t>
      </w:r>
      <w:r>
        <w:rPr>
          <w:b/>
          <w:i w:val="0"/>
        </w:rPr>
        <w:t>thief</w:t>
      </w:r>
      <w:r>
        <w:rPr>
          <w:b w:val="0"/>
          <w:i w:val="0"/>
        </w:rPr>
        <w:t xml:space="preserve"> has </w:t>
      </w:r>
      <w:r>
        <w:rPr>
          <w:b/>
          <w:i w:val="0"/>
        </w:rPr>
        <w:t>void</w:t>
      </w:r>
      <w:r>
        <w:rPr>
          <w:b w:val="0"/>
          <w:i w:val="0"/>
        </w:rPr>
        <w:t xml:space="preserve"> title — passes nothing.</w:t>
      </w:r>
    </w:p>
    <w:p>
      <w:pPr>
        <w:pStyle w:val="ListBullet"/>
      </w:pPr>
      <w:r>
        <w:rPr>
          <w:b/>
          <w:i w:val="0"/>
        </w:rPr>
        <w:t>Entrustment § 2-403(2)–(3):</w:t>
      </w:r>
      <w:r>
        <w:rPr>
          <w:b w:val="0"/>
          <w:i w:val="0"/>
        </w:rPr>
        <w:t xml:space="preserve"> entrusting goods to a </w:t>
      </w:r>
      <w:r>
        <w:rPr>
          <w:b/>
          <w:i w:val="0"/>
        </w:rPr>
        <w:t>merchant who deals in goods of that kind</w:t>
      </w:r>
      <w:r>
        <w:rPr>
          <w:b w:val="0"/>
          <w:i w:val="0"/>
        </w:rPr>
        <w:t xml:space="preserve"> lets it pass </w:t>
      </w:r>
      <w:r>
        <w:rPr>
          <w:b/>
          <w:i w:val="0"/>
        </w:rPr>
        <w:t>all the entruster's rights</w:t>
      </w:r>
      <w:r>
        <w:rPr>
          <w:b w:val="0"/>
          <w:i w:val="0"/>
        </w:rPr>
        <w:t xml:space="preserve"> to a </w:t>
      </w:r>
      <w:r>
        <w:rPr>
          <w:b/>
          <w:i w:val="0"/>
        </w:rPr>
        <w:t>buyer in ordinary course</w:t>
      </w:r>
      <w:r>
        <w:rPr>
          <w:b w:val="0"/>
          <w:i w:val="0"/>
        </w:rPr>
        <w:t xml:space="preserve"> (jewelry left for repair, sold by the jeweler).</w:t>
      </w:r>
    </w:p>
    <w:p>
      <w:pPr>
        <w:pStyle w:val="ListBullet"/>
      </w:pPr>
      <w:r>
        <w:rPr>
          <w:b/>
          <w:i w:val="0"/>
        </w:rPr>
        <w:t>"Purchase"</w:t>
      </w:r>
      <w:r>
        <w:rPr>
          <w:b w:val="0"/>
          <w:i w:val="0"/>
        </w:rPr>
        <w:t xml:space="preserve"> includes sale, lease, pledge, security interest, </w:t>
      </w:r>
      <w:r>
        <w:rPr>
          <w:b/>
          <w:i w:val="0"/>
        </w:rPr>
        <w:t>gift</w:t>
      </w:r>
      <w:r>
        <w:rPr>
          <w:b w:val="0"/>
          <w:i w:val="0"/>
        </w:rPr>
        <w:t>, any voluntary transaction (§ 1-201(b)(29)).</w:t>
      </w:r>
    </w:p>
    <w:p>
      <w:pPr>
        <w:pStyle w:val="ListBullet"/>
      </w:pPr>
      <w:r>
        <w:rPr>
          <w:b/>
          <w:i w:val="0"/>
        </w:rPr>
        <w:t>Infringement claims:</w:t>
      </w:r>
      <w:r>
        <w:rPr>
          <w:b w:val="0"/>
          <w:i w:val="0"/>
        </w:rPr>
        <w:t xml:space="preserve"> the claim must cast a </w:t>
      </w:r>
      <w:r>
        <w:rPr>
          <w:b/>
          <w:i w:val="0"/>
        </w:rPr>
        <w:t>"substantial shadow"</w:t>
      </w:r>
      <w:r>
        <w:rPr>
          <w:b w:val="0"/>
          <w:i w:val="0"/>
        </w:rPr>
        <w:t xml:space="preserve"> on buyer's use; buyer </w:t>
      </w:r>
      <w:r>
        <w:rPr>
          <w:b/>
          <w:i w:val="0"/>
        </w:rPr>
        <w:t>need not prove the claim valid</w:t>
      </w:r>
      <w:r>
        <w:rPr>
          <w:b w:val="0"/>
          <w:i w:val="0"/>
        </w:rPr>
        <w:t xml:space="preserve"> — only that it's substantial and reasonably likely to bring litigation.</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VII. Quantity &amp; Price</w:t>
            </w:r>
            <w:r>
              <w:rPr>
                <w:b/>
                <w:color w:val="C9D9EE"/>
                <w:sz w:val="16"/>
              </w:rPr>
              <w:t xml:space="preserve">    WEEK 3</w:t>
            </w:r>
          </w:p>
        </w:tc>
      </w:tr>
    </w:tbl>
    <w:p>
      <w:pPr>
        <w:keepNext/>
        <w:spacing w:after="0" w:line="80" w:lineRule="exact"/>
      </w:pPr>
    </w:p>
    <w:p>
      <w:pPr>
        <w:keepNext/>
        <w:spacing w:before="120" w:after="40"/>
        <w:pBdr>
          <w:bottom w:val="single" w:sz="6" w:space="1" w:color="8EAADB"/>
        </w:pBdr>
      </w:pPr>
      <w:r>
        <w:rPr>
          <w:b/>
          <w:i w:val="0"/>
          <w:color w:val="1F3A5F"/>
          <w:sz w:val="25"/>
        </w:rPr>
        <w:t>Output &amp; requirements — § 2-306</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Quantity measured by output or requirements = </w:t>
            </w:r>
            <w:r>
              <w:rPr>
                <w:b/>
                <w:i w:val="0"/>
                <w:sz w:val="21"/>
              </w:rPr>
              <w:t>actual output/requirements occurring in good faith</w:t>
            </w:r>
            <w:r>
              <w:rPr>
                <w:b w:val="0"/>
                <w:i w:val="0"/>
                <w:sz w:val="21"/>
              </w:rPr>
              <w:t xml:space="preserve">, </w:t>
            </w:r>
            <w:r>
              <w:rPr>
                <w:b/>
                <w:i w:val="0"/>
                <w:sz w:val="21"/>
              </w:rPr>
              <w:t>except</w:t>
            </w:r>
            <w:r>
              <w:rPr>
                <w:b w:val="0"/>
                <w:i w:val="0"/>
                <w:sz w:val="21"/>
              </w:rPr>
              <w:t xml:space="preserve"> no quantity </w:t>
            </w:r>
            <w:r>
              <w:rPr>
                <w:b/>
                <w:i w:val="0"/>
                <w:sz w:val="21"/>
              </w:rPr>
              <w:t>unreasonably disproportionate</w:t>
            </w:r>
            <w:r>
              <w:rPr>
                <w:b w:val="0"/>
                <w:i w:val="0"/>
                <w:sz w:val="21"/>
              </w:rPr>
              <w:t xml:space="preserve"> to a </w:t>
            </w:r>
            <w:r>
              <w:rPr>
                <w:b/>
                <w:i w:val="0"/>
                <w:sz w:val="21"/>
              </w:rPr>
              <w:t>stated estimate</w:t>
            </w:r>
            <w:r>
              <w:rPr>
                <w:b w:val="0"/>
                <w:i w:val="0"/>
                <w:sz w:val="21"/>
              </w:rPr>
              <w:t xml:space="preserve"> (or, if none, to </w:t>
            </w:r>
            <w:r>
              <w:rPr>
                <w:b/>
                <w:i w:val="0"/>
                <w:sz w:val="21"/>
              </w:rPr>
              <w:t>normal or comparable prior</w:t>
            </w:r>
            <w:r>
              <w:rPr>
                <w:b w:val="0"/>
                <w:i w:val="0"/>
                <w:sz w:val="21"/>
              </w:rPr>
              <w:t xml:space="preserve"> output/requirements). </w:t>
            </w:r>
            <w:r>
              <w:rPr>
                <w:b/>
                <w:i w:val="0"/>
                <w:sz w:val="21"/>
              </w:rPr>
              <w:t>Exclusive dealing</w:t>
            </w:r>
            <w:r>
              <w:rPr>
                <w:b w:val="0"/>
                <w:i w:val="0"/>
                <w:sz w:val="21"/>
              </w:rPr>
              <w:t xml:space="preserve"> implies </w:t>
            </w:r>
            <w:r>
              <w:rPr>
                <w:b/>
                <w:i w:val="0"/>
                <w:sz w:val="21"/>
              </w:rPr>
              <w:t>best efforts</w:t>
            </w:r>
            <w:r>
              <w:rPr>
                <w:b w:val="0"/>
                <w:i w:val="0"/>
                <w:sz w:val="21"/>
              </w:rPr>
              <w:t xml:space="preserve"> by both sides.</w:t>
            </w:r>
          </w:p>
        </w:tc>
      </w:tr>
    </w:tbl>
    <w:p>
      <w:pPr>
        <w:spacing w:after="0" w:line="100" w:lineRule="exact"/>
      </w:pPr>
    </w:p>
    <w:p>
      <w:pPr>
        <w:pStyle w:val="ListBullet"/>
      </w:pPr>
      <w:r>
        <w:rPr>
          <w:b/>
          <w:i w:val="0"/>
        </w:rPr>
        <w:t>Not really a gap filler</w:t>
      </w:r>
      <w:r>
        <w:rPr>
          <w:b w:val="0"/>
          <w:i w:val="0"/>
        </w:rPr>
        <w:t xml:space="preserve"> — it interprets a quantity term the parties chose. Two limits: </w:t>
      </w:r>
      <w:r>
        <w:rPr>
          <w:b/>
          <w:i w:val="0"/>
        </w:rPr>
        <w:t>good faith</w:t>
      </w:r>
      <w:r>
        <w:rPr>
          <w:b w:val="0"/>
          <w:i w:val="0"/>
        </w:rPr>
        <w:t xml:space="preserve"> and </w:t>
      </w:r>
      <w:r>
        <w:rPr>
          <w:b/>
          <w:i w:val="0"/>
        </w:rPr>
        <w:t>not unreasonably disproportionate</w:t>
      </w:r>
      <w:r>
        <w:rPr>
          <w:b w:val="0"/>
          <w:i w:val="0"/>
        </w:rPr>
        <w:t xml:space="preserve"> (expectations of the parties; degree of risk).</w:t>
      </w:r>
    </w:p>
    <w:p>
      <w:pPr>
        <w:pStyle w:val="ListBullet"/>
      </w:pPr>
      <w:r>
        <w:rPr>
          <w:b w:val="0"/>
          <w:i w:val="0"/>
        </w:rPr>
        <w:t xml:space="preserve">A shutdown for </w:t>
      </w:r>
      <w:r>
        <w:rPr>
          <w:b/>
          <w:i w:val="0"/>
        </w:rPr>
        <w:t>lack of orders</w:t>
      </w:r>
      <w:r>
        <w:rPr>
          <w:b w:val="0"/>
          <w:i w:val="0"/>
        </w:rPr>
        <w:t xml:space="preserve"> can be good faith; one merely to </w:t>
      </w:r>
      <w:r>
        <w:rPr>
          <w:b/>
          <w:i w:val="0"/>
        </w:rPr>
        <w:t>curtail losses</w:t>
      </w:r>
      <w:r>
        <w:rPr>
          <w:b w:val="0"/>
          <w:i w:val="0"/>
        </w:rPr>
        <w:t xml:space="preserve"> isn't; </w:t>
      </w:r>
      <w:r>
        <w:rPr>
          <w:b/>
          <w:i w:val="0"/>
        </w:rPr>
        <w:t>sudden plant expansion</w:t>
      </w:r>
      <w:r>
        <w:rPr>
          <w:b w:val="0"/>
          <w:i w:val="0"/>
        </w:rPr>
        <w:t xml:space="preserve"> isn't covered; a </w:t>
      </w:r>
      <w:r>
        <w:rPr>
          <w:b/>
          <w:i w:val="0"/>
        </w:rPr>
        <w:t>market price far above the contract price</w:t>
      </w:r>
      <w:r>
        <w:rPr>
          <w:b w:val="0"/>
          <w:i w:val="0"/>
        </w:rPr>
        <w:t xml:space="preserve"> signals opportunism (cmt. 2). Decreases: some courts apply only good faith; others both tests.</w:t>
      </w:r>
    </w:p>
    <w:p>
      <w:pPr>
        <w:pStyle w:val="ListBullet"/>
      </w:pPr>
      <w:r>
        <w:rPr>
          <w:b/>
          <w:i w:val="0"/>
        </w:rPr>
        <w:t>Orange &amp; Rockland factors</w:t>
      </w:r>
      <w:r>
        <w:rPr>
          <w:b w:val="0"/>
          <w:i w:val="0"/>
        </w:rPr>
        <w:t xml:space="preserve"> (disproportion): size of excess over estimate · seller's ability to foresee it · market vs. contract price gap · whether the market rise was fortuitous · reason for the increase.</w:t>
      </w:r>
    </w:p>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6F4F7"/>
            <w:tcMar>
              <w:top w:w="70" w:type="dxa"/>
              <w:bottom w:w="70" w:type="dxa"/>
              <w:left w:w="140" w:type="dxa"/>
              <w:right w:w="120" w:type="dxa"/>
            </w:tcMar>
            <w:tcBorders>
              <w:left w:val="single" w:sz="30" w:space="0" w:color="0E7490"/>
            </w:tcBorders>
          </w:tcPr>
          <w:p>
            <w:pPr>
              <w:spacing w:after="30" w:line="240" w:lineRule="auto"/>
            </w:pPr>
            <w:r>
              <w:rPr>
                <w:b/>
                <w:color w:val="0E7490"/>
                <w:sz w:val="15"/>
              </w:rPr>
              <w:t xml:space="preserve">NOTE CASE   </w:t>
            </w:r>
            <w:r>
              <w:rPr>
                <w:b/>
                <w:i w:val="0"/>
                <w:sz w:val="21"/>
              </w:rPr>
              <w:t xml:space="preserve">Orange &amp; Rockland Utils. v. Amerada Hess (N.Y. App. Div. 1977) — § 2-306 "unreasonably disproportionate"</w:t>
            </w:r>
          </w:p>
          <w:p>
            <w:pPr>
              <w:spacing w:after="30" w:line="240" w:lineRule="auto"/>
            </w:pPr>
            <w:r>
              <w:rPr>
                <w:b/>
                <w:i w:val="0"/>
                <w:color w:val="595959"/>
                <w:sz w:val="18"/>
              </w:rPr>
              <w:t xml:space="preserve">Source:</w:t>
            </w:r>
            <w:r>
              <w:rPr>
                <w:b w:val="0"/>
                <w:i w:val="0"/>
                <w:color w:val="595959"/>
                <w:sz w:val="18"/>
              </w:rPr>
              <w:t xml:space="preserve"> note case — the casebook quotes the factors and summarizes the result, pp. 151–152. Not on the slides.</w:t>
            </w:r>
          </w:p>
          <w:p>
            <w:pPr>
              <w:spacing w:after="30" w:line="240" w:lineRule="auto"/>
            </w:pPr>
            <w:r>
              <w:rPr>
                <w:b/>
                <w:i w:val="0"/>
                <w:sz w:val="21"/>
              </w:rPr>
              <w:t xml:space="preserve">Facts (casebook):</w:t>
            </w:r>
            <w:r>
              <w:rPr>
                <w:b w:val="0"/>
                <w:i w:val="0"/>
                <w:sz w:val="21"/>
              </w:rPr>
              <w:t xml:space="preserve"> a requirements contract for oil with stated </w:t>
            </w:r>
            <w:r>
              <w:rPr>
                <w:b/>
                <w:i w:val="0"/>
                <w:sz w:val="21"/>
              </w:rPr>
              <w:t xml:space="preserve">estimates</w:t>
            </w:r>
            <w:r>
              <w:rPr>
                <w:b w:val="0"/>
                <w:i w:val="0"/>
                <w:sz w:val="21"/>
              </w:rPr>
              <w:t xml:space="preserve">, which were based on the buyer's plans to </w:t>
            </w:r>
            <w:r>
              <w:rPr>
                <w:b/>
                <w:i w:val="0"/>
                <w:sz w:val="21"/>
              </w:rPr>
              <w:t xml:space="preserve">burn the oil to produce electricity for its customer base</w:t>
            </w:r>
            <w:r>
              <w:rPr>
                <w:b w:val="0"/>
                <w:i w:val="0"/>
                <w:sz w:val="21"/>
              </w:rPr>
              <w:t xml:space="preserve">. The buyer then </w:t>
            </w:r>
            <w:r>
              <w:rPr>
                <w:b/>
                <w:i w:val="0"/>
                <w:sz w:val="21"/>
              </w:rPr>
              <w:t xml:space="preserve">doubled</w:t>
            </w:r>
            <w:r>
              <w:rPr>
                <w:b w:val="0"/>
                <w:i w:val="0"/>
                <w:sz w:val="21"/>
              </w:rPr>
              <w:t xml:space="preserve"> its "requirements," seeking the extra oil </w:t>
            </w:r>
            <w:r>
              <w:rPr>
                <w:b/>
                <w:i w:val="0"/>
                <w:sz w:val="21"/>
              </w:rPr>
              <w:t xml:space="preserve">in order to sell the additional quantity in the market</w:t>
            </w:r>
            <w:r>
              <w:rPr>
                <w:b w:val="0"/>
                <w:i w:val="0"/>
                <w:sz w:val="21"/>
              </w:rPr>
              <w:t xml:space="preserve">. </w:t>
            </w:r>
            <w:r>
              <w:rPr>
                <w:b w:val="0"/>
                <w:i/>
                <w:color w:val="64748B"/>
                <w:sz w:val="21"/>
              </w:rPr>
              <w:t xml:space="preserve">Outside class materials: the contract price was fixed, oil's market price had risen far above it, and Hess refused to supply the excess.</w:t>
            </w:r>
          </w:p>
          <w:p>
            <w:pPr>
              <w:spacing w:after="30" w:line="240" w:lineRule="auto"/>
            </w:pPr>
            <w:r>
              <w:rPr>
                <w:b/>
                <w:i w:val="0"/>
                <w:sz w:val="21"/>
              </w:rPr>
              <w:t xml:space="preserve">Held:</w:t>
            </w:r>
            <w:r>
              <w:rPr>
                <w:b w:val="0"/>
                <w:i w:val="0"/>
                <w:sz w:val="21"/>
              </w:rPr>
              <w:t xml:space="preserve"> "Unreasonably disproportionate" is a limit </w:t>
            </w:r>
            <w:r>
              <w:rPr>
                <w:b/>
                <w:i w:val="0"/>
                <w:sz w:val="21"/>
              </w:rPr>
              <w:t xml:space="preserve">separate from good faith</w:t>
            </w:r>
            <w:r>
              <w:rPr>
                <w:b w:val="0"/>
                <w:i w:val="0"/>
                <w:sz w:val="21"/>
              </w:rPr>
              <w:t xml:space="preserve"> (it applies "even where one party acts with complete good faith"), judged by the parties' expectations using the five factors above. The doubling was unreasonably disproportionate.</w:t>
            </w:r>
          </w:p>
          <w:p>
            <w:pPr>
              <w:spacing w:after="0" w:line="240" w:lineRule="auto"/>
            </w:pPr>
            <w:r>
              <w:rPr>
                <w:b/>
                <w:i w:val="0"/>
                <w:sz w:val="21"/>
              </w:rPr>
              <w:t xml:space="preserve">Why it matters:</w:t>
            </w:r>
            <w:r>
              <w:rPr>
                <w:b w:val="0"/>
                <w:i w:val="0"/>
                <w:sz w:val="21"/>
              </w:rPr>
              <w:t xml:space="preserve"> a requirements buyer can't use the contract to speculate on the market. Cf. Problem 4-1(B) (buyer jumps to plant capacity when the market rises to $1.15).</w:t>
            </w:r>
          </w:p>
        </w:tc>
      </w:tr>
    </w:tbl>
    <w:p>
      <w:pPr>
        <w:spacing w:after="0" w:line="120" w:lineRule="exact"/>
      </w:pPr>
      <w:r/>
    </w:p>
    <w:p>
      <w:pPr>
        <w:pStyle w:val="ListBullet"/>
      </w:pPr>
      <w:r>
        <w:rPr>
          <w:b/>
          <w:i w:val="0"/>
        </w:rPr>
        <w:t>Problem 4-1:</w:t>
      </w:r>
      <w:r>
        <w:rPr>
          <w:b w:val="0"/>
          <w:i w:val="0"/>
        </w:rPr>
        <w:t xml:space="preserve"> </w:t>
      </w:r>
      <w:r>
        <w:rPr>
          <w:b/>
          <w:i w:val="0"/>
        </w:rPr>
        <w:t>(a)</w:t>
      </w:r>
      <w:r>
        <w:rPr>
          <w:b w:val="0"/>
          <w:i w:val="0"/>
        </w:rPr>
        <w:t xml:space="preserve"> fixed 50,000 sq ft/yr → buyer </w:t>
      </w:r>
      <w:r>
        <w:rPr>
          <w:b/>
          <w:i w:val="0"/>
        </w:rPr>
        <w:t>can't cut to 20,000</w:t>
      </w:r>
      <w:r>
        <w:rPr>
          <w:b w:val="0"/>
          <w:i w:val="0"/>
        </w:rPr>
        <w:t xml:space="preserve"> without seller's assent (fixed quantity; demand risk is buyer's). </w:t>
      </w:r>
      <w:r>
        <w:rPr>
          <w:b/>
          <w:i w:val="0"/>
        </w:rPr>
        <w:t>(b)</w:t>
      </w:r>
      <w:r>
        <w:rPr>
          <w:b w:val="0"/>
          <w:i w:val="0"/>
        </w:rPr>
        <w:t xml:space="preserve"> "requirements," no estimate: 25,000 → 32,500 → 35,000 → </w:t>
      </w:r>
      <w:r>
        <w:rPr>
          <w:b/>
          <w:i w:val="0"/>
        </w:rPr>
        <w:t>60,000</w:t>
      </w:r>
      <w:r>
        <w:rPr>
          <w:b w:val="0"/>
          <w:i w:val="0"/>
        </w:rPr>
        <w:t xml:space="preserve"> (plant capacity) when market rose to </w:t>
      </w:r>
      <w:r>
        <w:rPr>
          <w:b/>
          <w:i w:val="0"/>
        </w:rPr>
        <w:t>$1.15</w:t>
      </w:r>
      <w:r>
        <w:rPr>
          <w:b w:val="0"/>
          <w:i w:val="0"/>
        </w:rPr>
        <w:t xml:space="preserve"> → seller can resist as </w:t>
      </w:r>
      <w:r>
        <w:rPr>
          <w:b/>
          <w:i w:val="0"/>
        </w:rPr>
        <w:t>disproportionate</w:t>
      </w:r>
      <w:r>
        <w:rPr>
          <w:b w:val="0"/>
          <w:i w:val="0"/>
        </w:rPr>
        <w:t xml:space="preserve"> and opportunistic. </w:t>
      </w:r>
      <w:r>
        <w:rPr>
          <w:b/>
          <w:i w:val="0"/>
        </w:rPr>
        <w:t>(c)</w:t>
      </w:r>
      <w:r>
        <w:rPr>
          <w:b w:val="0"/>
          <w:i w:val="0"/>
        </w:rPr>
        <w:t xml:space="preserve"> drop to 5,000 in a recession at 90¢ market → seller argues disproportion and buying elsewhere; a genuine lack of orders may be good faith.</w:t>
      </w:r>
    </w:p>
    <w:p>
      <w:pPr>
        <w:pStyle w:val="ListBullet"/>
      </w:pPr>
      <w:r>
        <w:rPr>
          <w:b/>
          <w:i w:val="0"/>
        </w:rPr>
        <w:t>Problem 4-2</w:t>
      </w:r>
      <w:r>
        <w:rPr>
          <w:b w:val="0"/>
          <w:i w:val="0"/>
        </w:rPr>
        <w:t xml:space="preserve"> (90,000, then 100,000): </w:t>
      </w:r>
      <w:r>
        <w:rPr>
          <w:b/>
          <w:i w:val="0"/>
        </w:rPr>
        <w:t>good faith but disproportionate</w:t>
      </w:r>
      <w:r>
        <w:rPr>
          <w:b w:val="0"/>
          <w:i w:val="0"/>
        </w:rPr>
        <w:t xml:space="preserve"> — buyer honestly lands a huge new customer and needs 400,000. </w:t>
      </w:r>
      <w:r>
        <w:rPr>
          <w:b/>
          <w:i w:val="0"/>
        </w:rPr>
        <w:t>Proportionate but bad faith</w:t>
      </w:r>
      <w:r>
        <w:rPr>
          <w:b w:val="0"/>
          <w:i w:val="0"/>
        </w:rPr>
        <w:t xml:space="preserve"> — buyer orders a normal 110,000 to </w:t>
      </w:r>
      <w:r>
        <w:rPr>
          <w:b/>
          <w:i w:val="0"/>
        </w:rPr>
        <w:t>resell</w:t>
      </w:r>
      <w:r>
        <w:rPr>
          <w:b w:val="0"/>
          <w:i w:val="0"/>
        </w:rPr>
        <w:t xml:space="preserve"> at a higher market price, or 85,000 because it's secretly buying cheaper elsewhere.</w:t>
      </w:r>
    </w:p>
    <w:p>
      <w:pPr>
        <w:keepNext/>
        <w:spacing w:before="120" w:after="40"/>
        <w:pBdr>
          <w:bottom w:val="single" w:sz="6" w:space="1" w:color="8EAADB"/>
        </w:pBdr>
      </w:pPr>
      <w:r>
        <w:rPr>
          <w:b/>
          <w:i w:val="0"/>
          <w:color w:val="1F3A5F"/>
          <w:sz w:val="25"/>
        </w:rPr>
        <w:t>Open price — § 2-305</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If the parties </w:t>
            </w:r>
            <w:r>
              <w:rPr>
                <w:b/>
                <w:i w:val="0"/>
                <w:sz w:val="21"/>
              </w:rPr>
              <w:t>intend</w:t>
            </w:r>
            <w:r>
              <w:rPr>
                <w:b w:val="0"/>
                <w:i w:val="0"/>
                <w:sz w:val="21"/>
              </w:rPr>
              <w:t xml:space="preserve"> to contract without a settled price, the price is a </w:t>
            </w:r>
            <w:r>
              <w:rPr>
                <w:b/>
                <w:i w:val="0"/>
                <w:sz w:val="21"/>
              </w:rPr>
              <w:t>reasonable price at the time for delivery</w:t>
            </w:r>
            <w:r>
              <w:rPr>
                <w:b w:val="0"/>
                <w:i w:val="0"/>
                <w:sz w:val="21"/>
              </w:rPr>
              <w:t xml:space="preserve"> when (a) </w:t>
            </w:r>
            <w:r>
              <w:rPr>
                <w:b/>
                <w:i w:val="0"/>
                <w:sz w:val="21"/>
              </w:rPr>
              <w:t>nothing is said</w:t>
            </w:r>
            <w:r>
              <w:rPr>
                <w:b w:val="0"/>
                <w:i w:val="0"/>
                <w:sz w:val="21"/>
              </w:rPr>
              <w:t xml:space="preserve">, (b) it's </w:t>
            </w:r>
            <w:r>
              <w:rPr>
                <w:b/>
                <w:i w:val="0"/>
                <w:sz w:val="21"/>
              </w:rPr>
              <w:t>left to be agreed and they fail to agree</w:t>
            </w:r>
            <w:r>
              <w:rPr>
                <w:b w:val="0"/>
                <w:i w:val="0"/>
                <w:sz w:val="21"/>
              </w:rPr>
              <w:t xml:space="preserve">, or (c) an agreed </w:t>
            </w:r>
            <w:r>
              <w:rPr>
                <w:b/>
                <w:i w:val="0"/>
                <w:sz w:val="21"/>
              </w:rPr>
              <w:t>market/third-party standard isn't set</w:t>
            </w:r>
            <w:r>
              <w:rPr>
                <w:b w:val="0"/>
                <w:i w:val="0"/>
                <w:sz w:val="21"/>
              </w:rPr>
              <w:t xml:space="preserve">. </w:t>
            </w:r>
            <w:r>
              <w:rPr>
                <w:b/>
                <w:i w:val="0"/>
                <w:sz w:val="21"/>
              </w:rPr>
              <w:t>(2)</w:t>
            </w:r>
            <w:r>
              <w:rPr>
                <w:b w:val="0"/>
                <w:i w:val="0"/>
                <w:sz w:val="21"/>
              </w:rPr>
              <w:t xml:space="preserve"> A price set </w:t>
            </w:r>
            <w:r>
              <w:rPr>
                <w:b/>
                <w:i w:val="0"/>
                <w:sz w:val="21"/>
              </w:rPr>
              <w:t>by one party</w:t>
            </w:r>
            <w:r>
              <w:rPr>
                <w:b w:val="0"/>
                <w:i w:val="0"/>
                <w:sz w:val="21"/>
              </w:rPr>
              <w:t xml:space="preserve"> must be set </w:t>
            </w:r>
            <w:r>
              <w:rPr>
                <w:b/>
                <w:i w:val="0"/>
                <w:sz w:val="21"/>
              </w:rPr>
              <w:t>in good faith</w:t>
            </w:r>
            <w:r>
              <w:rPr>
                <w:b w:val="0"/>
                <w:i w:val="0"/>
                <w:sz w:val="21"/>
              </w:rPr>
              <w:t xml:space="preserve">. </w:t>
            </w:r>
            <w:r>
              <w:rPr>
                <w:b/>
                <w:i w:val="0"/>
                <w:sz w:val="21"/>
              </w:rPr>
              <w:t>(3)</w:t>
            </w:r>
            <w:r>
              <w:rPr>
                <w:b w:val="0"/>
                <w:i w:val="0"/>
                <w:sz w:val="21"/>
              </w:rPr>
              <w:t xml:space="preserve"> If the price fails to be fixed </w:t>
            </w:r>
            <w:r>
              <w:rPr>
                <w:b/>
                <w:i w:val="0"/>
                <w:sz w:val="21"/>
              </w:rPr>
              <w:t>through one party's fault</w:t>
            </w:r>
            <w:r>
              <w:rPr>
                <w:b w:val="0"/>
                <w:i w:val="0"/>
                <w:sz w:val="21"/>
              </w:rPr>
              <w:t xml:space="preserve">, the other may </w:t>
            </w:r>
            <w:r>
              <w:rPr>
                <w:b/>
                <w:i w:val="0"/>
                <w:sz w:val="21"/>
              </w:rPr>
              <w:t>cancel or fix a reasonable price</w:t>
            </w:r>
            <w:r>
              <w:rPr>
                <w:b w:val="0"/>
                <w:i w:val="0"/>
                <w:sz w:val="21"/>
              </w:rPr>
              <w:t xml:space="preserve">. </w:t>
            </w:r>
            <w:r>
              <w:rPr>
                <w:b/>
                <w:i w:val="0"/>
                <w:sz w:val="21"/>
              </w:rPr>
              <w:t>(4)</w:t>
            </w:r>
            <w:r>
              <w:rPr>
                <w:b w:val="0"/>
                <w:i w:val="0"/>
                <w:sz w:val="21"/>
              </w:rPr>
              <w:t xml:space="preserve"> If they intended </w:t>
            </w:r>
            <w:r>
              <w:rPr>
                <w:b/>
                <w:i w:val="0"/>
                <w:sz w:val="21"/>
              </w:rPr>
              <w:t>not to be bound</w:t>
            </w:r>
            <w:r>
              <w:rPr>
                <w:b w:val="0"/>
                <w:i w:val="0"/>
                <w:sz w:val="21"/>
              </w:rPr>
              <w:t xml:space="preserve"> without agreement on price → </w:t>
            </w:r>
            <w:r>
              <w:rPr>
                <w:b/>
                <w:i w:val="0"/>
                <w:sz w:val="21"/>
              </w:rPr>
              <w:t>no contract</w:t>
            </w:r>
            <w:r>
              <w:rPr>
                <w:b w:val="0"/>
                <w:i w:val="0"/>
                <w:sz w:val="21"/>
              </w:rPr>
              <w:t xml:space="preserve"> (return goods/payments).</w:t>
            </w:r>
          </w:p>
        </w:tc>
      </w:tr>
    </w:tbl>
    <w:p>
      <w:pPr>
        <w:spacing w:after="0" w:line="100" w:lineRule="exact"/>
      </w:pPr>
    </w:p>
    <w:p>
      <w:pPr>
        <w:pStyle w:val="ListBullet"/>
      </w:pPr>
      <w:r>
        <w:rPr>
          <w:b/>
          <w:i w:val="0"/>
        </w:rPr>
        <w:t>Cmt. 3 safe harbor:</w:t>
      </w:r>
      <w:r>
        <w:rPr>
          <w:b w:val="0"/>
          <w:i w:val="0"/>
        </w:rPr>
        <w:t xml:space="preserve"> in the "</w:t>
      </w:r>
      <w:r>
        <w:rPr>
          <w:b/>
          <w:i w:val="0"/>
        </w:rPr>
        <w:t>normal case</w:t>
      </w:r>
      <w:r>
        <w:rPr>
          <w:b w:val="0"/>
          <w:i w:val="0"/>
        </w:rPr>
        <w:t xml:space="preserve">," a </w:t>
      </w:r>
      <w:r>
        <w:rPr>
          <w:b/>
          <w:i w:val="0"/>
        </w:rPr>
        <w:t>posted/market price</w:t>
      </w:r>
      <w:r>
        <w:rPr>
          <w:b w:val="0"/>
          <w:i w:val="0"/>
        </w:rPr>
        <w:t xml:space="preserve"> satisfies good faith.</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6F4F7"/>
            <w:tcMar>
              <w:top w:w="70" w:type="dxa"/>
              <w:bottom w:w="70" w:type="dxa"/>
              <w:left w:w="140" w:type="dxa"/>
              <w:right w:w="120" w:type="dxa"/>
            </w:tcMar>
            <w:tcBorders>
              <w:left w:val="single" w:sz="30" w:space="0" w:color="0E7490"/>
            </w:tcBorders>
          </w:tcPr>
          <w:p>
            <w:pPr>
              <w:spacing w:after="30" w:line="240" w:lineRule="auto"/>
            </w:pPr>
            <w:r>
              <w:rPr>
                <w:b/>
                <w:color w:val="0E7490"/>
                <w:sz w:val="15"/>
              </w:rPr>
              <w:t xml:space="preserve">NOTE CASE ★   </w:t>
            </w:r>
            <w:r>
              <w:rPr>
                <w:b/>
                <w:i w:val="0"/>
                <w:sz w:val="21"/>
              </w:rPr>
              <w:t xml:space="preserve">Mathis v. Exxon Corp. (5th Cir. 2002) — price set by one party, § 2-305(2)</w:t>
            </w:r>
          </w:p>
          <w:p>
            <w:pPr>
              <w:spacing w:after="30" w:line="240" w:lineRule="auto"/>
            </w:pPr>
            <w:r>
              <w:rPr>
                <w:b/>
                <w:i w:val="0"/>
                <w:color w:val="595959"/>
                <w:sz w:val="18"/>
              </w:rPr>
              <w:t xml:space="preserve">Source:</w:t>
            </w:r>
            <w:r>
              <w:rPr>
                <w:b w:val="0"/>
                <w:i w:val="0"/>
                <w:color w:val="595959"/>
                <w:sz w:val="18"/>
              </w:rPr>
              <w:t xml:space="preserve"> note case — the casebook summarizes it and quotes the opinion, pp. 154–157 (Autry/HRN excerpt pp. 156–158). Slides W3-S44 and S45 — treat it like a main case.</w:t>
            </w:r>
          </w:p>
          <w:p>
            <w:pPr>
              <w:spacing w:after="30" w:line="240" w:lineRule="auto"/>
            </w:pPr>
            <w:r>
              <w:rPr>
                <w:b/>
                <w:i w:val="0"/>
                <w:sz w:val="21"/>
              </w:rPr>
              <w:t xml:space="preserve">Facts:</w:t>
            </w:r>
            <w:r>
              <w:rPr>
                <w:b w:val="0"/>
                <w:i w:val="0"/>
                <w:sz w:val="21"/>
              </w:rPr>
              <w:t xml:space="preserve"> Exxon franchise dealers had to buy a minimum amount of gas each month at a price </w:t>
            </w:r>
            <w:r>
              <w:rPr>
                <w:b/>
                <w:i w:val="0"/>
                <w:sz w:val="21"/>
              </w:rPr>
              <w:t xml:space="preserve">Exxon set</w:t>
            </w:r>
            <w:r>
              <w:rPr>
                <w:b w:val="0"/>
                <w:i w:val="0"/>
                <w:sz w:val="21"/>
              </w:rPr>
              <w:t xml:space="preserve"> (the "dealer tank wagon" price). The dealers claimed Exxon set that price to </w:t>
            </w:r>
            <w:r>
              <w:rPr>
                <w:b/>
                <w:i w:val="0"/>
                <w:sz w:val="21"/>
              </w:rPr>
              <w:t xml:space="preserve">squeeze them out</w:t>
            </w:r>
            <w:r>
              <w:rPr>
                <w:b w:val="0"/>
                <w:i w:val="0"/>
                <w:sz w:val="21"/>
              </w:rPr>
              <w:t xml:space="preserve"> so it could replace them with company-run stations. Their evidence: Exxon planned to convert stations to company stores; the price exceeded the wholesale (rack) price plus delivery; after 1994 Exxon barred dealers from buying cheaper gas from jobbers; and many dealers became unprofitable. Exxon replied that its price was within the range competitors charged.</w:t>
            </w:r>
          </w:p>
          <w:p>
            <w:pPr>
              <w:spacing w:after="30" w:line="240" w:lineRule="auto"/>
            </w:pPr>
            <w:r>
              <w:rPr>
                <w:b/>
                <w:i w:val="0"/>
                <w:sz w:val="21"/>
              </w:rPr>
              <w:t xml:space="preserve">Held:</w:t>
            </w:r>
            <w:r>
              <w:rPr>
                <w:b w:val="0"/>
                <w:i w:val="0"/>
                <w:sz w:val="21"/>
              </w:rPr>
              <w:t xml:space="preserve"> The jury's bad-faith finding was upheld. Good faith under § 2-305(2) has both a </w:t>
            </w:r>
            <w:r>
              <w:rPr>
                <w:b/>
                <w:i w:val="0"/>
                <w:sz w:val="21"/>
              </w:rPr>
              <w:t xml:space="preserve">subjective</w:t>
            </w:r>
            <w:r>
              <w:rPr>
                <w:b w:val="0"/>
                <w:i w:val="0"/>
                <w:sz w:val="21"/>
              </w:rPr>
              <w:t xml:space="preserve"> and an </w:t>
            </w:r>
            <w:r>
              <w:rPr>
                <w:b/>
                <w:i w:val="0"/>
                <w:sz w:val="21"/>
              </w:rPr>
              <w:t xml:space="preserve">objective</w:t>
            </w:r>
            <w:r>
              <w:rPr>
                <w:b w:val="0"/>
                <w:i w:val="0"/>
                <w:sz w:val="21"/>
              </w:rPr>
              <w:t xml:space="preserve"> part. Comment 3's posted-price safe harbor covers only the "</w:t>
            </w:r>
            <w:r>
              <w:rPr>
                <w:b/>
                <w:i w:val="0"/>
                <w:sz w:val="21"/>
              </w:rPr>
              <w:t xml:space="preserve">normal case</w:t>
            </w:r>
            <w:r>
              <w:rPr>
                <w:b w:val="0"/>
                <w:i w:val="0"/>
                <w:sz w:val="21"/>
              </w:rPr>
              <w:t xml:space="preserve">," and an intent to drive the buyer out of business takes the case outside it — even when the price is in the competitive range.</w:t>
            </w:r>
          </w:p>
          <w:p>
            <w:pPr>
              <w:spacing w:after="0" w:line="240" w:lineRule="auto"/>
            </w:pPr>
            <w:r>
              <w:rPr>
                <w:b/>
                <w:i w:val="0"/>
                <w:sz w:val="21"/>
              </w:rPr>
              <w:t xml:space="preserve">Why it matters / split:</w:t>
            </w:r>
            <w:r>
              <w:rPr>
                <w:b w:val="0"/>
                <w:i w:val="0"/>
                <w:sz w:val="21"/>
              </w:rPr>
              <w:t xml:space="preserve"> shows how good faith limits a price-setter's discretion. The </w:t>
            </w:r>
            <w:r>
              <w:rPr>
                <w:b/>
                <w:i w:val="0"/>
                <w:sz w:val="21"/>
              </w:rPr>
              <w:t xml:space="preserve">majority rejects Mathis</w:t>
            </w:r>
            <w:r>
              <w:rPr>
                <w:b w:val="0"/>
                <w:i w:val="0"/>
                <w:sz w:val="21"/>
              </w:rPr>
              <w:t xml:space="preserve"> — Shell v. HRN (Tex. 2004) and Autry v. BP (11th Cir. 2009) hold that a commercially reasonable, non-discriminatory price is in good faith regardless of motive, for the sake of certainty.</w:t>
            </w:r>
          </w:p>
        </w:tc>
      </w:tr>
    </w:tbl>
    <w:p>
      <w:pPr>
        <w:spacing w:after="0" w:line="10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5238"/>
        <w:gridCol w:w="5273"/>
      </w:tblGrid>
      <w:tr>
        <w:trPr>
          <w:tblHeader w:val="true"/>
        </w:trPr>
        <w:tc>
          <w:tcPr>
            <w:tcW w:type="dxa" w:w="5239"/>
            <w:shd w:val="clear" w:color="auto" w:fill="1F3A5F"/>
            <w:tcMar>
              <w:top w:w="40" w:type="dxa"/>
              <w:bottom w:w="40" w:type="dxa"/>
              <w:left w:w="80" w:type="dxa"/>
              <w:right w:w="80" w:type="dxa"/>
            </w:tcMar>
          </w:tcPr>
          <w:p>
            <w:pPr>
              <w:spacing w:after="0"/>
            </w:pPr>
            <w:r>
              <w:rPr>
                <w:b/>
                <w:i w:val="0"/>
                <w:color w:val="FFFFFF"/>
                <w:sz w:val="20"/>
              </w:rPr>
              <w:t>Problem 4-3 (1,000 sacks; Feb. 1 market $7)</w:t>
            </w:r>
          </w:p>
        </w:tc>
        <w:tc>
          <w:tcPr>
            <w:tcW w:type="dxa" w:w="5273"/>
            <w:shd w:val="clear" w:color="auto" w:fill="1F3A5F"/>
            <w:tcMar>
              <w:top w:w="40" w:type="dxa"/>
              <w:bottom w:w="40" w:type="dxa"/>
              <w:left w:w="80" w:type="dxa"/>
              <w:right w:w="80" w:type="dxa"/>
            </w:tcMar>
          </w:tcPr>
          <w:p>
            <w:pPr>
              <w:spacing w:after="0"/>
            </w:pPr>
            <w:r>
              <w:rPr>
                <w:b/>
                <w:i w:val="0"/>
                <w:color w:val="FFFFFF"/>
                <w:sz w:val="20"/>
              </w:rPr>
              <w:t>Result</w:t>
            </w:r>
          </w:p>
        </w:tc>
      </w:tr>
      <w:tr>
        <w:trPr>
          <w:cantSplit w:val="true"/>
        </w:trPr>
        <w:tc>
          <w:tcPr>
            <w:tcW w:type="dxa" w:w="5239"/>
            <w:tcMar>
              <w:top w:w="30" w:type="dxa"/>
              <w:bottom w:w="30" w:type="dxa"/>
              <w:left w:w="80" w:type="dxa"/>
              <w:right w:w="80" w:type="dxa"/>
            </w:tcMar>
          </w:tcPr>
          <w:p>
            <w:pPr>
              <w:spacing w:after="0" w:line="240" w:lineRule="auto"/>
            </w:pPr>
            <w:r>
              <w:rPr>
                <w:b w:val="0"/>
                <w:i w:val="0"/>
                <w:sz w:val="20"/>
              </w:rPr>
              <w:t>(a) "To be agreed at delivery"; seller demands $15; market $12; buyer covers at $13</w:t>
            </w:r>
          </w:p>
        </w:tc>
        <w:tc>
          <w:tcPr>
            <w:tcW w:type="dxa" w:w="5273"/>
            <w:tcMar>
              <w:top w:w="30" w:type="dxa"/>
              <w:bottom w:w="30" w:type="dxa"/>
              <w:left w:w="80" w:type="dxa"/>
              <w:right w:w="80" w:type="dxa"/>
            </w:tcMar>
          </w:tcPr>
          <w:p>
            <w:pPr>
              <w:spacing w:after="0" w:line="240" w:lineRule="auto"/>
            </w:pPr>
            <w:r>
              <w:rPr>
                <w:b w:val="0"/>
                <w:i w:val="0"/>
                <w:sz w:val="20"/>
              </w:rPr>
              <w:t xml:space="preserve">Contract exists (intent to be bound) → </w:t>
            </w:r>
            <w:r>
              <w:rPr>
                <w:b/>
                <w:i w:val="0"/>
                <w:sz w:val="20"/>
              </w:rPr>
              <w:t>reasonable price ≈ $12</w:t>
            </w:r>
            <w:r>
              <w:rPr>
                <w:b w:val="0"/>
                <w:i w:val="0"/>
                <w:sz w:val="20"/>
              </w:rPr>
              <w:t xml:space="preserve"> → seller breached; buyer recovers cover difference</w:t>
            </w:r>
          </w:p>
        </w:tc>
      </w:tr>
      <w:tr>
        <w:trPr>
          <w:cantSplit w:val="true"/>
        </w:trPr>
        <w:tc>
          <w:tcPr>
            <w:tcW w:type="dxa" w:w="5239"/>
            <w:tcMar>
              <w:top w:w="30" w:type="dxa"/>
              <w:bottom w:w="30" w:type="dxa"/>
              <w:left w:w="80" w:type="dxa"/>
              <w:right w:w="80" w:type="dxa"/>
            </w:tcMar>
            <w:shd w:val="clear" w:color="auto" w:fill="F2F6FB"/>
          </w:tcPr>
          <w:p>
            <w:pPr>
              <w:spacing w:after="0" w:line="240" w:lineRule="auto"/>
            </w:pPr>
            <w:r>
              <w:rPr>
                <w:b w:val="0"/>
                <w:i w:val="0"/>
                <w:sz w:val="20"/>
              </w:rPr>
              <w:t>(b) "Chicago Board price on March 15"; board closed; Mar. 13 price $12; buyer buys at $11</w:t>
            </w:r>
          </w:p>
        </w:tc>
        <w:tc>
          <w:tcPr>
            <w:tcW w:type="dxa" w:w="5273"/>
            <w:tcMar>
              <w:top w:w="30" w:type="dxa"/>
              <w:bottom w:w="30" w:type="dxa"/>
              <w:left w:w="80" w:type="dxa"/>
              <w:right w:w="80" w:type="dxa"/>
            </w:tcMar>
            <w:shd w:val="clear" w:color="auto" w:fill="F2F6FB"/>
          </w:tcPr>
          <w:p>
            <w:pPr>
              <w:spacing w:after="0" w:line="240" w:lineRule="auto"/>
            </w:pPr>
            <w:r>
              <w:rPr>
                <w:b w:val="0"/>
                <w:i w:val="0"/>
                <w:sz w:val="20"/>
              </w:rPr>
              <w:t xml:space="preserve">Standard failed → </w:t>
            </w:r>
            <w:r>
              <w:rPr>
                <w:b/>
                <w:i w:val="0"/>
                <w:sz w:val="20"/>
              </w:rPr>
              <w:t>reasonable price</w:t>
            </w:r>
            <w:r>
              <w:rPr>
                <w:b w:val="0"/>
                <w:i w:val="0"/>
                <w:sz w:val="20"/>
              </w:rPr>
              <w:t xml:space="preserve"> (≈ $12) → contract exists; buyer's rejection likely a breach</w:t>
            </w:r>
          </w:p>
        </w:tc>
      </w:tr>
      <w:tr>
        <w:trPr>
          <w:cantSplit w:val="true"/>
        </w:trPr>
        <w:tc>
          <w:tcPr>
            <w:tcW w:type="dxa" w:w="5239"/>
            <w:tcMar>
              <w:top w:w="30" w:type="dxa"/>
              <w:bottom w:w="30" w:type="dxa"/>
              <w:left w:w="80" w:type="dxa"/>
              <w:right w:w="80" w:type="dxa"/>
            </w:tcMar>
          </w:tcPr>
          <w:p>
            <w:pPr>
              <w:spacing w:after="0" w:line="240" w:lineRule="auto"/>
            </w:pPr>
            <w:r>
              <w:rPr>
                <w:b w:val="0"/>
                <w:i w:val="0"/>
                <w:sz w:val="20"/>
              </w:rPr>
              <w:t>(c) "Set by a third party both agree on"; buyer refuses to name anyone; market $13</w:t>
            </w:r>
          </w:p>
        </w:tc>
        <w:tc>
          <w:tcPr>
            <w:tcW w:type="dxa" w:w="5273"/>
            <w:tcMar>
              <w:top w:w="30" w:type="dxa"/>
              <w:bottom w:w="30" w:type="dxa"/>
              <w:left w:w="80" w:type="dxa"/>
              <w:right w:w="80" w:type="dxa"/>
            </w:tcMar>
          </w:tcPr>
          <w:p>
            <w:pPr>
              <w:spacing w:after="0" w:line="240" w:lineRule="auto"/>
            </w:pPr>
            <w:r>
              <w:rPr>
                <w:b w:val="0"/>
                <w:i w:val="0"/>
                <w:sz w:val="20"/>
              </w:rPr>
              <w:t xml:space="preserve">Failure is </w:t>
            </w:r>
            <w:r>
              <w:rPr>
                <w:b/>
                <w:i w:val="0"/>
                <w:sz w:val="20"/>
              </w:rPr>
              <w:t>buyer's fault</w:t>
            </w:r>
            <w:r>
              <w:rPr>
                <w:b w:val="0"/>
                <w:i w:val="0"/>
                <w:sz w:val="20"/>
              </w:rPr>
              <w:t xml:space="preserve"> → seller may </w:t>
            </w:r>
            <w:r>
              <w:rPr>
                <w:b/>
                <w:i w:val="0"/>
                <w:sz w:val="20"/>
              </w:rPr>
              <w:t>cancel or fix a reasonable price</w:t>
            </w:r>
            <w:r>
              <w:rPr>
                <w:b w:val="0"/>
                <w:i w:val="0"/>
                <w:sz w:val="20"/>
              </w:rPr>
              <w:t xml:space="preserve"> (≈ $13) and sue</w:t>
            </w:r>
          </w:p>
        </w:tc>
      </w:tr>
    </w:tbl>
    <w:p>
      <w:pPr>
        <w:spacing w:after="0" w:line="12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VIII. Delivery, Inspection &amp; Payment</w:t>
            </w:r>
            <w:r>
              <w:rPr>
                <w:b/>
                <w:color w:val="C9D9EE"/>
                <w:sz w:val="16"/>
              </w:rPr>
              <w:t xml:space="preserve">    WEEKS 4–5</w:t>
            </w:r>
          </w:p>
        </w:tc>
      </w:tr>
    </w:tbl>
    <w:p>
      <w:pPr>
        <w:keepNext/>
        <w:spacing w:after="0" w:line="80" w:lineRule="exact"/>
      </w:pPr>
    </w:p>
    <w:p>
      <w:pPr>
        <w:keepNext/>
        <w:spacing w:before="120" w:after="40"/>
        <w:pBdr>
          <w:bottom w:val="single" w:sz="6" w:space="1" w:color="8EAADB"/>
        </w:pBdr>
      </w:pPr>
      <w:r>
        <w:rPr>
          <w:b/>
          <w:i w:val="0"/>
          <w:color w:val="1F3A5F"/>
          <w:sz w:val="25"/>
        </w:rPr>
        <w:t>The core obligations</w:t>
      </w:r>
    </w:p>
    <w:p>
      <w:pPr>
        <w:pStyle w:val="ListBullet"/>
      </w:pPr>
      <w:r>
        <w:rPr>
          <w:b/>
          <w:i w:val="0"/>
        </w:rPr>
        <w:t>§ 2-301:</w:t>
      </w:r>
      <w:r>
        <w:rPr>
          <w:b w:val="0"/>
          <w:i w:val="0"/>
        </w:rPr>
        <w:t xml:space="preserve"> seller must </w:t>
      </w:r>
      <w:r>
        <w:rPr>
          <w:b/>
          <w:i w:val="0"/>
        </w:rPr>
        <w:t>transfer and deliver</w:t>
      </w:r>
      <w:r>
        <w:rPr>
          <w:b w:val="0"/>
          <w:i w:val="0"/>
        </w:rPr>
        <w:t xml:space="preserve"> conforming goods; buyer must </w:t>
      </w:r>
      <w:r>
        <w:rPr>
          <w:b/>
          <w:i w:val="0"/>
        </w:rPr>
        <w:t>accept and pay</w:t>
      </w:r>
      <w:r>
        <w:rPr>
          <w:b w:val="0"/>
          <w:i w:val="0"/>
        </w:rPr>
        <w:t>.</w:t>
      </w:r>
    </w:p>
    <w:p>
      <w:pPr>
        <w:pStyle w:val="ListBullet"/>
      </w:pPr>
      <w:r>
        <w:rPr>
          <w:b/>
          <w:i w:val="0"/>
        </w:rPr>
        <w:t>§ 2-507(1):</w:t>
      </w:r>
      <w:r>
        <w:rPr>
          <w:b w:val="0"/>
          <w:i w:val="0"/>
        </w:rPr>
        <w:t xml:space="preserve"> seller's </w:t>
      </w:r>
      <w:r>
        <w:rPr>
          <w:b/>
          <w:i w:val="0"/>
        </w:rPr>
        <w:t>tender</w:t>
      </w:r>
      <w:r>
        <w:rPr>
          <w:b w:val="0"/>
          <w:i w:val="0"/>
        </w:rPr>
        <w:t xml:space="preserve"> is a </w:t>
      </w:r>
      <w:r>
        <w:rPr>
          <w:b/>
          <w:i w:val="0"/>
        </w:rPr>
        <w:t>condition</w:t>
      </w:r>
      <w:r>
        <w:rPr>
          <w:b w:val="0"/>
          <w:i w:val="0"/>
        </w:rPr>
        <w:t xml:space="preserve"> to buyer's duty to accept and (unless otherwise agreed) to pay. </w:t>
      </w:r>
      <w:r>
        <w:rPr>
          <w:b/>
          <w:i w:val="0"/>
        </w:rPr>
        <w:t>§ 2-507(2):</w:t>
      </w:r>
      <w:r>
        <w:rPr>
          <w:b w:val="0"/>
          <w:i w:val="0"/>
        </w:rPr>
        <w:t xml:space="preserve"> if payment is due on delivery, buyer's right to keep the goods is </w:t>
      </w:r>
      <w:r>
        <w:rPr>
          <w:b/>
          <w:i w:val="0"/>
        </w:rPr>
        <w:t>conditional on paying</w:t>
      </w:r>
      <w:r>
        <w:rPr>
          <w:b w:val="0"/>
          <w:i w:val="0"/>
        </w:rPr>
        <w:t>.</w:t>
      </w:r>
    </w:p>
    <w:p>
      <w:pPr>
        <w:pStyle w:val="ListBullet"/>
      </w:pPr>
      <w:r>
        <w:rPr>
          <w:b/>
          <w:i w:val="0"/>
        </w:rPr>
        <w:t>§ 2-511:</w:t>
      </w:r>
      <w:r>
        <w:rPr>
          <w:b w:val="0"/>
          <w:i w:val="0"/>
        </w:rPr>
        <w:t xml:space="preserve"> buyer's </w:t>
      </w:r>
      <w:r>
        <w:rPr>
          <w:b/>
          <w:i w:val="0"/>
        </w:rPr>
        <w:t>tender of payment</w:t>
      </w:r>
      <w:r>
        <w:rPr>
          <w:b w:val="0"/>
          <w:i w:val="0"/>
        </w:rPr>
        <w:t xml:space="preserve"> is a condition to seller's duty to deliver; any means </w:t>
      </w:r>
      <w:r>
        <w:rPr>
          <w:b/>
          <w:i w:val="0"/>
        </w:rPr>
        <w:t>current in the ordinary course</w:t>
      </w:r>
      <w:r>
        <w:rPr>
          <w:b w:val="0"/>
          <w:i w:val="0"/>
        </w:rPr>
        <w:t xml:space="preserve"> works unless seller demands </w:t>
      </w:r>
      <w:r>
        <w:rPr>
          <w:b/>
          <w:i w:val="0"/>
        </w:rPr>
        <w:t>legal tender</w:t>
      </w:r>
      <w:r>
        <w:rPr>
          <w:b w:val="0"/>
          <w:i w:val="0"/>
        </w:rPr>
        <w:t xml:space="preserve"> (and gives time to get it); </w:t>
      </w:r>
      <w:r>
        <w:rPr>
          <w:b/>
          <w:i w:val="0"/>
        </w:rPr>
        <w:t>check payment is conditional</w:t>
      </w:r>
      <w:r>
        <w:rPr>
          <w:b w:val="0"/>
          <w:i w:val="0"/>
        </w:rPr>
        <w:t xml:space="preserve"> — defeated by dishonor.</w:t>
      </w:r>
    </w:p>
    <w:p>
      <w:pPr>
        <w:pStyle w:val="ListBullet"/>
      </w:pPr>
      <w:r>
        <w:rPr>
          <w:b w:val="0"/>
          <w:i w:val="0"/>
        </w:rPr>
        <w:t xml:space="preserve">Tenders are </w:t>
      </w:r>
      <w:r>
        <w:rPr>
          <w:b/>
          <w:i w:val="0"/>
        </w:rPr>
        <w:t>concurrent conditions</w:t>
      </w:r>
      <w:r>
        <w:rPr>
          <w:b w:val="0"/>
          <w:i w:val="0"/>
        </w:rPr>
        <w:t xml:space="preserve"> unless otherwise agreed; problems assume </w:t>
      </w:r>
      <w:r>
        <w:rPr>
          <w:b/>
          <w:i w:val="0"/>
        </w:rPr>
        <w:t>seller tenders first</w:t>
      </w:r>
      <w:r>
        <w:rPr>
          <w:b w:val="0"/>
          <w:i w:val="0"/>
        </w:rPr>
        <w:t>.</w:t>
      </w:r>
    </w:p>
    <w:p>
      <w:pPr>
        <w:keepNext/>
        <w:spacing w:before="120" w:after="40"/>
        <w:pBdr>
          <w:bottom w:val="single" w:sz="6" w:space="1" w:color="8EAADB"/>
        </w:pBdr>
      </w:pPr>
      <w:r>
        <w:rPr>
          <w:b/>
          <w:i w:val="0"/>
          <w:color w:val="1F3A5F"/>
          <w:sz w:val="25"/>
        </w:rPr>
        <w:t>Seller's tender — § 2-503(1)</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Seller must </w:t>
            </w:r>
            <w:r>
              <w:rPr>
                <w:b/>
                <w:i w:val="0"/>
                <w:sz w:val="21"/>
              </w:rPr>
              <w:t>put and hold conforming goods at the buyer's disposition</w:t>
            </w:r>
            <w:r>
              <w:rPr>
                <w:b w:val="0"/>
                <w:i w:val="0"/>
                <w:sz w:val="21"/>
              </w:rPr>
              <w:t xml:space="preserve"> and give </w:t>
            </w:r>
            <w:r>
              <w:rPr>
                <w:b/>
                <w:i w:val="0"/>
                <w:sz w:val="21"/>
              </w:rPr>
              <w:t>any notice reasonably necessary</w:t>
            </w:r>
            <w:r>
              <w:rPr>
                <w:b w:val="0"/>
                <w:i w:val="0"/>
                <w:sz w:val="21"/>
              </w:rPr>
              <w:t xml:space="preserve"> for buyer to take delivery. Tender must be at a </w:t>
            </w:r>
            <w:r>
              <w:rPr>
                <w:b/>
                <w:i w:val="0"/>
                <w:sz w:val="21"/>
              </w:rPr>
              <w:t>reasonable hour</w:t>
            </w:r>
            <w:r>
              <w:rPr>
                <w:b w:val="0"/>
                <w:i w:val="0"/>
                <w:sz w:val="21"/>
              </w:rPr>
              <w:t xml:space="preserve">, and goods kept available for the </w:t>
            </w:r>
            <w:r>
              <w:rPr>
                <w:b/>
                <w:i w:val="0"/>
                <w:sz w:val="21"/>
              </w:rPr>
              <w:t>period reasonably necessary</w:t>
            </w:r>
            <w:r>
              <w:rPr>
                <w:b w:val="0"/>
                <w:i w:val="0"/>
                <w:sz w:val="21"/>
              </w:rPr>
              <w:t xml:space="preserve"> for buyer to take possession. </w:t>
            </w:r>
            <w:r>
              <w:rPr>
                <w:b/>
                <w:i w:val="0"/>
                <w:sz w:val="21"/>
              </w:rPr>
              <w:t>Buyer must furnish facilities reasonably suited</w:t>
            </w:r>
            <w:r>
              <w:rPr>
                <w:b w:val="0"/>
                <w:i w:val="0"/>
                <w:sz w:val="21"/>
              </w:rPr>
              <w:t xml:space="preserve"> to receiving the goods.</w:t>
            </w:r>
          </w:p>
        </w:tc>
      </w:tr>
    </w:tbl>
    <w:p>
      <w:pPr>
        <w:spacing w:after="0" w:line="10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8840"/>
        <w:gridCol w:w="1671"/>
      </w:tblGrid>
      <w:tr>
        <w:trPr>
          <w:tblHeader w:val="true"/>
        </w:trPr>
        <w:tc>
          <w:tcPr>
            <w:tcW w:type="dxa" w:w="8841"/>
            <w:shd w:val="clear" w:color="auto" w:fill="1F3A5F"/>
            <w:tcMar>
              <w:top w:w="40" w:type="dxa"/>
              <w:bottom w:w="40" w:type="dxa"/>
              <w:left w:w="80" w:type="dxa"/>
              <w:right w:w="80" w:type="dxa"/>
            </w:tcMar>
          </w:tcPr>
          <w:p>
            <w:pPr>
              <w:spacing w:after="0"/>
            </w:pPr>
            <w:r>
              <w:rPr>
                <w:b/>
                <w:i w:val="0"/>
                <w:color w:val="FFFFFF"/>
                <w:sz w:val="20"/>
              </w:rPr>
              <w:t>Default rule (unless otherwise agreed)</w:t>
            </w:r>
          </w:p>
        </w:tc>
        <w:tc>
          <w:tcPr>
            <w:tcW w:type="dxa" w:w="1671"/>
            <w:shd w:val="clear" w:color="auto" w:fill="1F3A5F"/>
            <w:tcMar>
              <w:top w:w="40" w:type="dxa"/>
              <w:bottom w:w="40" w:type="dxa"/>
              <w:left w:w="80" w:type="dxa"/>
              <w:right w:w="80" w:type="dxa"/>
            </w:tcMar>
          </w:tcPr>
          <w:p>
            <w:pPr>
              <w:spacing w:after="0"/>
            </w:pPr>
            <w:r>
              <w:rPr>
                <w:b/>
                <w:i w:val="0"/>
                <w:color w:val="FFFFFF"/>
                <w:sz w:val="20"/>
              </w:rPr>
              <w:t>Section</w:t>
            </w:r>
          </w:p>
        </w:tc>
      </w:tr>
      <w:tr>
        <w:trPr>
          <w:cantSplit w:val="true"/>
        </w:trPr>
        <w:tc>
          <w:tcPr>
            <w:tcW w:type="dxa" w:w="8841"/>
            <w:tcMar>
              <w:top w:w="30" w:type="dxa"/>
              <w:bottom w:w="30" w:type="dxa"/>
              <w:left w:w="80" w:type="dxa"/>
              <w:right w:w="80" w:type="dxa"/>
            </w:tcMar>
          </w:tcPr>
          <w:p>
            <w:pPr>
              <w:spacing w:after="0" w:line="240" w:lineRule="auto"/>
            </w:pPr>
            <w:r>
              <w:rPr>
                <w:b w:val="0"/>
                <w:i w:val="0"/>
                <w:sz w:val="20"/>
              </w:rPr>
              <w:t>"Conforming" = in accordance with the contract obligations</w:t>
            </w:r>
          </w:p>
        </w:tc>
        <w:tc>
          <w:tcPr>
            <w:tcW w:type="dxa" w:w="1671"/>
            <w:tcMar>
              <w:top w:w="30" w:type="dxa"/>
              <w:bottom w:w="30" w:type="dxa"/>
              <w:left w:w="80" w:type="dxa"/>
              <w:right w:w="80" w:type="dxa"/>
            </w:tcMar>
          </w:tcPr>
          <w:p>
            <w:pPr>
              <w:spacing w:after="0" w:line="240" w:lineRule="auto"/>
            </w:pPr>
            <w:r>
              <w:rPr>
                <w:b w:val="0"/>
                <w:i w:val="0"/>
                <w:sz w:val="20"/>
              </w:rPr>
              <w:t>§ 2-106(2)</w:t>
            </w:r>
          </w:p>
        </w:tc>
      </w:tr>
      <w:tr>
        <w:trPr>
          <w:cantSplit w:val="true"/>
        </w:trPr>
        <w:tc>
          <w:tcPr>
            <w:tcW w:type="dxa" w:w="8841"/>
            <w:tcMar>
              <w:top w:w="30" w:type="dxa"/>
              <w:bottom w:w="30" w:type="dxa"/>
              <w:left w:w="80" w:type="dxa"/>
              <w:right w:w="80" w:type="dxa"/>
            </w:tcMar>
            <w:shd w:val="clear" w:color="auto" w:fill="F2F6FB"/>
          </w:tcPr>
          <w:p>
            <w:pPr>
              <w:spacing w:after="0" w:line="240" w:lineRule="auto"/>
            </w:pPr>
            <w:r>
              <w:rPr>
                <w:b w:val="0"/>
                <w:i w:val="0"/>
                <w:sz w:val="20"/>
              </w:rPr>
              <w:t xml:space="preserve">All goods in a </w:t>
            </w:r>
            <w:r>
              <w:rPr>
                <w:b/>
                <w:i w:val="0"/>
                <w:sz w:val="20"/>
              </w:rPr>
              <w:t>single delivery</w:t>
            </w:r>
            <w:r>
              <w:rPr>
                <w:b w:val="0"/>
                <w:i w:val="0"/>
                <w:sz w:val="20"/>
              </w:rPr>
              <w:t>; payment due on that tender</w:t>
            </w:r>
          </w:p>
        </w:tc>
        <w:tc>
          <w:tcPr>
            <w:tcW w:type="dxa" w:w="1671"/>
            <w:tcMar>
              <w:top w:w="30" w:type="dxa"/>
              <w:bottom w:w="30" w:type="dxa"/>
              <w:left w:w="80" w:type="dxa"/>
              <w:right w:w="80" w:type="dxa"/>
            </w:tcMar>
            <w:shd w:val="clear" w:color="auto" w:fill="F2F6FB"/>
          </w:tcPr>
          <w:p>
            <w:pPr>
              <w:spacing w:after="0" w:line="240" w:lineRule="auto"/>
            </w:pPr>
            <w:r>
              <w:rPr>
                <w:b w:val="0"/>
                <w:i w:val="0"/>
                <w:sz w:val="20"/>
              </w:rPr>
              <w:t>§ 2-307</w:t>
            </w:r>
          </w:p>
        </w:tc>
      </w:tr>
      <w:tr>
        <w:trPr>
          <w:cantSplit w:val="true"/>
        </w:trPr>
        <w:tc>
          <w:tcPr>
            <w:tcW w:type="dxa" w:w="8841"/>
            <w:tcMar>
              <w:top w:w="30" w:type="dxa"/>
              <w:bottom w:w="30" w:type="dxa"/>
              <w:left w:w="80" w:type="dxa"/>
              <w:right w:w="80" w:type="dxa"/>
            </w:tcMar>
          </w:tcPr>
          <w:p>
            <w:pPr>
              <w:spacing w:after="0" w:line="240" w:lineRule="auto"/>
            </w:pPr>
            <w:r>
              <w:rPr>
                <w:b w:val="0"/>
                <w:i w:val="0"/>
                <w:sz w:val="20"/>
              </w:rPr>
              <w:t xml:space="preserve">Place: </w:t>
            </w:r>
            <w:r>
              <w:rPr>
                <w:b/>
                <w:i w:val="0"/>
                <w:sz w:val="20"/>
              </w:rPr>
              <w:t>seller's place of business</w:t>
            </w:r>
            <w:r>
              <w:rPr>
                <w:b w:val="0"/>
                <w:i w:val="0"/>
                <w:sz w:val="20"/>
              </w:rPr>
              <w:t xml:space="preserve"> (or residence); if identified goods are known by both at contracting to be elsewhere, </w:t>
            </w:r>
            <w:r>
              <w:rPr>
                <w:b/>
                <w:i w:val="0"/>
                <w:sz w:val="20"/>
              </w:rPr>
              <w:t>that place</w:t>
            </w:r>
          </w:p>
        </w:tc>
        <w:tc>
          <w:tcPr>
            <w:tcW w:type="dxa" w:w="1671"/>
            <w:tcMar>
              <w:top w:w="30" w:type="dxa"/>
              <w:bottom w:w="30" w:type="dxa"/>
              <w:left w:w="80" w:type="dxa"/>
              <w:right w:w="80" w:type="dxa"/>
            </w:tcMar>
          </w:tcPr>
          <w:p>
            <w:pPr>
              <w:spacing w:after="0" w:line="240" w:lineRule="auto"/>
            </w:pPr>
            <w:r>
              <w:rPr>
                <w:b w:val="0"/>
                <w:i w:val="0"/>
                <w:sz w:val="20"/>
              </w:rPr>
              <w:t>§ 2-308</w:t>
            </w:r>
          </w:p>
        </w:tc>
      </w:tr>
      <w:tr>
        <w:trPr>
          <w:cantSplit w:val="true"/>
        </w:trPr>
        <w:tc>
          <w:tcPr>
            <w:tcW w:type="dxa" w:w="8841"/>
            <w:tcMar>
              <w:top w:w="30" w:type="dxa"/>
              <w:bottom w:w="30" w:type="dxa"/>
              <w:left w:w="80" w:type="dxa"/>
              <w:right w:w="80" w:type="dxa"/>
            </w:tcMar>
            <w:shd w:val="clear" w:color="auto" w:fill="F2F6FB"/>
          </w:tcPr>
          <w:p>
            <w:pPr>
              <w:spacing w:after="0" w:line="240" w:lineRule="auto"/>
            </w:pPr>
            <w:r>
              <w:rPr>
                <w:b w:val="0"/>
                <w:i w:val="0"/>
                <w:sz w:val="20"/>
              </w:rPr>
              <w:t xml:space="preserve">Time: </w:t>
            </w:r>
            <w:r>
              <w:rPr>
                <w:b/>
                <w:i w:val="0"/>
                <w:sz w:val="20"/>
              </w:rPr>
              <w:t>reasonable time</w:t>
            </w:r>
          </w:p>
        </w:tc>
        <w:tc>
          <w:tcPr>
            <w:tcW w:type="dxa" w:w="1671"/>
            <w:tcMar>
              <w:top w:w="30" w:type="dxa"/>
              <w:bottom w:w="30" w:type="dxa"/>
              <w:left w:w="80" w:type="dxa"/>
              <w:right w:w="80" w:type="dxa"/>
            </w:tcMar>
            <w:shd w:val="clear" w:color="auto" w:fill="F2F6FB"/>
          </w:tcPr>
          <w:p>
            <w:pPr>
              <w:spacing w:after="0" w:line="240" w:lineRule="auto"/>
            </w:pPr>
            <w:r>
              <w:rPr>
                <w:b w:val="0"/>
                <w:i w:val="0"/>
                <w:sz w:val="20"/>
              </w:rPr>
              <w:t>§ 2-309(1)</w:t>
            </w:r>
          </w:p>
        </w:tc>
      </w:tr>
      <w:tr>
        <w:trPr>
          <w:cantSplit w:val="true"/>
        </w:trPr>
        <w:tc>
          <w:tcPr>
            <w:tcW w:type="dxa" w:w="8841"/>
            <w:tcMar>
              <w:top w:w="30" w:type="dxa"/>
              <w:bottom w:w="30" w:type="dxa"/>
              <w:left w:w="80" w:type="dxa"/>
              <w:right w:w="80" w:type="dxa"/>
            </w:tcMar>
          </w:tcPr>
          <w:p>
            <w:pPr>
              <w:spacing w:after="0" w:line="240" w:lineRule="auto"/>
            </w:pPr>
            <w:r>
              <w:rPr>
                <w:b w:val="0"/>
                <w:i w:val="0"/>
                <w:sz w:val="20"/>
              </w:rPr>
              <w:t xml:space="preserve">Payment due </w:t>
            </w:r>
            <w:r>
              <w:rPr>
                <w:b/>
                <w:i w:val="0"/>
                <w:sz w:val="20"/>
              </w:rPr>
              <w:t>when and where buyer receives the goods</w:t>
            </w:r>
            <w:r>
              <w:rPr>
                <w:b w:val="0"/>
                <w:i w:val="0"/>
                <w:sz w:val="20"/>
              </w:rPr>
              <w:t xml:space="preserve">; </w:t>
            </w:r>
            <w:r>
              <w:rPr>
                <w:b/>
                <w:i w:val="0"/>
                <w:sz w:val="20"/>
              </w:rPr>
              <w:t>no credit presumed</w:t>
            </w:r>
          </w:p>
        </w:tc>
        <w:tc>
          <w:tcPr>
            <w:tcW w:type="dxa" w:w="1671"/>
            <w:tcMar>
              <w:top w:w="30" w:type="dxa"/>
              <w:bottom w:w="30" w:type="dxa"/>
              <w:left w:w="80" w:type="dxa"/>
              <w:right w:w="80" w:type="dxa"/>
            </w:tcMar>
          </w:tcPr>
          <w:p>
            <w:pPr>
              <w:spacing w:after="0" w:line="240" w:lineRule="auto"/>
            </w:pPr>
            <w:r>
              <w:rPr>
                <w:b w:val="0"/>
                <w:i w:val="0"/>
                <w:sz w:val="20"/>
              </w:rPr>
              <w:t>§ 2-310(a)</w:t>
            </w:r>
          </w:p>
        </w:tc>
      </w:tr>
      <w:tr>
        <w:trPr>
          <w:cantSplit w:val="true"/>
        </w:trPr>
        <w:tc>
          <w:tcPr>
            <w:tcW w:type="dxa" w:w="8841"/>
            <w:tcMar>
              <w:top w:w="30" w:type="dxa"/>
              <w:bottom w:w="30" w:type="dxa"/>
              <w:left w:w="80" w:type="dxa"/>
              <w:right w:w="80" w:type="dxa"/>
            </w:tcMar>
            <w:shd w:val="clear" w:color="auto" w:fill="F2F6FB"/>
          </w:tcPr>
          <w:p>
            <w:pPr>
              <w:spacing w:after="0" w:line="240" w:lineRule="auto"/>
            </w:pPr>
            <w:r>
              <w:rPr>
                <w:b w:val="0"/>
                <w:i w:val="0"/>
                <w:sz w:val="20"/>
              </w:rPr>
              <w:t xml:space="preserve">Unseasonable cooperation → other party </w:t>
            </w:r>
            <w:r>
              <w:rPr>
                <w:b/>
                <w:i w:val="0"/>
                <w:sz w:val="20"/>
              </w:rPr>
              <w:t>excused for delay</w:t>
            </w:r>
            <w:r>
              <w:rPr>
                <w:b w:val="0"/>
                <w:i w:val="0"/>
                <w:sz w:val="20"/>
              </w:rPr>
              <w:t>; may proceed reasonably or treat as breach</w:t>
            </w:r>
          </w:p>
        </w:tc>
        <w:tc>
          <w:tcPr>
            <w:tcW w:type="dxa" w:w="1671"/>
            <w:tcMar>
              <w:top w:w="30" w:type="dxa"/>
              <w:bottom w:w="30" w:type="dxa"/>
              <w:left w:w="80" w:type="dxa"/>
              <w:right w:w="80" w:type="dxa"/>
            </w:tcMar>
            <w:shd w:val="clear" w:color="auto" w:fill="F2F6FB"/>
          </w:tcPr>
          <w:p>
            <w:pPr>
              <w:spacing w:after="0" w:line="240" w:lineRule="auto"/>
            </w:pPr>
            <w:r>
              <w:rPr>
                <w:b w:val="0"/>
                <w:i w:val="0"/>
                <w:sz w:val="20"/>
              </w:rPr>
              <w:t>§ 2-311(3)</w:t>
            </w:r>
          </w:p>
        </w:tc>
      </w:tr>
      <w:tr>
        <w:trPr>
          <w:cantSplit w:val="true"/>
        </w:trPr>
        <w:tc>
          <w:tcPr>
            <w:tcW w:type="dxa" w:w="8841"/>
            <w:tcMar>
              <w:top w:w="30" w:type="dxa"/>
              <w:bottom w:w="30" w:type="dxa"/>
              <w:left w:w="80" w:type="dxa"/>
              <w:right w:w="80" w:type="dxa"/>
            </w:tcMar>
          </w:tcPr>
          <w:p>
            <w:pPr>
              <w:spacing w:after="0" w:line="240" w:lineRule="auto"/>
            </w:pPr>
            <w:r>
              <w:rPr>
                <w:b w:val="0"/>
                <w:i w:val="0"/>
                <w:sz w:val="20"/>
              </w:rPr>
              <w:t xml:space="preserve">Shipping terms: </w:t>
            </w:r>
            <w:r>
              <w:rPr>
                <w:b/>
                <w:i w:val="0"/>
                <w:sz w:val="20"/>
              </w:rPr>
              <w:t xml:space="preserve">F.O.B. (free on board) / F.A.S. (free alongside)</w:t>
            </w:r>
            <w:r>
              <w:rPr>
                <w:b w:val="0"/>
                <w:i w:val="0"/>
                <w:sz w:val="20"/>
              </w:rPr>
              <w:t xml:space="preserve"> § 2-319 · </w:t>
            </w:r>
            <w:r>
              <w:rPr>
                <w:b/>
                <w:i w:val="0"/>
                <w:sz w:val="20"/>
              </w:rPr>
              <w:t xml:space="preserve">C.I.F. (cost, insurance, and freight) / C.&amp;F. (cost and freight)</w:t>
            </w:r>
            <w:r>
              <w:rPr>
                <w:b w:val="0"/>
                <w:i w:val="0"/>
                <w:sz w:val="20"/>
              </w:rPr>
              <w:t xml:space="preserve"> § 2-320 (slide says "2-329") · </w:t>
            </w:r>
            <w:r>
              <w:rPr>
                <w:b/>
                <w:i w:val="0"/>
                <w:sz w:val="20"/>
              </w:rPr>
              <w:t>ex-ship</w:t>
            </w:r>
            <w:r>
              <w:rPr>
                <w:b w:val="0"/>
                <w:i w:val="0"/>
                <w:sz w:val="20"/>
              </w:rPr>
              <w:t xml:space="preserve"> § 2-322</w:t>
            </w:r>
          </w:p>
        </w:tc>
        <w:tc>
          <w:tcPr>
            <w:tcW w:type="dxa" w:w="1671"/>
            <w:tcMar>
              <w:top w:w="30" w:type="dxa"/>
              <w:bottom w:w="30" w:type="dxa"/>
              <w:left w:w="80" w:type="dxa"/>
              <w:right w:w="80" w:type="dxa"/>
            </w:tcMar>
          </w:tcPr>
          <w:p>
            <w:pPr>
              <w:spacing w:after="0" w:line="240" w:lineRule="auto"/>
            </w:pPr>
          </w:p>
        </w:tc>
      </w:tr>
    </w:tbl>
    <w:p>
      <w:pPr>
        <w:spacing w:after="0" w:line="120" w:lineRule="exact"/>
      </w:pPr>
    </w:p>
    <w:p>
      <w:pPr>
        <w:keepNext/>
      </w:pPr>
      <w:r>
        <w:rPr>
          <w:b/>
          <w:i w:val="0"/>
        </w:rPr>
        <w:t>Problem 4-4</w:t>
      </w:r>
      <w:r>
        <w:rPr>
          <w:b w:val="0"/>
          <w:i w:val="0"/>
        </w:rPr>
        <w:t xml:space="preserve"> (100 bushels at $4; seller tenders first):</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4407"/>
        <w:gridCol w:w="6104"/>
      </w:tblGrid>
      <w:tr>
        <w:trPr>
          <w:tblHeader w:val="true"/>
        </w:trPr>
        <w:tc>
          <w:tcPr>
            <w:tcW w:type="dxa" w:w="4407"/>
            <w:shd w:val="clear" w:color="auto" w:fill="1F3A5F"/>
            <w:tcMar>
              <w:top w:w="40" w:type="dxa"/>
              <w:bottom w:w="40" w:type="dxa"/>
              <w:left w:w="80" w:type="dxa"/>
              <w:right w:w="80" w:type="dxa"/>
            </w:tcMar>
          </w:tcPr>
          <w:p>
            <w:pPr>
              <w:spacing w:after="0"/>
            </w:pPr>
            <w:r>
              <w:rPr>
                <w:b/>
                <w:i w:val="0"/>
                <w:color w:val="FFFFFF"/>
                <w:sz w:val="20"/>
              </w:rPr>
              <w:t>Facts</w:t>
            </w:r>
          </w:p>
        </w:tc>
        <w:tc>
          <w:tcPr>
            <w:tcW w:type="dxa" w:w="6105"/>
            <w:shd w:val="clear" w:color="auto" w:fill="1F3A5F"/>
            <w:tcMar>
              <w:top w:w="40" w:type="dxa"/>
              <w:bottom w:w="40" w:type="dxa"/>
              <w:left w:w="80" w:type="dxa"/>
              <w:right w:w="80" w:type="dxa"/>
            </w:tcMar>
          </w:tcPr>
          <w:p>
            <w:pPr>
              <w:spacing w:after="0"/>
            </w:pPr>
            <w:r>
              <w:rPr>
                <w:b/>
                <w:i w:val="0"/>
                <w:color w:val="FFFFFF"/>
                <w:sz w:val="20"/>
              </w:rPr>
              <w:t>Proper tender?</w:t>
            </w:r>
          </w:p>
        </w:tc>
      </w:tr>
      <w:tr>
        <w:trPr>
          <w:cantSplit w:val="true"/>
        </w:trPr>
        <w:tc>
          <w:tcPr>
            <w:tcW w:type="dxa" w:w="4407"/>
            <w:tcMar>
              <w:top w:w="30" w:type="dxa"/>
              <w:bottom w:w="30" w:type="dxa"/>
              <w:left w:w="80" w:type="dxa"/>
              <w:right w:w="80" w:type="dxa"/>
            </w:tcMar>
          </w:tcPr>
          <w:p>
            <w:pPr>
              <w:spacing w:after="0" w:line="240" w:lineRule="auto"/>
            </w:pPr>
            <w:r>
              <w:rPr>
                <w:b w:val="0"/>
                <w:i w:val="0"/>
                <w:sz w:val="20"/>
              </w:rPr>
              <w:t>Only 95 bushels + broken loading auger</w:t>
            </w:r>
          </w:p>
        </w:tc>
        <w:tc>
          <w:tcPr>
            <w:tcW w:type="dxa" w:w="6105"/>
            <w:tcMar>
              <w:top w:w="30" w:type="dxa"/>
              <w:bottom w:w="30" w:type="dxa"/>
              <w:left w:w="80" w:type="dxa"/>
              <w:right w:w="80" w:type="dxa"/>
            </w:tcMar>
          </w:tcPr>
          <w:p>
            <w:pPr>
              <w:spacing w:after="0" w:line="240" w:lineRule="auto"/>
            </w:pPr>
            <w:r>
              <w:rPr>
                <w:b/>
                <w:i w:val="0"/>
                <w:sz w:val="20"/>
              </w:rPr>
              <w:t>No</w:t>
            </w:r>
            <w:r>
              <w:rPr>
                <w:b w:val="0"/>
                <w:i w:val="0"/>
                <w:sz w:val="20"/>
              </w:rPr>
              <w:t xml:space="preserve"> — nonconforming quantity (single lot); auger turns on who must load (trade usage); seller may </w:t>
            </w:r>
            <w:r>
              <w:rPr>
                <w:b/>
                <w:i w:val="0"/>
                <w:sz w:val="20"/>
              </w:rPr>
              <w:t>cure</w:t>
            </w:r>
          </w:p>
        </w:tc>
      </w:tr>
      <w:tr>
        <w:trPr>
          <w:cantSplit w:val="true"/>
        </w:trPr>
        <w:tc>
          <w:tcPr>
            <w:tcW w:type="dxa" w:w="4407"/>
            <w:tcMar>
              <w:top w:w="30" w:type="dxa"/>
              <w:bottom w:w="30" w:type="dxa"/>
              <w:left w:w="80" w:type="dxa"/>
              <w:right w:w="80" w:type="dxa"/>
            </w:tcMar>
            <w:shd w:val="clear" w:color="auto" w:fill="F2F6FB"/>
          </w:tcPr>
          <w:p>
            <w:pPr>
              <w:spacing w:after="0" w:line="240" w:lineRule="auto"/>
            </w:pPr>
            <w:r>
              <w:rPr>
                <w:b w:val="0"/>
                <w:i w:val="0"/>
                <w:sz w:val="20"/>
              </w:rPr>
              <w:t>Moldy wheat</w:t>
            </w:r>
          </w:p>
        </w:tc>
        <w:tc>
          <w:tcPr>
            <w:tcW w:type="dxa" w:w="6105"/>
            <w:tcMar>
              <w:top w:w="30" w:type="dxa"/>
              <w:bottom w:w="30" w:type="dxa"/>
              <w:left w:w="80" w:type="dxa"/>
              <w:right w:w="80" w:type="dxa"/>
            </w:tcMar>
            <w:shd w:val="clear" w:color="auto" w:fill="F2F6FB"/>
          </w:tcPr>
          <w:p>
            <w:pPr>
              <w:spacing w:after="0" w:line="240" w:lineRule="auto"/>
            </w:pPr>
            <w:r>
              <w:rPr>
                <w:b/>
                <w:i w:val="0"/>
                <w:sz w:val="20"/>
              </w:rPr>
              <w:t>No</w:t>
            </w:r>
            <w:r>
              <w:rPr>
                <w:b w:val="0"/>
                <w:i w:val="0"/>
                <w:sz w:val="20"/>
              </w:rPr>
              <w:t xml:space="preserve"> — nonconforming goods</w:t>
            </w:r>
          </w:p>
        </w:tc>
      </w:tr>
      <w:tr>
        <w:trPr>
          <w:cantSplit w:val="true"/>
        </w:trPr>
        <w:tc>
          <w:tcPr>
            <w:tcW w:type="dxa" w:w="4407"/>
            <w:tcMar>
              <w:top w:w="30" w:type="dxa"/>
              <w:bottom w:w="30" w:type="dxa"/>
              <w:left w:w="80" w:type="dxa"/>
              <w:right w:w="80" w:type="dxa"/>
            </w:tcMar>
          </w:tcPr>
          <w:p>
            <w:pPr>
              <w:spacing w:after="0" w:line="240" w:lineRule="auto"/>
            </w:pPr>
            <w:r>
              <w:rPr>
                <w:b w:val="0"/>
                <w:i w:val="0"/>
                <w:sz w:val="20"/>
              </w:rPr>
              <w:t>"Pick it up within 2 hours or I sell it"</w:t>
            </w:r>
          </w:p>
        </w:tc>
        <w:tc>
          <w:tcPr>
            <w:tcW w:type="dxa" w:w="6105"/>
            <w:tcMar>
              <w:top w:w="30" w:type="dxa"/>
              <w:bottom w:w="30" w:type="dxa"/>
              <w:left w:w="80" w:type="dxa"/>
              <w:right w:w="80" w:type="dxa"/>
            </w:tcMar>
          </w:tcPr>
          <w:p>
            <w:pPr>
              <w:spacing w:after="0" w:line="240" w:lineRule="auto"/>
            </w:pPr>
            <w:r>
              <w:rPr>
                <w:b/>
                <w:i w:val="0"/>
                <w:sz w:val="20"/>
              </w:rPr>
              <w:t>Probably no</w:t>
            </w:r>
            <w:r>
              <w:rPr>
                <w:b w:val="0"/>
                <w:i w:val="0"/>
                <w:sz w:val="20"/>
              </w:rPr>
              <w:t xml:space="preserve"> — must hold for a </w:t>
            </w:r>
            <w:r>
              <w:rPr>
                <w:b/>
                <w:i w:val="0"/>
                <w:sz w:val="20"/>
              </w:rPr>
              <w:t>reasonably necessary</w:t>
            </w:r>
            <w:r>
              <w:rPr>
                <w:b w:val="0"/>
                <w:i w:val="0"/>
                <w:sz w:val="20"/>
              </w:rPr>
              <w:t xml:space="preserve"> period</w:t>
            </w:r>
          </w:p>
        </w:tc>
      </w:tr>
      <w:tr>
        <w:trPr>
          <w:cantSplit w:val="true"/>
        </w:trPr>
        <w:tc>
          <w:tcPr>
            <w:tcW w:type="dxa" w:w="4407"/>
            <w:tcMar>
              <w:top w:w="30" w:type="dxa"/>
              <w:bottom w:w="30" w:type="dxa"/>
              <w:left w:w="80" w:type="dxa"/>
              <w:right w:w="80" w:type="dxa"/>
            </w:tcMar>
            <w:shd w:val="clear" w:color="auto" w:fill="F2F6FB"/>
          </w:tcPr>
          <w:p>
            <w:pPr>
              <w:spacing w:after="0" w:line="240" w:lineRule="auto"/>
            </w:pPr>
            <w:r>
              <w:rPr>
                <w:b w:val="0"/>
                <w:i w:val="0"/>
                <w:sz w:val="20"/>
              </w:rPr>
              <w:t>Pick up at a warehouse 300 miles away</w:t>
            </w:r>
          </w:p>
        </w:tc>
        <w:tc>
          <w:tcPr>
            <w:tcW w:type="dxa" w:w="6105"/>
            <w:tcMar>
              <w:top w:w="30" w:type="dxa"/>
              <w:bottom w:w="30" w:type="dxa"/>
              <w:left w:w="80" w:type="dxa"/>
              <w:right w:w="80" w:type="dxa"/>
            </w:tcMar>
            <w:shd w:val="clear" w:color="auto" w:fill="F2F6FB"/>
          </w:tcPr>
          <w:p>
            <w:pPr>
              <w:spacing w:after="0" w:line="240" w:lineRule="auto"/>
            </w:pPr>
            <w:r>
              <w:rPr>
                <w:b/>
                <w:i w:val="0"/>
                <w:sz w:val="20"/>
              </w:rPr>
              <w:t>Only if</w:t>
            </w:r>
            <w:r>
              <w:rPr>
                <w:b w:val="0"/>
                <w:i w:val="0"/>
                <w:sz w:val="20"/>
              </w:rPr>
              <w:t xml:space="preserve"> both knew at contracting the identified goods were there (§ 2-308(b))</w:t>
            </w:r>
          </w:p>
        </w:tc>
      </w:tr>
      <w:tr>
        <w:trPr>
          <w:cantSplit w:val="true"/>
        </w:trPr>
        <w:tc>
          <w:tcPr>
            <w:tcW w:type="dxa" w:w="4407"/>
            <w:tcMar>
              <w:top w:w="30" w:type="dxa"/>
              <w:bottom w:w="30" w:type="dxa"/>
              <w:left w:w="80" w:type="dxa"/>
              <w:right w:w="80" w:type="dxa"/>
            </w:tcMar>
          </w:tcPr>
          <w:p>
            <w:pPr>
              <w:spacing w:after="0" w:line="240" w:lineRule="auto"/>
            </w:pPr>
            <w:r>
              <w:rPr>
                <w:b w:val="0"/>
                <w:i w:val="0"/>
                <w:sz w:val="20"/>
              </w:rPr>
              <w:t>Buyer brings a small truck, wants half now, half tomorrow</w:t>
            </w:r>
          </w:p>
        </w:tc>
        <w:tc>
          <w:tcPr>
            <w:tcW w:type="dxa" w:w="6105"/>
            <w:tcMar>
              <w:top w:w="30" w:type="dxa"/>
              <w:bottom w:w="30" w:type="dxa"/>
              <w:left w:w="80" w:type="dxa"/>
              <w:right w:w="80" w:type="dxa"/>
            </w:tcMar>
          </w:tcPr>
          <w:p>
            <w:pPr>
              <w:spacing w:after="0" w:line="240" w:lineRule="auto"/>
            </w:pPr>
            <w:r>
              <w:rPr>
                <w:b/>
                <w:i w:val="0"/>
                <w:sz w:val="20"/>
              </w:rPr>
              <w:t>Seller's tender is fine</w:t>
            </w:r>
            <w:r>
              <w:rPr>
                <w:b w:val="0"/>
                <w:i w:val="0"/>
                <w:sz w:val="20"/>
              </w:rPr>
              <w:t xml:space="preserve"> — single lot; buyer must furnish suitable facilities</w:t>
            </w:r>
          </w:p>
        </w:tc>
      </w:tr>
      <w:tr>
        <w:trPr>
          <w:cantSplit w:val="true"/>
        </w:trPr>
        <w:tc>
          <w:tcPr>
            <w:tcW w:type="dxa" w:w="4407"/>
            <w:tcMar>
              <w:top w:w="30" w:type="dxa"/>
              <w:bottom w:w="30" w:type="dxa"/>
              <w:left w:w="80" w:type="dxa"/>
              <w:right w:w="80" w:type="dxa"/>
            </w:tcMar>
            <w:shd w:val="clear" w:color="auto" w:fill="F2F6FB"/>
          </w:tcPr>
          <w:p>
            <w:pPr>
              <w:spacing w:after="0" w:line="240" w:lineRule="auto"/>
            </w:pPr>
            <w:r>
              <w:rPr>
                <w:b w:val="0"/>
                <w:i w:val="0"/>
                <w:sz w:val="20"/>
              </w:rPr>
              <w:t>Seller arrives at buyer's farm on time; buyer's bins aren't ready</w:t>
            </w:r>
          </w:p>
        </w:tc>
        <w:tc>
          <w:tcPr>
            <w:tcW w:type="dxa" w:w="6105"/>
            <w:tcMar>
              <w:top w:w="30" w:type="dxa"/>
              <w:bottom w:w="30" w:type="dxa"/>
              <w:left w:w="80" w:type="dxa"/>
              <w:right w:w="80" w:type="dxa"/>
            </w:tcMar>
            <w:shd w:val="clear" w:color="auto" w:fill="F2F6FB"/>
          </w:tcPr>
          <w:p>
            <w:pPr>
              <w:spacing w:after="0" w:line="240" w:lineRule="auto"/>
            </w:pPr>
            <w:r>
              <w:rPr>
                <w:b/>
                <w:i w:val="0"/>
                <w:sz w:val="20"/>
              </w:rPr>
              <w:t>Seller's tender is fine</w:t>
            </w:r>
            <w:r>
              <w:rPr>
                <w:b w:val="0"/>
                <w:i w:val="0"/>
                <w:sz w:val="20"/>
              </w:rPr>
              <w:t xml:space="preserve"> — buyer failed to cooperate; seller excused for delay (§ 2-311(3))</w:t>
            </w:r>
          </w:p>
        </w:tc>
      </w:tr>
    </w:tbl>
    <w:p>
      <w:pPr>
        <w:spacing w:after="0" w:line="120" w:lineRule="exact"/>
      </w:pPr>
    </w:p>
    <w:p>
      <w:pPr>
        <w:keepNext/>
        <w:spacing w:before="120" w:after="40"/>
        <w:pBdr>
          <w:bottom w:val="single" w:sz="6" w:space="1" w:color="8EAADB"/>
        </w:pBdr>
      </w:pPr>
      <w:r>
        <w:rPr>
          <w:b/>
          <w:i w:val="0"/>
          <w:color w:val="1F3A5F"/>
          <w:sz w:val="25"/>
        </w:rPr>
        <w:t>Inspection, acceptance &amp; rejection</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 2-513:</w:t>
            </w:r>
            <w:r>
              <w:rPr>
                <w:b w:val="0"/>
                <w:i w:val="0"/>
                <w:sz w:val="21"/>
              </w:rPr>
              <w:t xml:space="preserve"> unless otherwise agreed, buyer may </w:t>
            </w:r>
            <w:r>
              <w:rPr>
                <w:b/>
                <w:i w:val="0"/>
                <w:sz w:val="21"/>
              </w:rPr>
              <w:t>inspect before payment or acceptance</w:t>
            </w:r>
            <w:r>
              <w:rPr>
                <w:b w:val="0"/>
                <w:i w:val="0"/>
                <w:sz w:val="21"/>
              </w:rPr>
              <w:t xml:space="preserve">, at any </w:t>
            </w:r>
            <w:r>
              <w:rPr>
                <w:b/>
                <w:i w:val="0"/>
                <w:sz w:val="21"/>
              </w:rPr>
              <w:t>reasonable place, time, and manner</w:t>
            </w:r>
            <w:r>
              <w:rPr>
                <w:b w:val="0"/>
                <w:i w:val="0"/>
                <w:sz w:val="21"/>
              </w:rPr>
              <w:t xml:space="preserve"> (after arrival if goods are shipped). </w:t>
            </w:r>
            <w:r>
              <w:rPr>
                <w:b/>
                <w:i w:val="0"/>
                <w:sz w:val="21"/>
              </w:rPr>
              <w:t>Buyer bears inspection costs</w:t>
            </w:r>
            <w:r>
              <w:rPr>
                <w:b w:val="0"/>
                <w:i w:val="0"/>
                <w:sz w:val="21"/>
              </w:rPr>
              <w:t xml:space="preserve"> but recovers them if the goods are </w:t>
            </w:r>
            <w:r>
              <w:rPr>
                <w:b/>
                <w:i w:val="0"/>
                <w:sz w:val="21"/>
              </w:rPr>
              <w:t>nonconforming and rejected</w:t>
            </w:r>
            <w:r>
              <w:rPr>
                <w:b w:val="0"/>
                <w:i w:val="0"/>
                <w:sz w:val="21"/>
              </w:rPr>
              <w:t xml:space="preserve">. </w:t>
            </w:r>
            <w:r>
              <w:rPr>
                <w:b/>
                <w:i w:val="0"/>
                <w:sz w:val="21"/>
              </w:rPr>
              <w:t>No pre-payment inspection</w:t>
            </w:r>
            <w:r>
              <w:rPr>
                <w:b w:val="0"/>
                <w:i w:val="0"/>
                <w:sz w:val="21"/>
              </w:rPr>
              <w:t xml:space="preserve"> under </w:t>
            </w:r>
            <w:r>
              <w:rPr>
                <w:b/>
                <w:i w:val="0"/>
                <w:sz w:val="21"/>
              </w:rPr>
              <w:t xml:space="preserve">C.O.D. (cash on delivery)</w:t>
            </w:r>
            <w:r>
              <w:rPr>
                <w:b w:val="0"/>
                <w:i w:val="0"/>
                <w:sz w:val="21"/>
              </w:rPr>
              <w:t xml:space="preserve"> or </w:t>
            </w:r>
            <w:r>
              <w:rPr>
                <w:b/>
                <w:i w:val="0"/>
                <w:sz w:val="21"/>
              </w:rPr>
              <w:t>payment-against-documents</w:t>
            </w:r>
            <w:r>
              <w:rPr>
                <w:b w:val="0"/>
                <w:i w:val="0"/>
                <w:sz w:val="21"/>
              </w:rPr>
              <w:t xml:space="preserve"> terms.</w:t>
            </w:r>
          </w:p>
        </w:tc>
      </w:tr>
    </w:tbl>
    <w:p>
      <w:pPr>
        <w:spacing w:after="0" w:line="100" w:lineRule="exact"/>
      </w:pPr>
    </w:p>
    <w:p>
      <w:pPr>
        <w:pStyle w:val="ListBullet"/>
      </w:pPr>
      <w:r>
        <w:rPr>
          <w:b/>
          <w:i w:val="0"/>
        </w:rPr>
        <w:t>Accepting goods ≠ accepting an offer.</w:t>
      </w:r>
      <w:r>
        <w:rPr>
          <w:b w:val="0"/>
          <w:i w:val="0"/>
        </w:rPr>
        <w:t xml:space="preserve"> </w:t>
      </w:r>
      <w:r>
        <w:rPr>
          <w:b/>
          <w:i w:val="0"/>
        </w:rPr>
        <w:t>Possession ≠ acceptance</w:t>
      </w:r>
      <w:r>
        <w:rPr>
          <w:b w:val="0"/>
          <w:i w:val="0"/>
        </w:rPr>
        <w:t xml:space="preserve"> (buyer may be inspecting). </w:t>
      </w:r>
      <w:r>
        <w:rPr>
          <w:b/>
          <w:i w:val="0"/>
        </w:rPr>
        <w:t>Payment ≠ acceptance</w:t>
      </w:r>
      <w:r>
        <w:rPr>
          <w:b w:val="0"/>
          <w:i w:val="0"/>
        </w:rPr>
        <w:t xml:space="preserve"> (§ 2-512(2)).</w:t>
      </w:r>
    </w:p>
    <w:p>
      <w:pPr>
        <w:pStyle w:val="ListBullet"/>
      </w:pPr>
      <w:r>
        <w:rPr>
          <w:b/>
          <w:i w:val="0"/>
        </w:rPr>
        <w:t>§ 2-512:</w:t>
      </w:r>
      <w:r>
        <w:rPr>
          <w:b w:val="0"/>
          <w:i w:val="0"/>
        </w:rPr>
        <w:t xml:space="preserve"> if buyer agreed to pay before inspection, nonconformity </w:t>
      </w:r>
      <w:r>
        <w:rPr>
          <w:b/>
          <w:i w:val="0"/>
        </w:rPr>
        <w:t>doesn't excuse payment</w:t>
      </w:r>
      <w:r>
        <w:rPr>
          <w:b w:val="0"/>
          <w:i w:val="0"/>
        </w:rPr>
        <w:t xml:space="preserve"> unless it </w:t>
      </w:r>
      <w:r>
        <w:rPr>
          <w:b/>
          <w:i w:val="0"/>
        </w:rPr>
        <w:t>appears without inspection</w:t>
      </w:r>
      <w:r>
        <w:rPr>
          <w:b w:val="0"/>
          <w:i w:val="0"/>
        </w:rPr>
        <w:t xml:space="preserve"> (or fraud would justify enjoining a letter of credit).</w:t>
      </w:r>
    </w:p>
    <w:p>
      <w:pPr>
        <w:pStyle w:val="ListBullet"/>
      </w:pPr>
      <w:r>
        <w:rPr>
          <w:b/>
          <w:i w:val="0"/>
        </w:rPr>
        <w:t>Acceptance occurs (§ 2-606)</w:t>
      </w:r>
      <w:r>
        <w:rPr>
          <w:b w:val="0"/>
          <w:i w:val="0"/>
        </w:rPr>
        <w:t xml:space="preserve"> when buyer, after a reasonable chance to inspect, </w:t>
      </w:r>
      <w:r>
        <w:rPr>
          <w:b/>
          <w:i w:val="0"/>
        </w:rPr>
        <w:t>signifies acceptance</w:t>
      </w:r>
      <w:r>
        <w:rPr>
          <w:b w:val="0"/>
          <w:i w:val="0"/>
        </w:rPr>
        <w:t xml:space="preserve">, </w:t>
      </w:r>
      <w:r>
        <w:rPr>
          <w:b/>
          <w:i w:val="0"/>
        </w:rPr>
        <w:t>fails to effectively reject</w:t>
      </w:r>
      <w:r>
        <w:rPr>
          <w:b w:val="0"/>
          <w:i w:val="0"/>
        </w:rPr>
        <w:t xml:space="preserve">, or </w:t>
      </w:r>
      <w:r>
        <w:rPr>
          <w:b/>
          <w:i w:val="0"/>
        </w:rPr>
        <w:t>acts inconsistently with seller's ownership</w:t>
      </w:r>
      <w:r>
        <w:rPr>
          <w:b w:val="0"/>
          <w:i w:val="0"/>
        </w:rPr>
        <w:t xml:space="preserve">. Accepting part of a </w:t>
      </w:r>
      <w:r>
        <w:rPr>
          <w:b/>
          <w:i w:val="0"/>
        </w:rPr>
        <w:t>commercial unit</w:t>
      </w:r>
      <w:r>
        <w:rPr>
          <w:b w:val="0"/>
          <w:i w:val="0"/>
        </w:rPr>
        <w:t xml:space="preserve"> accepts the whole unit.</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5032"/>
        <w:gridCol w:w="5479"/>
      </w:tblGrid>
      <w:tr>
        <w:trPr>
          <w:tblHeader w:val="true"/>
        </w:trPr>
        <w:tc>
          <w:tcPr>
            <w:tcW w:type="dxa" w:w="5032"/>
            <w:shd w:val="clear" w:color="auto" w:fill="1F3A5F"/>
            <w:tcMar>
              <w:top w:w="40" w:type="dxa"/>
              <w:bottom w:w="40" w:type="dxa"/>
              <w:left w:w="80" w:type="dxa"/>
              <w:right w:w="80" w:type="dxa"/>
            </w:tcMar>
          </w:tcPr>
          <w:p>
            <w:pPr>
              <w:spacing w:after="0"/>
            </w:pPr>
            <w:r>
              <w:rPr>
                <w:b/>
                <w:i w:val="0"/>
                <w:color w:val="FFFFFF"/>
                <w:sz w:val="20"/>
              </w:rPr>
              <w:t>If buyer ACCEPTS</w:t>
            </w:r>
          </w:p>
        </w:tc>
        <w:tc>
          <w:tcPr>
            <w:tcW w:type="dxa" w:w="5480"/>
            <w:shd w:val="clear" w:color="auto" w:fill="1F3A5F"/>
            <w:tcMar>
              <w:top w:w="40" w:type="dxa"/>
              <w:bottom w:w="40" w:type="dxa"/>
              <w:left w:w="80" w:type="dxa"/>
              <w:right w:w="80" w:type="dxa"/>
            </w:tcMar>
          </w:tcPr>
          <w:p>
            <w:pPr>
              <w:spacing w:after="0"/>
            </w:pPr>
            <w:r>
              <w:rPr>
                <w:b/>
                <w:i w:val="0"/>
                <w:color w:val="FFFFFF"/>
                <w:sz w:val="20"/>
              </w:rPr>
              <w:t>If buyer REJECTS</w:t>
            </w:r>
          </w:p>
        </w:tc>
      </w:tr>
      <w:tr>
        <w:trPr>
          <w:cantSplit w:val="true"/>
        </w:trPr>
        <w:tc>
          <w:tcPr>
            <w:tcW w:type="dxa" w:w="5032"/>
            <w:tcMar>
              <w:top w:w="30" w:type="dxa"/>
              <w:bottom w:w="30" w:type="dxa"/>
              <w:left w:w="80" w:type="dxa"/>
              <w:right w:w="80" w:type="dxa"/>
            </w:tcMar>
          </w:tcPr>
          <w:p>
            <w:pPr>
              <w:spacing w:after="0" w:line="240" w:lineRule="auto"/>
            </w:pPr>
            <w:r>
              <w:rPr>
                <w:b/>
                <w:i w:val="0"/>
                <w:sz w:val="20"/>
              </w:rPr>
              <w:t>Can't reject</w:t>
            </w:r>
            <w:r>
              <w:rPr>
                <w:b w:val="0"/>
                <w:i w:val="0"/>
                <w:sz w:val="20"/>
              </w:rPr>
              <w:t xml:space="preserve"> later (§ 2-607(2))</w:t>
            </w:r>
          </w:p>
        </w:tc>
        <w:tc>
          <w:tcPr>
            <w:tcW w:type="dxa" w:w="5480"/>
            <w:tcMar>
              <w:top w:w="30" w:type="dxa"/>
              <w:bottom w:w="30" w:type="dxa"/>
              <w:left w:w="80" w:type="dxa"/>
              <w:right w:w="80" w:type="dxa"/>
            </w:tcMar>
          </w:tcPr>
          <w:p>
            <w:pPr>
              <w:spacing w:after="0" w:line="240" w:lineRule="auto"/>
            </w:pPr>
            <w:r>
              <w:rPr>
                <w:b w:val="0"/>
                <w:i w:val="0"/>
                <w:sz w:val="20"/>
              </w:rPr>
              <w:t xml:space="preserve">Must reject </w:t>
            </w:r>
            <w:r>
              <w:rPr>
                <w:b/>
                <w:i w:val="0"/>
                <w:sz w:val="20"/>
              </w:rPr>
              <w:t>within a reasonable time</w:t>
            </w:r>
            <w:r>
              <w:rPr>
                <w:b w:val="0"/>
                <w:i w:val="0"/>
                <w:sz w:val="20"/>
              </w:rPr>
              <w:t xml:space="preserve"> with </w:t>
            </w:r>
            <w:r>
              <w:rPr>
                <w:b/>
                <w:i w:val="0"/>
                <w:sz w:val="20"/>
              </w:rPr>
              <w:t>seasonable notice</w:t>
            </w:r>
            <w:r>
              <w:rPr>
                <w:b w:val="0"/>
                <w:i w:val="0"/>
                <w:sz w:val="20"/>
              </w:rPr>
              <w:t xml:space="preserve"> (§ 2-602(1))</w:t>
            </w:r>
          </w:p>
        </w:tc>
      </w:tr>
      <w:tr>
        <w:trPr>
          <w:cantSplit w:val="true"/>
        </w:trPr>
        <w:tc>
          <w:tcPr>
            <w:tcW w:type="dxa" w:w="5032"/>
            <w:tcMar>
              <w:top w:w="30" w:type="dxa"/>
              <w:bottom w:w="30" w:type="dxa"/>
              <w:left w:w="80" w:type="dxa"/>
              <w:right w:w="80" w:type="dxa"/>
            </w:tcMar>
            <w:shd w:val="clear" w:color="auto" w:fill="F2F6FB"/>
          </w:tcPr>
          <w:p>
            <w:pPr>
              <w:spacing w:after="0" w:line="240" w:lineRule="auto"/>
            </w:pPr>
            <w:r>
              <w:rPr>
                <w:b w:val="0"/>
                <w:i w:val="0"/>
                <w:sz w:val="20"/>
              </w:rPr>
              <w:t xml:space="preserve">Must </w:t>
            </w:r>
            <w:r>
              <w:rPr>
                <w:b/>
                <w:i w:val="0"/>
                <w:sz w:val="20"/>
              </w:rPr>
              <w:t>pay the contract price</w:t>
            </w:r>
            <w:r>
              <w:rPr>
                <w:b w:val="0"/>
                <w:i w:val="0"/>
                <w:sz w:val="20"/>
              </w:rPr>
              <w:t xml:space="preserve"> (§ 2-607(1))</w:t>
            </w:r>
          </w:p>
        </w:tc>
        <w:tc>
          <w:tcPr>
            <w:tcW w:type="dxa" w:w="5480"/>
            <w:tcMar>
              <w:top w:w="30" w:type="dxa"/>
              <w:bottom w:w="30" w:type="dxa"/>
              <w:left w:w="80" w:type="dxa"/>
              <w:right w:w="80" w:type="dxa"/>
            </w:tcMar>
            <w:shd w:val="clear" w:color="auto" w:fill="F2F6FB"/>
          </w:tcPr>
          <w:p>
            <w:pPr>
              <w:spacing w:after="0" w:line="240" w:lineRule="auto"/>
            </w:pPr>
            <w:r>
              <w:rPr>
                <w:b/>
                <w:i w:val="0"/>
                <w:sz w:val="20"/>
              </w:rPr>
              <w:t>May not exercise ownership</w:t>
            </w:r>
            <w:r>
              <w:rPr>
                <w:b w:val="0"/>
                <w:i w:val="0"/>
                <w:sz w:val="20"/>
              </w:rPr>
              <w:t xml:space="preserve"> (§ 2-602(2)(a))</w:t>
            </w:r>
          </w:p>
        </w:tc>
      </w:tr>
      <w:tr>
        <w:trPr>
          <w:cantSplit w:val="true"/>
        </w:trPr>
        <w:tc>
          <w:tcPr>
            <w:tcW w:type="dxa" w:w="5032"/>
            <w:tcMar>
              <w:top w:w="30" w:type="dxa"/>
              <w:bottom w:w="30" w:type="dxa"/>
              <w:left w:w="80" w:type="dxa"/>
              <w:right w:w="80" w:type="dxa"/>
            </w:tcMar>
          </w:tcPr>
          <w:p>
            <w:pPr>
              <w:spacing w:after="0" w:line="240" w:lineRule="auto"/>
            </w:pPr>
            <w:r>
              <w:rPr>
                <w:b/>
                <w:i w:val="0"/>
                <w:sz w:val="20"/>
              </w:rPr>
              <w:t>Burden of proving</w:t>
            </w:r>
            <w:r>
              <w:rPr>
                <w:b w:val="0"/>
                <w:i w:val="0"/>
                <w:sz w:val="20"/>
              </w:rPr>
              <w:t xml:space="preserve"> nonconformity shifts to buyer (§ 2-607(4))</w:t>
            </w:r>
          </w:p>
        </w:tc>
        <w:tc>
          <w:tcPr>
            <w:tcW w:type="dxa" w:w="5480"/>
            <w:tcMar>
              <w:top w:w="30" w:type="dxa"/>
              <w:bottom w:w="30" w:type="dxa"/>
              <w:left w:w="80" w:type="dxa"/>
              <w:right w:w="80" w:type="dxa"/>
            </w:tcMar>
          </w:tcPr>
          <w:p>
            <w:pPr>
              <w:spacing w:after="0" w:line="240" w:lineRule="auto"/>
            </w:pPr>
            <w:r>
              <w:rPr>
                <w:b w:val="0"/>
                <w:i w:val="0"/>
                <w:sz w:val="20"/>
              </w:rPr>
              <w:t xml:space="preserve">If in possession, must </w:t>
            </w:r>
            <w:r>
              <w:rPr>
                <w:b/>
                <w:i w:val="0"/>
                <w:sz w:val="20"/>
              </w:rPr>
              <w:t>hold with reasonable care</w:t>
            </w:r>
            <w:r>
              <w:rPr>
                <w:b w:val="0"/>
                <w:i w:val="0"/>
                <w:sz w:val="20"/>
              </w:rPr>
              <w:t xml:space="preserve"> for seller (§ 2-602(2)(b))</w:t>
            </w:r>
          </w:p>
        </w:tc>
      </w:tr>
      <w:tr>
        <w:trPr>
          <w:cantSplit w:val="true"/>
        </w:trPr>
        <w:tc>
          <w:tcPr>
            <w:tcW w:type="dxa" w:w="5032"/>
            <w:tcMar>
              <w:top w:w="30" w:type="dxa"/>
              <w:bottom w:w="30" w:type="dxa"/>
              <w:left w:w="80" w:type="dxa"/>
              <w:right w:w="80" w:type="dxa"/>
            </w:tcMar>
            <w:shd w:val="clear" w:color="auto" w:fill="F2F6FB"/>
          </w:tcPr>
          <w:p>
            <w:pPr>
              <w:spacing w:after="0" w:line="240" w:lineRule="auto"/>
            </w:pPr>
            <w:r>
              <w:rPr>
                <w:b w:val="0"/>
                <w:i w:val="0"/>
                <w:sz w:val="20"/>
              </w:rPr>
              <w:t xml:space="preserve">Must </w:t>
            </w:r>
            <w:r>
              <w:rPr>
                <w:b/>
                <w:i w:val="0"/>
                <w:sz w:val="20"/>
              </w:rPr>
              <w:t>notify of breach</w:t>
            </w:r>
            <w:r>
              <w:rPr>
                <w:b w:val="0"/>
                <w:i w:val="0"/>
                <w:sz w:val="20"/>
              </w:rPr>
              <w:t xml:space="preserve"> within a reasonable time or be </w:t>
            </w:r>
            <w:r>
              <w:rPr>
                <w:b/>
                <w:i w:val="0"/>
                <w:sz w:val="20"/>
              </w:rPr>
              <w:t>barred</w:t>
            </w:r>
            <w:r>
              <w:rPr>
                <w:b w:val="0"/>
                <w:i w:val="0"/>
                <w:sz w:val="20"/>
              </w:rPr>
              <w:t xml:space="preserve"> (§ 2-607(3)(a))</w:t>
            </w:r>
          </w:p>
        </w:tc>
        <w:tc>
          <w:tcPr>
            <w:tcW w:type="dxa" w:w="5480"/>
            <w:tcMar>
              <w:top w:w="30" w:type="dxa"/>
              <w:bottom w:w="30" w:type="dxa"/>
              <w:left w:w="80" w:type="dxa"/>
              <w:right w:w="80" w:type="dxa"/>
            </w:tcMar>
            <w:shd w:val="clear" w:color="auto" w:fill="F2F6FB"/>
          </w:tcPr>
          <w:p>
            <w:pPr>
              <w:spacing w:after="0" w:line="240" w:lineRule="auto"/>
            </w:pPr>
            <w:r>
              <w:rPr>
                <w:b w:val="0"/>
                <w:i w:val="0"/>
                <w:sz w:val="20"/>
              </w:rPr>
              <w:t>Merchant buyer follows seller's reasonable instructions / sells perishables (§ 2-603); may store, reship, resell (§ 2-604)</w:t>
            </w:r>
          </w:p>
        </w:tc>
      </w:tr>
      <w:tr>
        <w:trPr>
          <w:cantSplit w:val="true"/>
        </w:trPr>
        <w:tc>
          <w:tcPr>
            <w:tcW w:type="dxa" w:w="5032"/>
            <w:tcMar>
              <w:top w:w="30" w:type="dxa"/>
              <w:bottom w:w="30" w:type="dxa"/>
              <w:left w:w="80" w:type="dxa"/>
              <w:right w:w="80" w:type="dxa"/>
            </w:tcMar>
          </w:tcPr>
          <w:p>
            <w:pPr>
              <w:spacing w:after="0" w:line="240" w:lineRule="auto"/>
            </w:pPr>
            <w:r>
              <w:rPr>
                <w:b w:val="0"/>
                <w:i w:val="0"/>
                <w:sz w:val="20"/>
              </w:rPr>
              <w:t xml:space="preserve">Only a small window to </w:t>
            </w:r>
            <w:r>
              <w:rPr>
                <w:b/>
                <w:i w:val="0"/>
                <w:sz w:val="20"/>
              </w:rPr>
              <w:t>revoke</w:t>
            </w:r>
            <w:r>
              <w:rPr>
                <w:b w:val="0"/>
                <w:i w:val="0"/>
                <w:sz w:val="20"/>
              </w:rPr>
              <w:t xml:space="preserve"> — nonconformity must </w:t>
            </w:r>
            <w:r>
              <w:rPr>
                <w:b/>
                <w:i w:val="0"/>
                <w:sz w:val="20"/>
              </w:rPr>
              <w:t>substantially impair</w:t>
            </w:r>
            <w:r>
              <w:rPr>
                <w:b w:val="0"/>
                <w:i w:val="0"/>
                <w:sz w:val="20"/>
              </w:rPr>
              <w:t xml:space="preserve"> value (§ 2-608)</w:t>
            </w:r>
          </w:p>
        </w:tc>
        <w:tc>
          <w:tcPr>
            <w:tcW w:type="dxa" w:w="5480"/>
            <w:tcMar>
              <w:top w:w="30" w:type="dxa"/>
              <w:bottom w:w="30" w:type="dxa"/>
              <w:left w:w="80" w:type="dxa"/>
              <w:right w:w="80" w:type="dxa"/>
            </w:tcMar>
          </w:tcPr>
          <w:p>
            <w:pPr>
              <w:spacing w:after="0" w:line="240" w:lineRule="auto"/>
            </w:pPr>
            <w:r>
              <w:rPr>
                <w:b w:val="0"/>
                <w:i w:val="0"/>
                <w:sz w:val="20"/>
              </w:rPr>
              <w:t xml:space="preserve">Must state </w:t>
            </w:r>
            <w:r>
              <w:rPr>
                <w:b/>
                <w:i w:val="0"/>
                <w:sz w:val="20"/>
              </w:rPr>
              <w:t>curable defects</w:t>
            </w:r>
            <w:r>
              <w:rPr>
                <w:b w:val="0"/>
                <w:i w:val="0"/>
                <w:sz w:val="20"/>
              </w:rPr>
              <w:t xml:space="preserve"> or lose them (§ 2-605)</w:t>
            </w:r>
          </w:p>
        </w:tc>
      </w:tr>
    </w:tbl>
    <w:p>
      <w:pPr>
        <w:spacing w:after="0" w:line="120" w:lineRule="exact"/>
      </w:pPr>
    </w:p>
    <w:p>
      <w:pPr>
        <w:pStyle w:val="ListBullet"/>
      </w:pPr>
      <w:r>
        <w:rPr>
          <w:b/>
          <w:i w:val="0"/>
        </w:rPr>
        <w:t>Effective vs. rightful rejection:</w:t>
      </w:r>
      <w:r>
        <w:rPr>
          <w:b w:val="0"/>
          <w:i w:val="0"/>
        </w:rPr>
        <w:t xml:space="preserve"> rejecting </w:t>
      </w:r>
      <w:r>
        <w:rPr>
          <w:b/>
          <w:i w:val="0"/>
        </w:rPr>
        <w:t>conforming</w:t>
      </w:r>
      <w:r>
        <w:rPr>
          <w:b w:val="0"/>
          <w:i w:val="0"/>
        </w:rPr>
        <w:t xml:space="preserve"> goods can be </w:t>
      </w:r>
      <w:r>
        <w:rPr>
          <w:b/>
          <w:i w:val="0"/>
        </w:rPr>
        <w:t>effective but wrongful</w:t>
      </w:r>
      <w:r>
        <w:rPr>
          <w:b w:val="0"/>
          <w:i w:val="0"/>
        </w:rPr>
        <w:t xml:space="preserve"> → buyer's breach (§ 2-703). Rejecting </w:t>
      </w:r>
      <w:r>
        <w:rPr>
          <w:b/>
          <w:i w:val="0"/>
        </w:rPr>
        <w:t>nonconforming</w:t>
      </w:r>
      <w:r>
        <w:rPr>
          <w:b w:val="0"/>
          <w:i w:val="0"/>
        </w:rPr>
        <w:t xml:space="preserve"> goods is </w:t>
      </w:r>
      <w:r>
        <w:rPr>
          <w:b/>
          <w:i w:val="0"/>
        </w:rPr>
        <w:t>rightful</w:t>
      </w:r>
      <w:r>
        <w:rPr>
          <w:b w:val="0"/>
          <w:i w:val="0"/>
        </w:rPr>
        <w:t xml:space="preserve"> → buyer has remedies (§§ 2-601, 2-711).</w:t>
      </w:r>
    </w:p>
    <w:p>
      <w:pPr>
        <w:pStyle w:val="ListBullet"/>
      </w:pPr>
      <w:r>
        <w:rPr>
          <w:b/>
          <w:i w:val="0"/>
        </w:rPr>
        <w:t>Perfect tender (§ 2-601):</w:t>
      </w:r>
      <w:r>
        <w:rPr>
          <w:b w:val="0"/>
          <w:i w:val="0"/>
        </w:rPr>
        <w:t xml:space="preserve"> if goods or tender "</w:t>
      </w:r>
      <w:r>
        <w:rPr>
          <w:b/>
          <w:i w:val="0"/>
        </w:rPr>
        <w:t>fail in any respect</w:t>
      </w:r>
      <w:r>
        <w:rPr>
          <w:b w:val="0"/>
          <w:i w:val="0"/>
        </w:rPr>
        <w:t xml:space="preserve">," buyer may reject all, accept all, or accept any </w:t>
      </w:r>
      <w:r>
        <w:rPr>
          <w:b/>
          <w:i w:val="0"/>
        </w:rPr>
        <w:t>commercial units</w:t>
      </w:r>
      <w:r>
        <w:rPr>
          <w:b w:val="0"/>
          <w:i w:val="0"/>
        </w:rPr>
        <w:t xml:space="preserve"> and reject the rest. </w:t>
      </w:r>
      <w:r>
        <w:rPr>
          <w:b/>
          <w:i w:val="0"/>
        </w:rPr>
        <w:t>Installment contracts (§ 2-612):</w:t>
      </w:r>
      <w:r>
        <w:rPr>
          <w:b w:val="0"/>
          <w:i w:val="0"/>
        </w:rPr>
        <w:t xml:space="preserve"> reject an installment only if it </w:t>
      </w:r>
      <w:r>
        <w:rPr>
          <w:b/>
          <w:i w:val="0"/>
        </w:rPr>
        <w:t>substantially impairs</w:t>
      </w:r>
      <w:r>
        <w:rPr>
          <w:b w:val="0"/>
          <w:i w:val="0"/>
        </w:rPr>
        <w:t xml:space="preserve"> that installment and can't be cured; breach of the </w:t>
      </w:r>
      <w:r>
        <w:rPr>
          <w:b/>
          <w:i w:val="0"/>
        </w:rPr>
        <w:t>whole</w:t>
      </w:r>
      <w:r>
        <w:rPr>
          <w:b w:val="0"/>
          <w:i w:val="0"/>
        </w:rPr>
        <w:t xml:space="preserve"> only if the </w:t>
      </w:r>
      <w:r>
        <w:rPr>
          <w:b/>
          <w:i w:val="0"/>
        </w:rPr>
        <w:t>whole contract's</w:t>
      </w:r>
      <w:r>
        <w:rPr>
          <w:b w:val="0"/>
          <w:i w:val="0"/>
        </w:rPr>
        <w:t xml:space="preserve"> value is substantially impaired.</w:t>
      </w:r>
    </w:p>
    <w:p>
      <w:pPr>
        <w:pStyle w:val="ListBullet"/>
      </w:pPr>
      <w:r>
        <w:rPr>
          <w:b/>
          <w:i w:val="0"/>
        </w:rPr>
        <w:t>Cure (§ 2-508):</w:t>
      </w:r>
      <w:r>
        <w:rPr>
          <w:b w:val="0"/>
          <w:i w:val="0"/>
        </w:rPr>
        <w:t xml:space="preserve"> seller may cure </w:t>
      </w:r>
      <w:r>
        <w:rPr>
          <w:b/>
          <w:i w:val="0"/>
        </w:rPr>
        <w:t>within the contract time</w:t>
      </w:r>
      <w:r>
        <w:rPr>
          <w:b w:val="0"/>
          <w:i w:val="0"/>
        </w:rPr>
        <w:t xml:space="preserve"> on seasonable notice, or get a </w:t>
      </w:r>
      <w:r>
        <w:rPr>
          <w:b/>
          <w:i w:val="0"/>
        </w:rPr>
        <w:t>further reasonable time</w:t>
      </w:r>
      <w:r>
        <w:rPr>
          <w:b w:val="0"/>
          <w:i w:val="0"/>
        </w:rPr>
        <w:t xml:space="preserve"> if it reasonably thought the tender would be acceptable.</w:t>
      </w:r>
    </w:p>
    <w:p>
      <w:pPr>
        <w:pStyle w:val="ListBullet"/>
      </w:pPr>
      <w:r>
        <w:rPr>
          <w:b/>
          <w:i w:val="0"/>
        </w:rPr>
        <w:t>Problem 4-5:</w:t>
      </w:r>
      <w:r>
        <w:rPr>
          <w:b w:val="0"/>
          <w:i w:val="0"/>
        </w:rPr>
        <w:t xml:space="preserve"> </w:t>
      </w:r>
      <w:r>
        <w:rPr>
          <w:b/>
          <w:i w:val="0"/>
        </w:rPr>
        <w:t>(a)</w:t>
      </w:r>
      <w:r>
        <w:rPr>
          <w:b w:val="0"/>
          <w:i w:val="0"/>
        </w:rPr>
        <w:t xml:space="preserve"> seller demands payment </w:t>
      </w:r>
      <w:r>
        <w:rPr>
          <w:b/>
          <w:i w:val="0"/>
        </w:rPr>
        <w:t>before</w:t>
      </w:r>
      <w:r>
        <w:rPr>
          <w:b w:val="0"/>
          <w:i w:val="0"/>
        </w:rPr>
        <w:t xml:space="preserve"> inspection → </w:t>
      </w:r>
      <w:r>
        <w:rPr>
          <w:b/>
          <w:i w:val="0"/>
        </w:rPr>
        <w:t>buyer is right</w:t>
      </w:r>
      <w:r>
        <w:rPr>
          <w:b w:val="0"/>
          <w:i w:val="0"/>
        </w:rPr>
        <w:t xml:space="preserve"> (inspect first unless otherwise agreed). </w:t>
      </w:r>
      <w:r>
        <w:rPr>
          <w:b/>
          <w:i w:val="0"/>
        </w:rPr>
        <w:t>(b)</w:t>
      </w:r>
      <w:r>
        <w:rPr>
          <w:b w:val="0"/>
          <w:i w:val="0"/>
        </w:rPr>
        <w:t xml:space="preserve"> buyer wants a 2-week genetically modified organism (GMO) lab test → reasonable only if GMO-free is a contract term and the test is a </w:t>
      </w:r>
      <w:r>
        <w:rPr>
          <w:b/>
          <w:i w:val="0"/>
        </w:rPr>
        <w:t>reasonable manner/time</w:t>
      </w:r>
      <w:r>
        <w:rPr>
          <w:b w:val="0"/>
          <w:i w:val="0"/>
        </w:rPr>
        <w:t xml:space="preserve">; buyer may hold the wheat for testing </w:t>
      </w:r>
      <w:r>
        <w:rPr>
          <w:b/>
          <w:i w:val="0"/>
        </w:rPr>
        <w:t>without accepting</w:t>
      </w:r>
      <w:r>
        <w:rPr>
          <w:b w:val="0"/>
          <w:i w:val="0"/>
        </w:rPr>
        <w:t>; buyer pays test costs unless the wheat fails and is rejected; agree on a protocol.</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IX. Risk of Loss</w:t>
            </w:r>
            <w:r>
              <w:rPr>
                <w:b/>
                <w:color w:val="C9D9EE"/>
                <w:sz w:val="16"/>
              </w:rPr>
              <w:t xml:space="preserve">    WEEKS 4–5</w:t>
            </w:r>
          </w:p>
        </w:tc>
      </w:tr>
    </w:tbl>
    <w:p>
      <w:pPr>
        <w:keepNext/>
        <w:spacing w:after="0" w:line="80" w:lineRule="exact"/>
      </w:pPr>
    </w:p>
    <w:p>
      <w:pPr>
        <w:keepNext/>
        <w:spacing w:before="120" w:after="40"/>
        <w:pBdr>
          <w:bottom w:val="single" w:sz="6" w:space="1" w:color="8EAADB"/>
        </w:pBdr>
      </w:pPr>
      <w:r>
        <w:rPr>
          <w:b/>
          <w:i w:val="0"/>
          <w:color w:val="1F3A5F"/>
          <w:sz w:val="25"/>
        </w:rPr>
        <w:t>Principles</w:t>
      </w:r>
    </w:p>
    <w:p>
      <w:pPr>
        <w:pStyle w:val="ListBullet"/>
      </w:pPr>
      <w:r>
        <w:rPr>
          <w:b w:val="0"/>
          <w:i w:val="0"/>
        </w:rPr>
        <w:t xml:space="preserve">Risk of loss = </w:t>
      </w:r>
      <w:r>
        <w:rPr>
          <w:b/>
          <w:i w:val="0"/>
        </w:rPr>
        <w:t>who bears a casualty</w:t>
      </w:r>
      <w:r>
        <w:rPr>
          <w:b w:val="0"/>
          <w:i w:val="0"/>
        </w:rPr>
        <w:t xml:space="preserve"> to the goods (fire, theft, flood) — </w:t>
      </w:r>
      <w:r>
        <w:rPr>
          <w:b/>
          <w:i w:val="0"/>
        </w:rPr>
        <w:t>not the same as performance or breach</w:t>
      </w:r>
      <w:r>
        <w:rPr>
          <w:b w:val="0"/>
          <w:i w:val="0"/>
        </w:rPr>
        <w:t xml:space="preserve">, and </w:t>
      </w:r>
      <w:r>
        <w:rPr>
          <w:b/>
          <w:i w:val="0"/>
        </w:rPr>
        <w:t>not tied to title</w:t>
      </w:r>
      <w:r>
        <w:rPr>
          <w:b w:val="0"/>
          <w:i w:val="0"/>
        </w:rPr>
        <w:t>.</w:t>
      </w:r>
    </w:p>
    <w:p>
      <w:pPr>
        <w:pStyle w:val="ListBullet"/>
      </w:pPr>
      <w:r>
        <w:rPr>
          <w:b/>
          <w:i w:val="0"/>
        </w:rPr>
        <w:t>Three principles:</w:t>
      </w:r>
      <w:r>
        <w:rPr>
          <w:b w:val="0"/>
          <w:i w:val="0"/>
        </w:rPr>
        <w:t xml:space="preserve"> risk goes to the party who </w:t>
      </w:r>
      <w:r>
        <w:rPr>
          <w:b/>
          <w:i w:val="0"/>
        </w:rPr>
        <w:t>controls</w:t>
      </w:r>
      <w:r>
        <w:rPr>
          <w:b w:val="0"/>
          <w:i w:val="0"/>
        </w:rPr>
        <w:t xml:space="preserve"> the goods (best able to avoid loss), who is </w:t>
      </w:r>
      <w:r>
        <w:rPr>
          <w:b/>
          <w:i w:val="0"/>
        </w:rPr>
        <w:t>most likely insured</w:t>
      </w:r>
      <w:r>
        <w:rPr>
          <w:b w:val="0"/>
          <w:i w:val="0"/>
        </w:rPr>
        <w:t xml:space="preserve"> (§ 2-509 cmt. 3), and who is </w:t>
      </w:r>
      <w:r>
        <w:rPr>
          <w:b/>
          <w:i w:val="0"/>
        </w:rPr>
        <w:t>in breach</w:t>
      </w:r>
      <w:r>
        <w:rPr>
          <w:b w:val="0"/>
          <w:i w:val="0"/>
        </w:rPr>
        <w:t xml:space="preserve"> (§ 2-510).</w:t>
      </w:r>
    </w:p>
    <w:p>
      <w:pPr>
        <w:pStyle w:val="ListBullet"/>
      </w:pPr>
      <w:r>
        <w:rPr>
          <w:b/>
          <w:i w:val="0"/>
        </w:rPr>
        <w:t>If seller bears the risk and goods are destroyed:</w:t>
      </w:r>
      <w:r>
        <w:rPr>
          <w:b w:val="0"/>
          <w:i w:val="0"/>
        </w:rPr>
        <w:t xml:space="preserve"> </w:t>
      </w:r>
      <w:r>
        <w:rPr>
          <w:b/>
          <w:i w:val="0"/>
        </w:rPr>
        <w:t>unique/identified</w:t>
      </w:r>
      <w:r>
        <w:rPr>
          <w:b w:val="0"/>
          <w:i w:val="0"/>
        </w:rPr>
        <w:t xml:space="preserve"> goods → seller </w:t>
      </w:r>
      <w:r>
        <w:rPr>
          <w:b/>
          <w:i w:val="0"/>
        </w:rPr>
        <w:t>excused</w:t>
      </w:r>
      <w:r>
        <w:rPr>
          <w:b w:val="0"/>
          <w:i w:val="0"/>
        </w:rPr>
        <w:t xml:space="preserve"> (§ 2-613); </w:t>
      </w:r>
      <w:r>
        <w:rPr>
          <w:b/>
          <w:i w:val="0"/>
        </w:rPr>
        <w:t>fungible</w:t>
      </w:r>
      <w:r>
        <w:rPr>
          <w:b w:val="0"/>
          <w:i w:val="0"/>
        </w:rPr>
        <w:t xml:space="preserve"> goods → seller </w:t>
      </w:r>
      <w:r>
        <w:rPr>
          <w:b/>
          <w:i w:val="0"/>
        </w:rPr>
        <w:t>must still tender</w:t>
      </w:r>
      <w:r>
        <w:rPr>
          <w:b w:val="0"/>
          <w:i w:val="0"/>
        </w:rPr>
        <w:t xml:space="preserve">. If </w:t>
      </w:r>
      <w:r>
        <w:rPr>
          <w:b/>
          <w:i w:val="0"/>
        </w:rPr>
        <w:t>buyer</w:t>
      </w:r>
      <w:r>
        <w:rPr>
          <w:b w:val="0"/>
          <w:i w:val="0"/>
        </w:rPr>
        <w:t xml:space="preserve"> bears the risk → buyer </w:t>
      </w:r>
      <w:r>
        <w:rPr>
          <w:b/>
          <w:i w:val="0"/>
        </w:rPr>
        <w:t>must pay</w:t>
      </w:r>
      <w:r>
        <w:rPr>
          <w:b w:val="0"/>
          <w:i w:val="0"/>
        </w:rPr>
        <w:t xml:space="preserve"> (§ 2-709(1)(a)).</w:t>
      </w:r>
    </w:p>
    <w:p>
      <w:pPr>
        <w:pStyle w:val="ListBullet"/>
      </w:pPr>
      <w:r>
        <w:rPr>
          <w:b/>
          <w:i w:val="0"/>
        </w:rPr>
        <w:t>Sequence:</w:t>
      </w:r>
      <w:r>
        <w:rPr>
          <w:b w:val="0"/>
          <w:i w:val="0"/>
        </w:rPr>
        <w:t xml:space="preserve"> (1) What is seller's </w:t>
      </w:r>
      <w:r>
        <w:rPr>
          <w:b/>
          <w:i w:val="0"/>
        </w:rPr>
        <w:t>tender obligation</w:t>
      </w:r>
      <w:r>
        <w:rPr>
          <w:b w:val="0"/>
          <w:i w:val="0"/>
        </w:rPr>
        <w:t xml:space="preserve"> (§§ 2-307–2-309, 2-503, 2-504)? (2) Has anyone </w:t>
      </w:r>
      <w:r>
        <w:rPr>
          <w:b/>
          <w:i w:val="0"/>
        </w:rPr>
        <w:t>breached</w:t>
      </w:r>
      <w:r>
        <w:rPr>
          <w:b w:val="0"/>
          <w:i w:val="0"/>
        </w:rPr>
        <w:t xml:space="preserve"> (§ 2-509 or § 2-510)? (3) Apply the rule for </w:t>
      </w:r>
      <w:r>
        <w:rPr>
          <w:b/>
          <w:i w:val="0"/>
        </w:rPr>
        <w:t>carrier / bailee / seller-tender (merchant vs. non-merchant) / other agreement</w:t>
      </w:r>
      <w:r>
        <w:rPr>
          <w:b w:val="0"/>
          <w:i w:val="0"/>
        </w:rPr>
        <w:t>.</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F3F3F3"/>
            <w:tcMar>
              <w:top w:w="70" w:type="dxa"/>
              <w:bottom w:w="70" w:type="dxa"/>
              <w:left w:w="140" w:type="dxa"/>
              <w:right w:w="120" w:type="dxa"/>
            </w:tcMar>
            <w:tcBorders>
              <w:left w:val="single" w:sz="30" w:space="0" w:color="595959"/>
            </w:tcBorders>
          </w:tcPr>
          <w:p>
            <w:pPr>
              <w:spacing w:after="30" w:line="240" w:lineRule="auto"/>
            </w:pPr>
            <w:r>
              <w:rPr>
                <w:b/>
                <w:color w:val="595959"/>
                <w:sz w:val="15"/>
              </w:rPr>
              <w:t xml:space="preserve">ROADMAP   </w:t>
            </w:r>
            <w:r>
              <w:rPr>
                <w:b/>
                <w:i w:val="0"/>
                <w:sz w:val="21"/>
              </w:rPr>
              <w:t>Risk-of-loss decision tree</w:t>
            </w:r>
          </w:p>
          <w:p>
            <w:pPr>
              <w:spacing w:after="30" w:line="240" w:lineRule="auto"/>
              <w:ind w:left="317" w:hanging="259"/>
            </w:pPr>
            <w:r>
              <w:rPr>
                <w:b/>
                <w:color w:val="595959"/>
                <w:sz w:val="21"/>
              </w:rPr>
              <w:t xml:space="preserve">1.  </w:t>
            </w:r>
            <w:r>
              <w:rPr>
                <w:b/>
                <w:i w:val="0"/>
                <w:sz w:val="21"/>
              </w:rPr>
              <w:t>Agreement</w:t>
            </w:r>
            <w:r>
              <w:rPr>
                <w:b w:val="0"/>
                <w:i w:val="0"/>
                <w:sz w:val="21"/>
              </w:rPr>
              <w:t xml:space="preserve"> on risk? → follow it (§ 2-509(4)); sale on approval: risk stays with seller until acceptance (§ 2-327).</w:t>
            </w:r>
          </w:p>
          <w:p>
            <w:pPr>
              <w:spacing w:after="30" w:line="240" w:lineRule="auto"/>
              <w:ind w:left="317" w:hanging="259"/>
            </w:pPr>
            <w:r>
              <w:rPr>
                <w:b/>
                <w:color w:val="595959"/>
                <w:sz w:val="21"/>
              </w:rPr>
              <w:t xml:space="preserve">2.  </w:t>
            </w:r>
            <w:r>
              <w:rPr>
                <w:b/>
                <w:i w:val="0"/>
                <w:sz w:val="21"/>
              </w:rPr>
              <w:t>Seller in breach?</w:t>
            </w:r>
            <w:r>
              <w:rPr>
                <w:b w:val="0"/>
                <w:i w:val="0"/>
                <w:sz w:val="21"/>
              </w:rPr>
              <w:t xml:space="preserve"> Nonconforming tender → risk stays with </w:t>
            </w:r>
            <w:r>
              <w:rPr>
                <w:b/>
                <w:i w:val="0"/>
                <w:sz w:val="21"/>
              </w:rPr>
              <w:t>seller until cure or acceptance</w:t>
            </w:r>
            <w:r>
              <w:rPr>
                <w:b w:val="0"/>
                <w:i w:val="0"/>
                <w:sz w:val="21"/>
              </w:rPr>
              <w:t xml:space="preserve"> (§ 2-510(1)). Rightful revocation → treat as on seller </w:t>
            </w:r>
            <w:r>
              <w:rPr>
                <w:b/>
                <w:i w:val="0"/>
                <w:sz w:val="21"/>
              </w:rPr>
              <w:t>from the beginning</w:t>
            </w:r>
            <w:r>
              <w:rPr>
                <w:b w:val="0"/>
                <w:i w:val="0"/>
                <w:sz w:val="21"/>
              </w:rPr>
              <w:t>, to the extent of buyer's insurance gap (§ 2-510(2)).</w:t>
            </w:r>
          </w:p>
          <w:p>
            <w:pPr>
              <w:spacing w:after="30" w:line="240" w:lineRule="auto"/>
              <w:ind w:left="317" w:hanging="259"/>
            </w:pPr>
            <w:r>
              <w:rPr>
                <w:b/>
                <w:color w:val="595959"/>
                <w:sz w:val="21"/>
              </w:rPr>
              <w:t xml:space="preserve">3.  </w:t>
            </w:r>
            <w:r>
              <w:rPr>
                <w:b/>
                <w:i w:val="0"/>
                <w:sz w:val="21"/>
              </w:rPr>
              <w:t>Buyer in breach</w:t>
            </w:r>
            <w:r>
              <w:rPr>
                <w:b w:val="0"/>
                <w:i w:val="0"/>
                <w:sz w:val="21"/>
              </w:rPr>
              <w:t xml:space="preserve"> (repudiates) as to identified conforming goods → risk on </w:t>
            </w:r>
            <w:r>
              <w:rPr>
                <w:b/>
                <w:i w:val="0"/>
                <w:sz w:val="21"/>
              </w:rPr>
              <w:t>buyer for a commercially reasonable time</w:t>
            </w:r>
            <w:r>
              <w:rPr>
                <w:b w:val="0"/>
                <w:i w:val="0"/>
                <w:sz w:val="21"/>
              </w:rPr>
              <w:t>, to the extent of seller's insurance gap (§ 2-510(3)).</w:t>
            </w:r>
          </w:p>
          <w:p>
            <w:pPr>
              <w:spacing w:after="30" w:line="240" w:lineRule="auto"/>
              <w:ind w:left="317" w:hanging="259"/>
            </w:pPr>
            <w:r>
              <w:rPr>
                <w:b/>
                <w:color w:val="595959"/>
                <w:sz w:val="21"/>
              </w:rPr>
              <w:t xml:space="preserve">4.  </w:t>
            </w:r>
            <w:r>
              <w:rPr>
                <w:b/>
                <w:i w:val="0"/>
                <w:sz w:val="21"/>
              </w:rPr>
              <w:t>Carrier, shipment contract</w:t>
            </w:r>
            <w:r>
              <w:rPr>
                <w:b w:val="0"/>
                <w:i w:val="0"/>
                <w:sz w:val="21"/>
              </w:rPr>
              <w:t xml:space="preserve"> (presumed) → passes on </w:t>
            </w:r>
            <w:r>
              <w:rPr>
                <w:b/>
                <w:i w:val="0"/>
                <w:sz w:val="21"/>
              </w:rPr>
              <w:t>due delivery to the carrier</w:t>
            </w:r>
            <w:r>
              <w:rPr>
                <w:b w:val="0"/>
                <w:i w:val="0"/>
                <w:sz w:val="21"/>
              </w:rPr>
              <w:t xml:space="preserve"> (§ 2-509(1)(a)).</w:t>
            </w:r>
          </w:p>
          <w:p>
            <w:pPr>
              <w:spacing w:after="30" w:line="240" w:lineRule="auto"/>
              <w:ind w:left="317" w:hanging="259"/>
            </w:pPr>
            <w:r>
              <w:rPr>
                <w:b/>
                <w:color w:val="595959"/>
                <w:sz w:val="21"/>
              </w:rPr>
              <w:t xml:space="preserve">5.  </w:t>
            </w:r>
            <w:r>
              <w:rPr>
                <w:b/>
                <w:i w:val="0"/>
                <w:sz w:val="21"/>
              </w:rPr>
              <w:t>Carrier, destination contract</w:t>
            </w:r>
            <w:r>
              <w:rPr>
                <w:b w:val="0"/>
                <w:i w:val="0"/>
                <w:sz w:val="21"/>
              </w:rPr>
              <w:t xml:space="preserve"> → passes when </w:t>
            </w:r>
            <w:r>
              <w:rPr>
                <w:b/>
                <w:i w:val="0"/>
                <w:sz w:val="21"/>
              </w:rPr>
              <w:t>duly tendered at the destination</w:t>
            </w:r>
            <w:r>
              <w:rPr>
                <w:b w:val="0"/>
                <w:i w:val="0"/>
                <w:sz w:val="21"/>
              </w:rPr>
              <w:t xml:space="preserve"> (§ 2-509(1)(b)).</w:t>
            </w:r>
          </w:p>
          <w:p>
            <w:pPr>
              <w:spacing w:after="30" w:line="240" w:lineRule="auto"/>
              <w:ind w:left="317" w:hanging="259"/>
            </w:pPr>
            <w:r>
              <w:rPr>
                <w:b/>
                <w:color w:val="595959"/>
                <w:sz w:val="21"/>
              </w:rPr>
              <w:t xml:space="preserve">6.  </w:t>
            </w:r>
            <w:r>
              <w:rPr>
                <w:b/>
                <w:i w:val="0"/>
                <w:sz w:val="21"/>
              </w:rPr>
              <w:t>Bailee, goods not moved</w:t>
            </w:r>
            <w:r>
              <w:rPr>
                <w:b w:val="0"/>
                <w:i w:val="0"/>
                <w:sz w:val="21"/>
              </w:rPr>
              <w:t xml:space="preserve"> → on receipt of a </w:t>
            </w:r>
            <w:r>
              <w:rPr>
                <w:b/>
                <w:i w:val="0"/>
                <w:sz w:val="21"/>
              </w:rPr>
              <w:t>negotiable document</w:t>
            </w:r>
            <w:r>
              <w:rPr>
                <w:b w:val="0"/>
                <w:i w:val="0"/>
                <w:sz w:val="21"/>
              </w:rPr>
              <w:t xml:space="preserve">, the bailee's </w:t>
            </w:r>
            <w:r>
              <w:rPr>
                <w:b/>
                <w:i w:val="0"/>
                <w:sz w:val="21"/>
              </w:rPr>
              <w:t>acknowledgment</w:t>
            </w:r>
            <w:r>
              <w:rPr>
                <w:b w:val="0"/>
                <w:i w:val="0"/>
                <w:sz w:val="21"/>
              </w:rPr>
              <w:t xml:space="preserve">, or a </w:t>
            </w:r>
            <w:r>
              <w:rPr>
                <w:b/>
                <w:i w:val="0"/>
                <w:sz w:val="21"/>
              </w:rPr>
              <w:t>reasonable time</w:t>
            </w:r>
            <w:r>
              <w:rPr>
                <w:b w:val="0"/>
                <w:i w:val="0"/>
                <w:sz w:val="21"/>
              </w:rPr>
              <w:t xml:space="preserve"> after a non-negotiable document/delivery order (§ 2-509(2)).</w:t>
            </w:r>
          </w:p>
          <w:p>
            <w:pPr>
              <w:spacing w:after="30" w:line="240" w:lineRule="auto"/>
              <w:ind w:left="317" w:hanging="259"/>
            </w:pPr>
            <w:r>
              <w:rPr>
                <w:b/>
                <w:color w:val="595959"/>
                <w:sz w:val="21"/>
              </w:rPr>
              <w:t xml:space="preserve">7.  </w:t>
            </w:r>
            <w:r>
              <w:rPr>
                <w:b/>
                <w:i w:val="0"/>
                <w:sz w:val="21"/>
              </w:rPr>
              <w:t>Everything else (seller delivers or buyer picks up)</w:t>
            </w:r>
            <w:r>
              <w:rPr>
                <w:b w:val="0"/>
                <w:i w:val="0"/>
                <w:sz w:val="21"/>
              </w:rPr>
              <w:t xml:space="preserve"> → </w:t>
            </w:r>
            <w:r>
              <w:rPr>
                <w:b/>
                <w:i w:val="0"/>
                <w:sz w:val="21"/>
              </w:rPr>
              <w:t>merchant seller: on buyer's RECEIPT</w:t>
            </w:r>
            <w:r>
              <w:rPr>
                <w:b w:val="0"/>
                <w:i w:val="0"/>
                <w:sz w:val="21"/>
              </w:rPr>
              <w:t xml:space="preserve"> (physical possession); </w:t>
            </w:r>
            <w:r>
              <w:rPr>
                <w:b/>
                <w:i w:val="0"/>
                <w:sz w:val="21"/>
              </w:rPr>
              <w:t>non-merchant seller: on TENDER</w:t>
            </w:r>
            <w:r>
              <w:rPr>
                <w:b w:val="0"/>
                <w:i w:val="0"/>
                <w:sz w:val="21"/>
              </w:rPr>
              <w:t xml:space="preserve"> (§ 2-509(3)).</w:t>
            </w:r>
          </w:p>
        </w:tc>
      </w:tr>
    </w:tbl>
    <w:p>
      <w:pPr>
        <w:spacing w:after="0" w:line="100" w:lineRule="exact"/>
      </w:pPr>
    </w:p>
    <w:p>
      <w:pPr>
        <w:keepNext/>
        <w:spacing w:before="120" w:after="40"/>
        <w:pBdr>
          <w:bottom w:val="single" w:sz="6" w:space="1" w:color="8EAADB"/>
        </w:pBdr>
      </w:pPr>
      <w:r>
        <w:rPr>
          <w:b/>
          <w:i w:val="0"/>
          <w:color w:val="1F3A5F"/>
          <w:sz w:val="25"/>
        </w:rPr>
        <w:t>Non-shipment contracts — Problem 4-6</w:t>
      </w:r>
    </w:p>
    <w:p>
      <w:pPr>
        <w:pStyle w:val="ListBullet"/>
      </w:pPr>
      <w:r>
        <w:rPr>
          <w:b/>
          <w:i w:val="0"/>
        </w:rPr>
        <w:t>(a)</w:t>
      </w:r>
      <w:r>
        <w:rPr>
          <w:b w:val="0"/>
          <w:i w:val="0"/>
        </w:rPr>
        <w:t xml:space="preserve"> Seller drives the wheat in </w:t>
      </w:r>
      <w:r>
        <w:rPr>
          <w:b/>
          <w:i w:val="0"/>
        </w:rPr>
        <w:t>its own truck</w:t>
      </w:r>
      <w:r>
        <w:rPr>
          <w:b w:val="0"/>
          <w:i w:val="0"/>
        </w:rPr>
        <w:t xml:space="preserve">; truck burns en route → the seller's own truck is </w:t>
      </w:r>
      <w:r>
        <w:rPr>
          <w:b/>
          <w:i w:val="0"/>
        </w:rPr>
        <w:t>not a carrier</w:t>
      </w:r>
      <w:r>
        <w:rPr>
          <w:b w:val="0"/>
          <w:i w:val="0"/>
        </w:rPr>
        <w:t xml:space="preserve"> → § 2-509(3). Merchant: no </w:t>
      </w:r>
      <w:r>
        <w:rPr>
          <w:b/>
          <w:i w:val="0"/>
        </w:rPr>
        <w:t>receipt</w:t>
      </w:r>
      <w:r>
        <w:rPr>
          <w:b w:val="0"/>
          <w:i w:val="0"/>
        </w:rPr>
        <w:t xml:space="preserve"> → seller's risk. Non-merchant: risk passes at the </w:t>
      </w:r>
      <w:r>
        <w:rPr>
          <w:b/>
          <w:i w:val="0"/>
        </w:rPr>
        <w:t>completion</w:t>
      </w:r>
      <w:r>
        <w:rPr>
          <w:b w:val="0"/>
          <w:i w:val="0"/>
        </w:rPr>
        <w:t xml:space="preserve"> of tender, which never happened → seller's risk. </w:t>
      </w:r>
      <w:r>
        <w:rPr>
          <w:b/>
          <w:i w:val="0"/>
        </w:rPr>
        <w:t>Seller bears it either way</w:t>
      </w:r>
      <w:r>
        <w:rPr>
          <w:b w:val="0"/>
          <w:i w:val="0"/>
        </w:rPr>
        <w:t xml:space="preserve"> (fungible wheat → must re-tender).</w:t>
      </w:r>
    </w:p>
    <w:p>
      <w:pPr>
        <w:pStyle w:val="ListBullet"/>
      </w:pPr>
      <w:r>
        <w:rPr>
          <w:b/>
          <w:i w:val="0"/>
        </w:rPr>
        <w:t>(b)</w:t>
      </w:r>
      <w:r>
        <w:rPr>
          <w:b w:val="0"/>
          <w:i w:val="0"/>
        </w:rPr>
        <w:t xml:space="preserve"> Seller says "ready for pickup"; fire destroys it before buyer arrives → </w:t>
      </w:r>
      <w:r>
        <w:rPr>
          <w:b/>
          <w:i w:val="0"/>
        </w:rPr>
        <w:t>merchant seller: seller bears</w:t>
      </w:r>
      <w:r>
        <w:rPr>
          <w:b w:val="0"/>
          <w:i w:val="0"/>
        </w:rPr>
        <w:t xml:space="preserve"> (no receipt); </w:t>
      </w:r>
      <w:r>
        <w:rPr>
          <w:b/>
          <w:i w:val="0"/>
        </w:rPr>
        <w:t>non-merchant: buyer bears</w:t>
      </w:r>
      <w:r>
        <w:rPr>
          <w:b w:val="0"/>
          <w:i w:val="0"/>
        </w:rPr>
        <w:t xml:space="preserve"> (tender complete). </w:t>
      </w:r>
      <w:r>
        <w:rPr>
          <w:b/>
          <w:i w:val="0"/>
        </w:rPr>
        <w:t>Merchant status decides the case.</w:t>
      </w:r>
    </w:p>
    <w:p>
      <w:pPr>
        <w:pStyle w:val="ListBullet"/>
      </w:pPr>
      <w:r>
        <w:rPr>
          <w:b w:val="0"/>
          <w:i w:val="0"/>
        </w:rPr>
        <w:t xml:space="preserve">Rationale (cmt. 3): a merchant seller still </w:t>
      </w:r>
      <w:r>
        <w:rPr>
          <w:b/>
          <w:i w:val="0"/>
        </w:rPr>
        <w:t>controls</w:t>
      </w:r>
      <w:r>
        <w:rPr>
          <w:b w:val="0"/>
          <w:i w:val="0"/>
        </w:rPr>
        <w:t xml:space="preserve"> and can </w:t>
      </w:r>
      <w:r>
        <w:rPr>
          <w:b/>
          <w:i w:val="0"/>
        </w:rPr>
        <w:t>insure</w:t>
      </w:r>
      <w:r>
        <w:rPr>
          <w:b w:val="0"/>
          <w:i w:val="0"/>
        </w:rPr>
        <w:t xml:space="preserve"> the goods — risk stays even if buyer has </w:t>
      </w:r>
      <w:r>
        <w:rPr>
          <w:b/>
          <w:i w:val="0"/>
        </w:rPr>
        <w:t>paid</w:t>
      </w:r>
      <w:r>
        <w:rPr>
          <w:b w:val="0"/>
          <w:i w:val="0"/>
        </w:rPr>
        <w:t>.</w:t>
      </w:r>
    </w:p>
    <w:p>
      <w:pPr>
        <w:keepNext/>
        <w:spacing w:before="120" w:after="40"/>
        <w:pBdr>
          <w:bottom w:val="single" w:sz="6" w:space="1" w:color="8EAADB"/>
        </w:pBdr>
      </w:pPr>
      <w:r>
        <w:rPr>
          <w:b/>
          <w:i w:val="0"/>
          <w:color w:val="1F3A5F"/>
          <w:sz w:val="25"/>
        </w:rPr>
        <w:t>Shipment vs. destination contracts</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1453"/>
        <w:gridCol w:w="4128"/>
        <w:gridCol w:w="4929"/>
      </w:tblGrid>
      <w:tr>
        <w:trPr>
          <w:tblHeader w:val="true"/>
        </w:trPr>
        <w:tc>
          <w:tcPr>
            <w:tcW w:type="dxa" w:w="1453"/>
            <w:shd w:val="clear" w:color="auto" w:fill="1F3A5F"/>
            <w:tcMar>
              <w:top w:w="40" w:type="dxa"/>
              <w:bottom w:w="40" w:type="dxa"/>
              <w:left w:w="80" w:type="dxa"/>
              <w:right w:w="80" w:type="dxa"/>
            </w:tcMar>
          </w:tcPr>
          <w:p>
            <w:pPr>
              <w:spacing w:after="0"/>
            </w:pPr>
          </w:p>
        </w:tc>
        <w:tc>
          <w:tcPr>
            <w:tcW w:type="dxa" w:w="4129"/>
            <w:shd w:val="clear" w:color="auto" w:fill="1F3A5F"/>
            <w:tcMar>
              <w:top w:w="40" w:type="dxa"/>
              <w:bottom w:w="40" w:type="dxa"/>
              <w:left w:w="80" w:type="dxa"/>
              <w:right w:w="80" w:type="dxa"/>
            </w:tcMar>
          </w:tcPr>
          <w:p>
            <w:pPr>
              <w:spacing w:after="0"/>
            </w:pPr>
            <w:r>
              <w:rPr>
                <w:b/>
                <w:i w:val="0"/>
                <w:color w:val="FFFFFF"/>
                <w:sz w:val="20"/>
              </w:rPr>
              <w:t>Shipment contract</w:t>
            </w:r>
            <w:r>
              <w:rPr>
                <w:b/>
                <w:i w:val="0"/>
                <w:color w:val="FFFFFF"/>
                <w:sz w:val="20"/>
              </w:rPr>
              <w:t xml:space="preserve"> (the norm)</w:t>
            </w:r>
          </w:p>
        </w:tc>
        <w:tc>
          <w:tcPr>
            <w:tcW w:type="dxa" w:w="4930"/>
            <w:shd w:val="clear" w:color="auto" w:fill="1F3A5F"/>
            <w:tcMar>
              <w:top w:w="40" w:type="dxa"/>
              <w:bottom w:w="40" w:type="dxa"/>
              <w:left w:w="80" w:type="dxa"/>
              <w:right w:w="80" w:type="dxa"/>
            </w:tcMar>
          </w:tcPr>
          <w:p>
            <w:pPr>
              <w:spacing w:after="0"/>
            </w:pPr>
            <w:r>
              <w:rPr>
                <w:b/>
                <w:i w:val="0"/>
                <w:color w:val="FFFFFF"/>
                <w:sz w:val="20"/>
              </w:rPr>
              <w:t>Destination contract</w:t>
            </w:r>
          </w:p>
        </w:tc>
      </w:tr>
      <w:tr>
        <w:trPr>
          <w:cantSplit w:val="true"/>
        </w:trPr>
        <w:tc>
          <w:tcPr>
            <w:tcW w:type="dxa" w:w="1453"/>
            <w:tcMar>
              <w:top w:w="30" w:type="dxa"/>
              <w:bottom w:w="30" w:type="dxa"/>
              <w:left w:w="80" w:type="dxa"/>
              <w:right w:w="80" w:type="dxa"/>
            </w:tcMar>
          </w:tcPr>
          <w:p>
            <w:pPr>
              <w:spacing w:after="0" w:line="240" w:lineRule="auto"/>
            </w:pPr>
            <w:r>
              <w:rPr>
                <w:b w:val="0"/>
                <w:i w:val="0"/>
                <w:sz w:val="20"/>
              </w:rPr>
              <w:t>Risk passes</w:t>
            </w:r>
          </w:p>
        </w:tc>
        <w:tc>
          <w:tcPr>
            <w:tcW w:type="dxa" w:w="4129"/>
            <w:tcMar>
              <w:top w:w="30" w:type="dxa"/>
              <w:bottom w:w="30" w:type="dxa"/>
              <w:left w:w="80" w:type="dxa"/>
              <w:right w:w="80" w:type="dxa"/>
            </w:tcMar>
          </w:tcPr>
          <w:p>
            <w:pPr>
              <w:spacing w:after="0" w:line="240" w:lineRule="auto"/>
            </w:pPr>
            <w:r>
              <w:rPr>
                <w:b w:val="0"/>
                <w:i w:val="0"/>
                <w:sz w:val="20"/>
              </w:rPr>
              <w:t xml:space="preserve">When goods are </w:t>
            </w:r>
            <w:r>
              <w:rPr>
                <w:b/>
                <w:i w:val="0"/>
                <w:sz w:val="20"/>
              </w:rPr>
              <w:t>duly delivered to the carrier</w:t>
            </w:r>
          </w:p>
        </w:tc>
        <w:tc>
          <w:tcPr>
            <w:tcW w:type="dxa" w:w="4930"/>
            <w:tcMar>
              <w:top w:w="30" w:type="dxa"/>
              <w:bottom w:w="30" w:type="dxa"/>
              <w:left w:w="80" w:type="dxa"/>
              <w:right w:w="80" w:type="dxa"/>
            </w:tcMar>
          </w:tcPr>
          <w:p>
            <w:pPr>
              <w:spacing w:after="0" w:line="240" w:lineRule="auto"/>
            </w:pPr>
            <w:r>
              <w:rPr>
                <w:b w:val="0"/>
                <w:i w:val="0"/>
                <w:sz w:val="20"/>
              </w:rPr>
              <w:t xml:space="preserve">When </w:t>
            </w:r>
            <w:r>
              <w:rPr>
                <w:b/>
                <w:i w:val="0"/>
                <w:sz w:val="20"/>
              </w:rPr>
              <w:t>duly tendered at the destination</w:t>
            </w:r>
          </w:p>
        </w:tc>
      </w:tr>
      <w:tr>
        <w:trPr>
          <w:cantSplit w:val="true"/>
        </w:trPr>
        <w:tc>
          <w:tcPr>
            <w:tcW w:type="dxa" w:w="1453"/>
            <w:tcMar>
              <w:top w:w="30" w:type="dxa"/>
              <w:bottom w:w="30" w:type="dxa"/>
              <w:left w:w="80" w:type="dxa"/>
              <w:right w:w="80" w:type="dxa"/>
            </w:tcMar>
            <w:shd w:val="clear" w:color="auto" w:fill="F2F6FB"/>
          </w:tcPr>
          <w:p>
            <w:pPr>
              <w:spacing w:after="0" w:line="240" w:lineRule="auto"/>
            </w:pPr>
            <w:r>
              <w:rPr>
                <w:b w:val="0"/>
                <w:i w:val="0"/>
                <w:sz w:val="20"/>
              </w:rPr>
              <w:t>Transit loss</w:t>
            </w:r>
          </w:p>
        </w:tc>
        <w:tc>
          <w:tcPr>
            <w:tcW w:type="dxa" w:w="4129"/>
            <w:tcMar>
              <w:top w:w="30" w:type="dxa"/>
              <w:bottom w:w="30" w:type="dxa"/>
              <w:left w:w="80" w:type="dxa"/>
              <w:right w:w="80" w:type="dxa"/>
            </w:tcMar>
            <w:shd w:val="clear" w:color="auto" w:fill="F2F6FB"/>
          </w:tcPr>
          <w:p>
            <w:pPr>
              <w:spacing w:after="0" w:line="240" w:lineRule="auto"/>
            </w:pPr>
            <w:r>
              <w:rPr>
                <w:b/>
                <w:i w:val="0"/>
                <w:sz w:val="20"/>
              </w:rPr>
              <w:t>Buyer</w:t>
            </w:r>
            <w:r>
              <w:rPr>
                <w:b w:val="0"/>
                <w:i w:val="0"/>
                <w:sz w:val="20"/>
              </w:rPr>
              <w:t xml:space="preserve"> bears (sue the carrier/insure)</w:t>
            </w:r>
          </w:p>
        </w:tc>
        <w:tc>
          <w:tcPr>
            <w:tcW w:type="dxa" w:w="4930"/>
            <w:tcMar>
              <w:top w:w="30" w:type="dxa"/>
              <w:bottom w:w="30" w:type="dxa"/>
              <w:left w:w="80" w:type="dxa"/>
              <w:right w:w="80" w:type="dxa"/>
            </w:tcMar>
            <w:shd w:val="clear" w:color="auto" w:fill="F2F6FB"/>
          </w:tcPr>
          <w:p>
            <w:pPr>
              <w:spacing w:after="0" w:line="240" w:lineRule="auto"/>
            </w:pPr>
            <w:r>
              <w:rPr>
                <w:b/>
                <w:i w:val="0"/>
                <w:sz w:val="20"/>
              </w:rPr>
              <w:t>Seller</w:t>
            </w:r>
            <w:r>
              <w:rPr>
                <w:b w:val="0"/>
                <w:i w:val="0"/>
                <w:sz w:val="20"/>
              </w:rPr>
              <w:t xml:space="preserve"> bears</w:t>
            </w:r>
          </w:p>
        </w:tc>
      </w:tr>
      <w:tr>
        <w:trPr>
          <w:cantSplit w:val="true"/>
        </w:trPr>
        <w:tc>
          <w:tcPr>
            <w:tcW w:type="dxa" w:w="1453"/>
            <w:tcMar>
              <w:top w:w="30" w:type="dxa"/>
              <w:bottom w:w="30" w:type="dxa"/>
              <w:left w:w="80" w:type="dxa"/>
              <w:right w:w="80" w:type="dxa"/>
            </w:tcMar>
          </w:tcPr>
          <w:p>
            <w:pPr>
              <w:spacing w:after="0" w:line="240" w:lineRule="auto"/>
            </w:pPr>
            <w:r>
              <w:rPr>
                <w:b w:val="0"/>
                <w:i w:val="0"/>
                <w:sz w:val="20"/>
              </w:rPr>
              <w:t>Signals</w:t>
            </w:r>
          </w:p>
        </w:tc>
        <w:tc>
          <w:tcPr>
            <w:tcW w:type="dxa" w:w="4129"/>
            <w:tcMar>
              <w:top w:w="30" w:type="dxa"/>
              <w:bottom w:w="30" w:type="dxa"/>
              <w:left w:w="80" w:type="dxa"/>
              <w:right w:w="80" w:type="dxa"/>
            </w:tcMar>
          </w:tcPr>
          <w:p>
            <w:pPr>
              <w:spacing w:after="0" w:line="240" w:lineRule="auto"/>
            </w:pPr>
            <w:r>
              <w:rPr>
                <w:b/>
                <w:i w:val="0"/>
                <w:sz w:val="20"/>
              </w:rPr>
              <w:t>F.O.B. seller's city</w:t>
            </w:r>
            <w:r>
              <w:rPr>
                <w:b w:val="0"/>
                <w:i w:val="0"/>
                <w:sz w:val="20"/>
              </w:rPr>
              <w:t>; "ship to"; C.I.F./C.&amp;F.</w:t>
            </w:r>
          </w:p>
        </w:tc>
        <w:tc>
          <w:tcPr>
            <w:tcW w:type="dxa" w:w="4930"/>
            <w:tcMar>
              <w:top w:w="30" w:type="dxa"/>
              <w:bottom w:w="30" w:type="dxa"/>
              <w:left w:w="80" w:type="dxa"/>
              <w:right w:w="80" w:type="dxa"/>
            </w:tcMar>
          </w:tcPr>
          <w:p>
            <w:pPr>
              <w:spacing w:after="0" w:line="240" w:lineRule="auto"/>
            </w:pPr>
            <w:r>
              <w:rPr>
                <w:b/>
                <w:i w:val="0"/>
                <w:sz w:val="20"/>
              </w:rPr>
              <w:t>F.O.B. buyer's city</w:t>
            </w:r>
            <w:r>
              <w:rPr>
                <w:b w:val="0"/>
                <w:i w:val="0"/>
                <w:sz w:val="20"/>
              </w:rPr>
              <w:t xml:space="preserve">; seller expressly agrees to deliver </w:t>
            </w:r>
            <w:r>
              <w:rPr>
                <w:b/>
                <w:i w:val="0"/>
                <w:sz w:val="20"/>
              </w:rPr>
              <w:t>at</w:t>
            </w:r>
            <w:r>
              <w:rPr>
                <w:b w:val="0"/>
                <w:i w:val="0"/>
                <w:sz w:val="20"/>
              </w:rPr>
              <w:t xml:space="preserve"> a place; ex-ship</w:t>
            </w:r>
          </w:p>
        </w:tc>
      </w:tr>
      <w:tr>
        <w:trPr>
          <w:cantSplit w:val="true"/>
        </w:trPr>
        <w:tc>
          <w:tcPr>
            <w:tcW w:type="dxa" w:w="1453"/>
            <w:tcMar>
              <w:top w:w="30" w:type="dxa"/>
              <w:bottom w:w="30" w:type="dxa"/>
              <w:left w:w="80" w:type="dxa"/>
              <w:right w:w="80" w:type="dxa"/>
            </w:tcMar>
            <w:shd w:val="clear" w:color="auto" w:fill="F2F6FB"/>
          </w:tcPr>
          <w:p>
            <w:pPr>
              <w:spacing w:after="0" w:line="240" w:lineRule="auto"/>
            </w:pPr>
            <w:r>
              <w:rPr>
                <w:b w:val="0"/>
                <w:i w:val="0"/>
                <w:sz w:val="20"/>
              </w:rPr>
              <w:t>Title passes</w:t>
            </w:r>
          </w:p>
        </w:tc>
        <w:tc>
          <w:tcPr>
            <w:tcW w:type="dxa" w:w="4129"/>
            <w:tcMar>
              <w:top w:w="30" w:type="dxa"/>
              <w:bottom w:w="30" w:type="dxa"/>
              <w:left w:w="80" w:type="dxa"/>
              <w:right w:w="80" w:type="dxa"/>
            </w:tcMar>
            <w:shd w:val="clear" w:color="auto" w:fill="F2F6FB"/>
          </w:tcPr>
          <w:p>
            <w:pPr>
              <w:spacing w:after="0" w:line="240" w:lineRule="auto"/>
            </w:pPr>
            <w:r>
              <w:rPr>
                <w:b w:val="0"/>
                <w:i w:val="0"/>
                <w:sz w:val="20"/>
              </w:rPr>
              <w:t>At shipment (§ 2-401(2)(a))</w:t>
            </w:r>
          </w:p>
        </w:tc>
        <w:tc>
          <w:tcPr>
            <w:tcW w:type="dxa" w:w="4930"/>
            <w:tcMar>
              <w:top w:w="30" w:type="dxa"/>
              <w:bottom w:w="30" w:type="dxa"/>
              <w:left w:w="80" w:type="dxa"/>
              <w:right w:w="80" w:type="dxa"/>
            </w:tcMar>
            <w:shd w:val="clear" w:color="auto" w:fill="F2F6FB"/>
          </w:tcPr>
          <w:p>
            <w:pPr>
              <w:spacing w:after="0" w:line="240" w:lineRule="auto"/>
            </w:pPr>
            <w:r>
              <w:rPr>
                <w:b w:val="0"/>
                <w:i w:val="0"/>
                <w:sz w:val="20"/>
              </w:rPr>
              <w:t>On tender at destination</w:t>
            </w:r>
          </w:p>
        </w:tc>
      </w:tr>
    </w:tbl>
    <w:p>
      <w:pPr>
        <w:spacing w:after="0" w:line="120" w:lineRule="exact"/>
      </w:pPr>
    </w:p>
    <w:p>
      <w:pPr>
        <w:pStyle w:val="ListBullet"/>
      </w:pPr>
      <w:r>
        <w:rPr>
          <w:b/>
          <w:i w:val="0"/>
        </w:rPr>
        <w:t>Presumption: shipment contract</w:t>
      </w:r>
      <w:r>
        <w:rPr>
          <w:b w:val="0"/>
          <w:i w:val="0"/>
        </w:rPr>
        <w:t xml:space="preserve"> unless the seller </w:t>
      </w:r>
      <w:r>
        <w:rPr>
          <w:b/>
          <w:i w:val="0"/>
        </w:rPr>
        <w:t>expressly</w:t>
      </w:r>
      <w:r>
        <w:rPr>
          <w:b w:val="0"/>
          <w:i w:val="0"/>
        </w:rPr>
        <w:t xml:space="preserve"> took responsibility during transit. Naming a destination or paying freight </w:t>
      </w:r>
      <w:r>
        <w:rPr>
          <w:b/>
          <w:i w:val="0"/>
        </w:rPr>
        <w:t>doesn't</w:t>
      </w:r>
      <w:r>
        <w:rPr>
          <w:b w:val="0"/>
          <w:i w:val="0"/>
        </w:rPr>
        <w:t xml:space="preserve"> make it a destination contract.</w:t>
      </w:r>
    </w:p>
    <w:p>
      <w:pPr>
        <w:pStyle w:val="ListBullet"/>
      </w:pPr>
      <w:r>
        <w:rPr>
          <w:b/>
          <w:i w:val="0"/>
        </w:rPr>
        <w:t>§ 2-504 shipment duties:</w:t>
      </w:r>
      <w:r>
        <w:rPr>
          <w:b w:val="0"/>
          <w:i w:val="0"/>
        </w:rPr>
        <w:t xml:space="preserve"> (a) put goods in the </w:t>
      </w:r>
      <w:r>
        <w:rPr>
          <w:b/>
          <w:i w:val="0"/>
        </w:rPr>
        <w:t>carrier's possession</w:t>
      </w:r>
      <w:r>
        <w:rPr>
          <w:b w:val="0"/>
          <w:i w:val="0"/>
        </w:rPr>
        <w:t xml:space="preserve"> and make a </w:t>
      </w:r>
      <w:r>
        <w:rPr>
          <w:b/>
          <w:i w:val="0"/>
        </w:rPr>
        <w:t>reasonable transport contract</w:t>
      </w:r>
      <w:r>
        <w:rPr>
          <w:b w:val="0"/>
          <w:i w:val="0"/>
        </w:rPr>
        <w:t xml:space="preserve">; (b) obtain and promptly deliver any needed </w:t>
      </w:r>
      <w:r>
        <w:rPr>
          <w:b/>
          <w:i w:val="0"/>
        </w:rPr>
        <w:t>documents</w:t>
      </w:r>
      <w:r>
        <w:rPr>
          <w:b w:val="0"/>
          <w:i w:val="0"/>
        </w:rPr>
        <w:t xml:space="preserve">; (c) </w:t>
      </w:r>
      <w:r>
        <w:rPr>
          <w:b/>
          <w:i w:val="0"/>
        </w:rPr>
        <w:t>promptly notify</w:t>
      </w:r>
      <w:r>
        <w:rPr>
          <w:b w:val="0"/>
          <w:i w:val="0"/>
        </w:rPr>
        <w:t xml:space="preserve"> buyer. Failure on (a) or (c) justifies rejection </w:t>
      </w:r>
      <w:r>
        <w:rPr>
          <w:b/>
          <w:i w:val="0"/>
        </w:rPr>
        <w:t>only if material delay or loss results</w:t>
      </w:r>
      <w:r>
        <w:rPr>
          <w:b w:val="0"/>
          <w:i w:val="0"/>
        </w:rPr>
        <w:t>.</w:t>
      </w:r>
    </w:p>
    <w:p>
      <w:pPr>
        <w:pStyle w:val="ListBullet"/>
      </w:pPr>
      <w:r>
        <w:rPr>
          <w:b/>
          <w:i w:val="0"/>
        </w:rPr>
        <w:t>C.I.F.</w:t>
      </w:r>
      <w:r>
        <w:rPr>
          <w:b w:val="0"/>
          <w:i w:val="0"/>
        </w:rPr>
        <w:t xml:space="preserve"> = price includes cost, insurance, freight; seller ships, insures, and tenders documents; </w:t>
      </w:r>
      <w:r>
        <w:rPr>
          <w:b/>
          <w:i w:val="0"/>
        </w:rPr>
        <w:t>buyer pays against documents</w:t>
      </w:r>
      <w:r>
        <w:rPr>
          <w:b w:val="0"/>
          <w:i w:val="0"/>
        </w:rPr>
        <w:t xml:space="preserve"> (no inspection first) — still a </w:t>
      </w:r>
      <w:r>
        <w:rPr>
          <w:b/>
          <w:i w:val="0"/>
        </w:rPr>
        <w:t>shipment</w:t>
      </w:r>
      <w:r>
        <w:rPr>
          <w:b w:val="0"/>
          <w:i w:val="0"/>
        </w:rPr>
        <w:t xml:space="preserve"> contract. </w:t>
      </w:r>
      <w:r>
        <w:rPr>
          <w:b/>
          <w:i w:val="0"/>
        </w:rPr>
        <w:t>C.&amp;F.</w:t>
      </w:r>
      <w:r>
        <w:rPr>
          <w:b w:val="0"/>
          <w:i w:val="0"/>
        </w:rPr>
        <w:t xml:space="preserve"> = same minus insurance. </w:t>
      </w:r>
      <w:r>
        <w:rPr>
          <w:b/>
          <w:i w:val="0"/>
        </w:rPr>
        <w:t>F.A.S.</w:t>
      </w:r>
      <w:r>
        <w:rPr>
          <w:b w:val="0"/>
          <w:i w:val="0"/>
        </w:rPr>
        <w:t xml:space="preserve"> = deliver alongside the vessel.</w:t>
      </w:r>
    </w:p>
    <w:p>
      <w:pPr>
        <w:pStyle w:val="ListBullet"/>
      </w:pPr>
      <w:r>
        <w:rPr>
          <w:b w:val="0"/>
          <w:i w:val="0"/>
        </w:rPr>
        <w:t xml:space="preserve">Buyer who bears transit risk isn't helpless: it can sue the </w:t>
      </w:r>
      <w:r>
        <w:rPr>
          <w:b/>
          <w:i w:val="0"/>
        </w:rPr>
        <w:t xml:space="preserve">carrier</w:t>
      </w:r>
      <w:r>
        <w:rPr>
          <w:b w:val="0"/>
          <w:i w:val="0"/>
        </w:rPr>
        <w:t xml:space="preserve"> (§ 2-722; Art. 7) or claim on its insurance; the seller keeps an insurable interest while it has title (§ 2-501).</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4845"/>
        <w:gridCol w:w="5666"/>
      </w:tblGrid>
      <w:tr>
        <w:trPr>
          <w:tblHeader w:val="true"/>
        </w:trPr>
        <w:tc>
          <w:tcPr>
            <w:tcW w:type="dxa" w:w="4845"/>
            <w:shd w:val="clear" w:color="auto" w:fill="1F3A5F"/>
            <w:tcMar>
              <w:top w:w="40" w:type="dxa"/>
              <w:bottom w:w="40" w:type="dxa"/>
              <w:left w:w="80" w:type="dxa"/>
              <w:right w:w="80" w:type="dxa"/>
            </w:tcMar>
          </w:tcPr>
          <w:p>
            <w:pPr>
              <w:spacing w:after="0"/>
            </w:pPr>
            <w:r>
              <w:rPr>
                <w:b/>
                <w:i w:val="0"/>
                <w:color w:val="FFFFFF"/>
                <w:sz w:val="20"/>
              </w:rPr>
              <w:t xml:space="preserve">Problem 4-7 (custom windows, South Dakota → New York)</w:t>
            </w:r>
          </w:p>
        </w:tc>
        <w:tc>
          <w:tcPr>
            <w:tcW w:type="dxa" w:w="5667"/>
            <w:shd w:val="clear" w:color="auto" w:fill="1F3A5F"/>
            <w:tcMar>
              <w:top w:w="40" w:type="dxa"/>
              <w:bottom w:w="40" w:type="dxa"/>
              <w:left w:w="80" w:type="dxa"/>
              <w:right w:w="80" w:type="dxa"/>
            </w:tcMar>
          </w:tcPr>
          <w:p>
            <w:pPr>
              <w:spacing w:after="0"/>
            </w:pPr>
            <w:r>
              <w:rPr>
                <w:b/>
                <w:i w:val="0"/>
                <w:color w:val="FFFFFF"/>
                <w:sz w:val="20"/>
              </w:rPr>
              <w:t>Who bears the loss?</w:t>
            </w:r>
          </w:p>
        </w:tc>
      </w:tr>
      <w:tr>
        <w:trPr>
          <w:cantSplit w:val="true"/>
        </w:trPr>
        <w:tc>
          <w:tcPr>
            <w:tcW w:type="dxa" w:w="4845"/>
            <w:tcMar>
              <w:top w:w="30" w:type="dxa"/>
              <w:bottom w:w="30" w:type="dxa"/>
              <w:left w:w="80" w:type="dxa"/>
              <w:right w:w="80" w:type="dxa"/>
            </w:tcMar>
          </w:tcPr>
          <w:p>
            <w:pPr>
              <w:spacing w:after="0" w:line="240" w:lineRule="auto"/>
            </w:pPr>
            <w:r>
              <w:rPr>
                <w:b w:val="0"/>
                <w:i w:val="0"/>
                <w:sz w:val="20"/>
              </w:rPr>
              <w:t xml:space="preserve">(a) "Delivered </w:t>
            </w:r>
            <w:r>
              <w:rPr>
                <w:b/>
                <w:i w:val="0"/>
                <w:sz w:val="20"/>
              </w:rPr>
              <w:t>to</w:t>
            </w:r>
            <w:r>
              <w:rPr>
                <w:b w:val="0"/>
                <w:i w:val="0"/>
                <w:sz w:val="20"/>
              </w:rPr>
              <w:t>" the site; properly packaged; destroyed in transit</w:t>
            </w:r>
          </w:p>
        </w:tc>
        <w:tc>
          <w:tcPr>
            <w:tcW w:type="dxa" w:w="5667"/>
            <w:tcMar>
              <w:top w:w="30" w:type="dxa"/>
              <w:bottom w:w="30" w:type="dxa"/>
              <w:left w:w="80" w:type="dxa"/>
              <w:right w:w="80" w:type="dxa"/>
            </w:tcMar>
          </w:tcPr>
          <w:p>
            <w:pPr>
              <w:spacing w:after="0" w:line="240" w:lineRule="auto"/>
            </w:pPr>
            <w:r>
              <w:rPr>
                <w:b/>
                <w:i w:val="0"/>
                <w:sz w:val="20"/>
              </w:rPr>
              <w:t>Buyer</w:t>
            </w:r>
            <w:r>
              <w:rPr>
                <w:b w:val="0"/>
                <w:i w:val="0"/>
                <w:sz w:val="20"/>
              </w:rPr>
              <w:t xml:space="preserve"> — shipment contract (Windows v. Jordan Panel)</w:t>
            </w:r>
          </w:p>
        </w:tc>
      </w:tr>
      <w:tr>
        <w:trPr>
          <w:cantSplit w:val="true"/>
        </w:trPr>
        <w:tc>
          <w:tcPr>
            <w:tcW w:type="dxa" w:w="4845"/>
            <w:tcMar>
              <w:top w:w="30" w:type="dxa"/>
              <w:bottom w:w="30" w:type="dxa"/>
              <w:left w:w="80" w:type="dxa"/>
              <w:right w:w="80" w:type="dxa"/>
            </w:tcMar>
            <w:shd w:val="clear" w:color="auto" w:fill="F2F6FB"/>
          </w:tcPr>
          <w:p>
            <w:pPr>
              <w:spacing w:after="0" w:line="240" w:lineRule="auto"/>
            </w:pPr>
            <w:r>
              <w:rPr>
                <w:b w:val="0"/>
                <w:i w:val="0"/>
                <w:sz w:val="20"/>
              </w:rPr>
              <w:t xml:space="preserve">(b) "Delivered </w:t>
            </w:r>
            <w:r>
              <w:rPr>
                <w:b/>
                <w:i w:val="0"/>
                <w:sz w:val="20"/>
              </w:rPr>
              <w:t>at</w:t>
            </w:r>
            <w:r>
              <w:rPr>
                <w:b w:val="0"/>
                <w:i w:val="0"/>
                <w:sz w:val="20"/>
              </w:rPr>
              <w:t>" the site</w:t>
            </w:r>
          </w:p>
        </w:tc>
        <w:tc>
          <w:tcPr>
            <w:tcW w:type="dxa" w:w="5667"/>
            <w:tcMar>
              <w:top w:w="30" w:type="dxa"/>
              <w:bottom w:w="30" w:type="dxa"/>
              <w:left w:w="80" w:type="dxa"/>
              <w:right w:w="80" w:type="dxa"/>
            </w:tcMar>
            <w:shd w:val="clear" w:color="auto" w:fill="F2F6FB"/>
          </w:tcPr>
          <w:p>
            <w:pPr>
              <w:spacing w:after="0" w:line="240" w:lineRule="auto"/>
            </w:pPr>
            <w:r>
              <w:rPr>
                <w:b w:val="0"/>
                <w:i w:val="0"/>
                <w:sz w:val="20"/>
              </w:rPr>
              <w:t xml:space="preserve">Arguably </w:t>
            </w:r>
            <w:r>
              <w:rPr>
                <w:b/>
                <w:i w:val="0"/>
                <w:sz w:val="20"/>
              </w:rPr>
              <w:t>seller</w:t>
            </w:r>
            <w:r>
              <w:rPr>
                <w:b w:val="0"/>
                <w:i w:val="0"/>
                <w:sz w:val="20"/>
              </w:rPr>
              <w:t xml:space="preserve"> — destination contract</w:t>
            </w:r>
          </w:p>
        </w:tc>
      </w:tr>
      <w:tr>
        <w:trPr>
          <w:cantSplit w:val="true"/>
        </w:trPr>
        <w:tc>
          <w:tcPr>
            <w:tcW w:type="dxa" w:w="4845"/>
            <w:tcMar>
              <w:top w:w="30" w:type="dxa"/>
              <w:bottom w:w="30" w:type="dxa"/>
              <w:left w:w="80" w:type="dxa"/>
              <w:right w:w="80" w:type="dxa"/>
            </w:tcMar>
          </w:tcPr>
          <w:p>
            <w:pPr>
              <w:spacing w:after="0" w:line="240" w:lineRule="auto"/>
            </w:pPr>
            <w:r>
              <w:rPr>
                <w:b w:val="0"/>
                <w:i w:val="0"/>
                <w:sz w:val="20"/>
              </w:rPr>
              <w:t>(c) How to make it a destination contract</w:t>
            </w:r>
          </w:p>
        </w:tc>
        <w:tc>
          <w:tcPr>
            <w:tcW w:type="dxa" w:w="5667"/>
            <w:tcMar>
              <w:top w:w="30" w:type="dxa"/>
              <w:bottom w:w="30" w:type="dxa"/>
              <w:left w:w="80" w:type="dxa"/>
              <w:right w:w="80" w:type="dxa"/>
            </w:tcMar>
          </w:tcPr>
          <w:p>
            <w:pPr>
              <w:spacing w:after="0" w:line="240" w:lineRule="auto"/>
            </w:pPr>
            <w:r>
              <w:rPr>
                <w:b w:val="0"/>
                <w:i w:val="0"/>
                <w:sz w:val="20"/>
              </w:rPr>
              <w:t>"F.O.B. buyer's site" or "seller bears risk until tender at the site"</w:t>
            </w:r>
          </w:p>
        </w:tc>
      </w:tr>
      <w:tr>
        <w:trPr>
          <w:cantSplit w:val="true"/>
        </w:trPr>
        <w:tc>
          <w:tcPr>
            <w:tcW w:type="dxa" w:w="4845"/>
            <w:tcMar>
              <w:top w:w="30" w:type="dxa"/>
              <w:bottom w:w="30" w:type="dxa"/>
              <w:left w:w="80" w:type="dxa"/>
              <w:right w:w="80" w:type="dxa"/>
            </w:tcMar>
            <w:shd w:val="clear" w:color="auto" w:fill="F2F6FB"/>
          </w:tcPr>
          <w:p>
            <w:pPr>
              <w:spacing w:after="0" w:line="240" w:lineRule="auto"/>
            </w:pPr>
            <w:r>
              <w:rPr>
                <w:b w:val="0"/>
                <w:i w:val="0"/>
                <w:sz w:val="20"/>
              </w:rPr>
              <w:t xml:space="preserve">(d)(1) Improperly packaged; damage </w:t>
            </w:r>
            <w:r>
              <w:rPr>
                <w:b/>
                <w:i w:val="0"/>
                <w:sz w:val="20"/>
              </w:rPr>
              <w:t>caused by packaging</w:t>
            </w:r>
          </w:p>
        </w:tc>
        <w:tc>
          <w:tcPr>
            <w:tcW w:type="dxa" w:w="5667"/>
            <w:tcMar>
              <w:top w:w="30" w:type="dxa"/>
              <w:bottom w:w="30" w:type="dxa"/>
              <w:left w:w="80" w:type="dxa"/>
              <w:right w:w="80" w:type="dxa"/>
            </w:tcMar>
            <w:shd w:val="clear" w:color="auto" w:fill="F2F6FB"/>
          </w:tcPr>
          <w:p>
            <w:pPr>
              <w:spacing w:after="0" w:line="240" w:lineRule="auto"/>
            </w:pPr>
            <w:r>
              <w:rPr>
                <w:b/>
                <w:i w:val="0"/>
                <w:sz w:val="20"/>
              </w:rPr>
              <w:t>Seller</w:t>
            </w:r>
            <w:r>
              <w:rPr>
                <w:b w:val="0"/>
                <w:i w:val="0"/>
                <w:sz w:val="20"/>
              </w:rPr>
              <w:t xml:space="preserve"> — improper shipment caused the loss (§§ 2-504, 2-510(1))</w:t>
            </w:r>
          </w:p>
        </w:tc>
      </w:tr>
      <w:tr>
        <w:trPr>
          <w:cantSplit w:val="true"/>
        </w:trPr>
        <w:tc>
          <w:tcPr>
            <w:tcW w:type="dxa" w:w="4845"/>
            <w:tcMar>
              <w:top w:w="30" w:type="dxa"/>
              <w:bottom w:w="30" w:type="dxa"/>
              <w:left w:w="80" w:type="dxa"/>
              <w:right w:w="80" w:type="dxa"/>
            </w:tcMar>
          </w:tcPr>
          <w:p>
            <w:pPr>
              <w:spacing w:after="0" w:line="240" w:lineRule="auto"/>
            </w:pPr>
            <w:r>
              <w:rPr>
                <w:b w:val="0"/>
                <w:i w:val="0"/>
                <w:sz w:val="20"/>
              </w:rPr>
              <w:t xml:space="preserve">(d)(2) Damage caused by the </w:t>
            </w:r>
            <w:r>
              <w:rPr>
                <w:b/>
                <w:i w:val="0"/>
                <w:sz w:val="20"/>
              </w:rPr>
              <w:t>carrier's fault</w:t>
            </w:r>
            <w:r>
              <w:rPr>
                <w:b w:val="0"/>
                <w:i w:val="0"/>
                <w:sz w:val="20"/>
              </w:rPr>
              <w:t xml:space="preserve"> (slide: properly packaged)</w:t>
            </w:r>
          </w:p>
        </w:tc>
        <w:tc>
          <w:tcPr>
            <w:tcW w:type="dxa" w:w="5667"/>
            <w:tcMar>
              <w:top w:w="30" w:type="dxa"/>
              <w:bottom w:w="30" w:type="dxa"/>
              <w:left w:w="80" w:type="dxa"/>
              <w:right w:w="80" w:type="dxa"/>
            </w:tcMar>
          </w:tcPr>
          <w:p>
            <w:pPr>
              <w:spacing w:after="0" w:line="240" w:lineRule="auto"/>
            </w:pPr>
            <w:r>
              <w:rPr>
                <w:b/>
                <w:i w:val="0"/>
                <w:sz w:val="20"/>
              </w:rPr>
              <w:t>Buyer</w:t>
            </w:r>
            <w:r>
              <w:rPr>
                <w:b w:val="0"/>
                <w:i w:val="0"/>
                <w:sz w:val="20"/>
              </w:rPr>
              <w:t xml:space="preserve"> — risk already passed; sue the carrier. Even with bad packaging, no shift unless the packaging caused the loss</w:t>
            </w:r>
          </w:p>
        </w:tc>
      </w:tr>
    </w:tbl>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F2F3F5"/>
            <w:tcMar>
              <w:top w:w="70" w:type="dxa"/>
              <w:bottom w:w="70" w:type="dxa"/>
              <w:left w:w="140" w:type="dxa"/>
              <w:right w:w="120" w:type="dxa"/>
            </w:tcMar>
            <w:tcBorders>
              <w:left w:val="single" w:sz="30" w:space="0" w:color="6B7280"/>
            </w:tcBorders>
          </w:tcPr>
          <w:p>
            <w:pPr>
              <w:spacing w:after="30" w:line="240" w:lineRule="auto"/>
            </w:pPr>
            <w:r>
              <w:rPr>
                <w:b/>
                <w:color w:val="6B7280"/>
                <w:sz w:val="15"/>
              </w:rPr>
              <w:t xml:space="preserve">CITED ONLY   </w:t>
            </w:r>
            <w:r>
              <w:rPr>
                <w:b/>
                <w:i w:val="0"/>
                <w:sz w:val="21"/>
              </w:rPr>
              <w:t xml:space="preserve">Windows, Inc. v. Jordan Panel Sys. (2d Cir. 1999) — the case behind Problem 4-7</w:t>
            </w:r>
          </w:p>
          <w:p>
            <w:pPr>
              <w:spacing w:after="30" w:line="240" w:lineRule="auto"/>
            </w:pPr>
            <w:r>
              <w:rPr>
                <w:b/>
                <w:i w:val="0"/>
                <w:sz w:val="21"/>
              </w:rPr>
              <w:t xml:space="preserve">In the casebook:</w:t>
            </w:r>
            <w:r>
              <w:rPr>
                <w:b w:val="0"/>
                <w:i w:val="0"/>
                <w:sz w:val="21"/>
              </w:rPr>
              <w:t xml:space="preserve"> cited only, in Problem 4-7 (casebook p. 171), whose facts track the case: a South Dakota seller of custom windows; a contract to ship them "properly crated … and </w:t>
            </w:r>
            <w:r>
              <w:rPr>
                <w:b/>
                <w:i w:val="0"/>
                <w:sz w:val="21"/>
              </w:rPr>
              <w:t xml:space="preserve">delivered to</w:t>
            </w:r>
            <w:r>
              <w:rPr>
                <w:b w:val="0"/>
                <w:i w:val="0"/>
                <w:sz w:val="21"/>
              </w:rPr>
              <w:t xml:space="preserve">" the buyer's New York construction site; damage in transit. The casebook gives no holding; the slides (W4-S39–40, W5-S21–24) work through the problem.</w:t>
            </w:r>
          </w:p>
          <w:p>
            <w:pPr>
              <w:spacing w:after="30" w:line="240" w:lineRule="auto"/>
            </w:pPr>
            <w:r>
              <w:rPr>
                <w:b/>
                <w:i/>
                <w:color w:val="64748B"/>
                <w:sz w:val="21"/>
              </w:rPr>
              <w:t xml:space="preserve">Outside class materials — what happened and the holding:</w:t>
            </w:r>
            <w:r>
              <w:rPr>
                <w:b w:val="0"/>
                <w:i/>
                <w:color w:val="64748B"/>
                <w:sz w:val="21"/>
              </w:rPr>
              <w:t xml:space="preserve"> the carrier's truck had an accident en route; the buyer refused to pay and the seller sued for the price. The court held for the seller: "delivered to" didn't create a destination contract, so risk passed on delivery to the carrier (§ 2-509(1)(a)); and even if the packing was inadequate, the accident — not the packing — caused the loss, so § 2-504/§ 2-510(1) didn't shift risk back to the seller.</w:t>
            </w:r>
          </w:p>
          <w:p>
            <w:pPr>
              <w:spacing w:after="0" w:line="240" w:lineRule="auto"/>
            </w:pPr>
            <w:r>
              <w:rPr>
                <w:b/>
                <w:i w:val="0"/>
                <w:sz w:val="21"/>
              </w:rPr>
              <w:t xml:space="preserve">Why it matters:</w:t>
            </w:r>
            <w:r>
              <w:rPr>
                <w:b w:val="0"/>
                <w:i w:val="0"/>
                <w:sz w:val="21"/>
              </w:rPr>
              <w:t xml:space="preserve"> the shipment-contract presumption (casebook and slides) plus the causation requirement in § 2-504. The buyer bearing transit risk must go after the </w:t>
            </w:r>
            <w:r>
              <w:rPr>
                <w:b/>
                <w:i w:val="0"/>
                <w:sz w:val="21"/>
              </w:rPr>
              <w:t xml:space="preserve">carrier</w:t>
            </w:r>
            <w:r>
              <w:rPr>
                <w:b w:val="0"/>
                <w:i w:val="0"/>
                <w:sz w:val="21"/>
              </w:rPr>
              <w:t xml:space="preserve"> (§ 2-722) or its insurer.</w:t>
            </w:r>
          </w:p>
        </w:tc>
      </w:tr>
    </w:tbl>
    <w:p>
      <w:pPr>
        <w:spacing w:after="0" w:line="120" w:lineRule="exact"/>
      </w:pPr>
      <w:r/>
    </w:p>
    <w:p>
      <w:pPr>
        <w:spacing w:after="0" w:line="120" w:lineRule="exact"/>
      </w:pPr>
    </w:p>
    <w:p>
      <w:pPr>
        <w:keepNext/>
        <w:spacing w:before="120" w:after="40"/>
        <w:pBdr>
          <w:bottom w:val="single" w:sz="6" w:space="1" w:color="8EAADB"/>
        </w:pBdr>
      </w:pPr>
      <w:r>
        <w:rPr>
          <w:b/>
          <w:i w:val="0"/>
          <w:color w:val="1F3A5F"/>
          <w:sz w:val="25"/>
        </w:rPr>
        <w:t>Goods held by a bailee (warehouse), not moved</w:t>
      </w:r>
    </w:p>
    <w:p>
      <w:pPr>
        <w:pStyle w:val="ListBullet"/>
      </w:pPr>
      <w:r>
        <w:rPr>
          <w:b/>
          <w:i w:val="0"/>
        </w:rPr>
        <w:t>Tender (§ 2-503(4)):</w:t>
      </w:r>
      <w:r>
        <w:rPr>
          <w:b w:val="0"/>
          <w:i w:val="0"/>
        </w:rPr>
        <w:t xml:space="preserve"> give a </w:t>
      </w:r>
      <w:r>
        <w:rPr>
          <w:b/>
          <w:i w:val="0"/>
        </w:rPr>
        <w:t>negotiable document of title</w:t>
      </w:r>
      <w:r>
        <w:rPr>
          <w:b w:val="0"/>
          <w:i w:val="0"/>
        </w:rPr>
        <w:t xml:space="preserve"> or get the </w:t>
      </w:r>
      <w:r>
        <w:rPr>
          <w:b/>
          <w:i w:val="0"/>
        </w:rPr>
        <w:t>bailee's acknowledgment</w:t>
      </w:r>
      <w:r>
        <w:rPr>
          <w:b w:val="0"/>
          <w:i w:val="0"/>
        </w:rPr>
        <w:t xml:space="preserve"> of buyer's right; a non-negotiable document or delivery order works </w:t>
      </w:r>
      <w:r>
        <w:rPr>
          <w:b/>
          <w:i w:val="0"/>
        </w:rPr>
        <w:t>unless buyer seasonably objects</w:t>
      </w:r>
      <w:r>
        <w:rPr>
          <w:b w:val="0"/>
          <w:i w:val="0"/>
        </w:rPr>
        <w:t xml:space="preserve">, and risk stays on seller until buyer has a </w:t>
      </w:r>
      <w:r>
        <w:rPr>
          <w:b/>
          <w:i w:val="0"/>
        </w:rPr>
        <w:t>reasonable time to present</w:t>
      </w:r>
      <w:r>
        <w:rPr>
          <w:b w:val="0"/>
          <w:i w:val="0"/>
        </w:rPr>
        <w:t xml:space="preserve"> it.</w:t>
      </w:r>
    </w:p>
    <w:p>
      <w:pPr>
        <w:pStyle w:val="ListBullet"/>
      </w:pPr>
      <w:r>
        <w:rPr>
          <w:b/>
          <w:i w:val="0"/>
        </w:rPr>
        <w:t>Insurable interest (§ 2-501):</w:t>
      </w:r>
      <w:r>
        <w:rPr>
          <w:b w:val="0"/>
          <w:i w:val="0"/>
        </w:rPr>
        <w:t xml:space="preserve"> buyer gets one on </w:t>
      </w:r>
      <w:r>
        <w:rPr>
          <w:b/>
          <w:i w:val="0"/>
        </w:rPr>
        <w:t>identification</w:t>
      </w:r>
      <w:r>
        <w:rPr>
          <w:b w:val="0"/>
          <w:i w:val="0"/>
        </w:rPr>
        <w:t>; seller keeps one while it has title or a security interest.</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X. Variation by Agreement &amp; Warranty Disclaimers</w:t>
            </w:r>
            <w:r>
              <w:rPr>
                <w:b/>
                <w:color w:val="C9D9EE"/>
                <w:sz w:val="16"/>
              </w:rPr>
              <w:t xml:space="preserve">    WEEKS 5–7</w:t>
            </w:r>
          </w:p>
        </w:tc>
      </w:tr>
    </w:tbl>
    <w:p>
      <w:pPr>
        <w:keepNext/>
        <w:spacing w:after="0" w:line="80" w:lineRule="exact"/>
      </w:pPr>
    </w:p>
    <w:p>
      <w:pPr>
        <w:keepNext/>
        <w:spacing w:before="120" w:after="40"/>
        <w:pBdr>
          <w:bottom w:val="single" w:sz="6" w:space="1" w:color="8EAADB"/>
        </w:pBdr>
      </w:pPr>
      <w:r>
        <w:rPr>
          <w:b/>
          <w:i w:val="0"/>
          <w:color w:val="1F3A5F"/>
          <w:sz w:val="25"/>
        </w:rPr>
        <w:t>Varying the Code — § 1-302</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Parties may </w:t>
            </w:r>
            <w:r>
              <w:rPr>
                <w:b/>
                <w:i w:val="0"/>
                <w:sz w:val="21"/>
              </w:rPr>
              <w:t>vary the effect</w:t>
            </w:r>
            <w:r>
              <w:rPr>
                <w:b w:val="0"/>
                <w:i w:val="0"/>
                <w:sz w:val="21"/>
              </w:rPr>
              <w:t xml:space="preserve"> of UCC provisions </w:t>
            </w:r>
            <w:r>
              <w:rPr>
                <w:b/>
                <w:i w:val="0"/>
                <w:sz w:val="21"/>
              </w:rPr>
              <w:t>except</w:t>
            </w:r>
            <w:r>
              <w:rPr>
                <w:b w:val="0"/>
                <w:i w:val="0"/>
                <w:sz w:val="21"/>
              </w:rPr>
              <w:t xml:space="preserve">: (1) obligations of </w:t>
            </w:r>
            <w:r>
              <w:rPr>
                <w:b/>
                <w:i w:val="0"/>
                <w:sz w:val="21"/>
              </w:rPr>
              <w:t>good faith, diligence, reasonableness, and care cannot be disclaimed</w:t>
            </w:r>
            <w:r>
              <w:rPr>
                <w:b w:val="0"/>
                <w:i w:val="0"/>
                <w:sz w:val="21"/>
              </w:rPr>
              <w:t xml:space="preserve"> — but parties may set </w:t>
            </w:r>
            <w:r>
              <w:rPr>
                <w:b/>
                <w:i w:val="0"/>
                <w:sz w:val="21"/>
              </w:rPr>
              <w:t>standards</w:t>
            </w:r>
            <w:r>
              <w:rPr>
                <w:b w:val="0"/>
                <w:i w:val="0"/>
                <w:sz w:val="21"/>
              </w:rPr>
              <w:t xml:space="preserve"> that are </w:t>
            </w:r>
            <w:r>
              <w:rPr>
                <w:b/>
                <w:i w:val="0"/>
                <w:sz w:val="21"/>
              </w:rPr>
              <w:t>not manifestly unreasonable</w:t>
            </w:r>
            <w:r>
              <w:rPr>
                <w:b w:val="0"/>
                <w:i w:val="0"/>
                <w:sz w:val="21"/>
              </w:rPr>
              <w:t>, and may fix a specific time for a "reasonable time" if not manifestly unreasonable; (2) some provisions can't be varied.</w:t>
            </w:r>
          </w:p>
        </w:tc>
      </w:tr>
    </w:tbl>
    <w:p>
      <w:pPr>
        <w:spacing w:after="0" w:line="100" w:lineRule="exact"/>
      </w:pPr>
    </w:p>
    <w:p>
      <w:pPr>
        <w:pStyle w:val="ListBullet"/>
      </w:pPr>
      <w:r>
        <w:rPr>
          <w:b/>
          <w:i w:val="0"/>
        </w:rPr>
        <w:t>Non-modifiable (Problem 5-1(b)):</w:t>
      </w:r>
      <w:r>
        <w:rPr>
          <w:b w:val="0"/>
          <w:i w:val="0"/>
        </w:rPr>
        <w:t xml:space="preserve"> </w:t>
      </w:r>
      <w:r>
        <w:rPr>
          <w:b/>
          <w:i w:val="0"/>
        </w:rPr>
        <w:t>§ 2-302</w:t>
      </w:r>
      <w:r>
        <w:rPr>
          <w:b w:val="0"/>
          <w:i w:val="0"/>
        </w:rPr>
        <w:t xml:space="preserve"> unconscionability · </w:t>
      </w:r>
      <w:r>
        <w:rPr>
          <w:b/>
          <w:i w:val="0"/>
        </w:rPr>
        <w:t>§ 2-102</w:t>
      </w:r>
      <w:r>
        <w:rPr>
          <w:b w:val="0"/>
          <w:i w:val="0"/>
        </w:rPr>
        <w:t xml:space="preserve"> scope · </w:t>
      </w:r>
      <w:r>
        <w:rPr>
          <w:b/>
          <w:i w:val="0"/>
        </w:rPr>
        <w:t>§§ 2-204–2-207</w:t>
      </w:r>
      <w:r>
        <w:rPr>
          <w:b w:val="0"/>
          <w:i w:val="0"/>
        </w:rPr>
        <w:t xml:space="preserve"> formation · </w:t>
      </w:r>
      <w:r>
        <w:rPr>
          <w:b/>
          <w:i w:val="0"/>
        </w:rPr>
        <w:t>§ 2-403</w:t>
      </w:r>
      <w:r>
        <w:rPr>
          <w:b w:val="0"/>
          <w:i w:val="0"/>
        </w:rPr>
        <w:t xml:space="preserve"> rights of third-party purchasers · also </w:t>
      </w:r>
      <w:r>
        <w:rPr>
          <w:b/>
          <w:i w:val="0"/>
        </w:rPr>
        <w:t>§ 2-201</w:t>
      </w:r>
      <w:r>
        <w:rPr>
          <w:b w:val="0"/>
          <w:i w:val="0"/>
        </w:rPr>
        <w:t xml:space="preserve"> (cmt. 1).</w:t>
      </w:r>
    </w:p>
    <w:p>
      <w:pPr>
        <w:pStyle w:val="ListBullet"/>
      </w:pPr>
      <w:r>
        <w:rPr>
          <w:b/>
          <w:i w:val="0"/>
        </w:rPr>
        <w:t>Problem 5-1(a):</w:t>
      </w:r>
      <w:r>
        <w:rPr>
          <w:b w:val="0"/>
          <w:i w:val="0"/>
        </w:rPr>
        <w:t xml:space="preserve"> buyer setting a good-faith standard for a </w:t>
      </w:r>
      <w:r>
        <w:rPr>
          <w:b/>
          <w:i w:val="0"/>
        </w:rPr>
        <w:t>seller-set fuel price</w:t>
      </w:r>
      <w:r>
        <w:rPr>
          <w:b w:val="0"/>
          <w:i w:val="0"/>
        </w:rPr>
        <w:t xml:space="preserve"> → tie it to an objective index or seller's lowest price to similar customers (or use an index price instead). Seller limiting </w:t>
      </w:r>
      <w:r>
        <w:rPr>
          <w:b/>
          <w:i w:val="0"/>
        </w:rPr>
        <w:t>requirements</w:t>
      </w:r>
      <w:r>
        <w:rPr>
          <w:b w:val="0"/>
          <w:i w:val="0"/>
        </w:rPr>
        <w:t xml:space="preserve"> → stated estimate with min/max, fuel actually consumed by the existing fleet, notice of changes.</w:t>
      </w:r>
    </w:p>
    <w:p>
      <w:pPr>
        <w:keepNext/>
        <w:spacing w:before="120" w:after="40"/>
        <w:pBdr>
          <w:bottom w:val="single" w:sz="6" w:space="1" w:color="8EAADB"/>
        </w:pBdr>
      </w:pPr>
      <w:r>
        <w:rPr>
          <w:b/>
          <w:i w:val="0"/>
          <w:color w:val="1F3A5F"/>
          <w:sz w:val="25"/>
        </w:rPr>
        <w:t>Disclaimer rules — § 2-316</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1100"/>
        <w:gridCol w:w="4796"/>
        <w:gridCol w:w="809"/>
        <w:gridCol w:w="958"/>
        <w:gridCol w:w="2846"/>
      </w:tblGrid>
      <w:tr>
        <w:trPr>
          <w:tblHeader w:val="true"/>
        </w:trPr>
        <w:tc>
          <w:tcPr>
            <w:tcW w:type="dxa" w:w="1101"/>
            <w:shd w:val="clear" w:color="auto" w:fill="1F3A5F"/>
            <w:tcMar>
              <w:top w:w="40" w:type="dxa"/>
              <w:bottom w:w="40" w:type="dxa"/>
              <w:left w:w="80" w:type="dxa"/>
              <w:right w:w="80" w:type="dxa"/>
            </w:tcMar>
          </w:tcPr>
          <w:p>
            <w:pPr>
              <w:spacing w:after="0"/>
            </w:pPr>
            <w:r>
              <w:rPr>
                <w:b/>
                <w:i w:val="0"/>
                <w:color w:val="FFFFFF"/>
                <w:sz w:val="20"/>
              </w:rPr>
              <w:t>Warranty</w:t>
            </w:r>
          </w:p>
        </w:tc>
        <w:tc>
          <w:tcPr>
            <w:tcW w:type="dxa" w:w="4796"/>
            <w:shd w:val="clear" w:color="auto" w:fill="1F3A5F"/>
            <w:tcMar>
              <w:top w:w="40" w:type="dxa"/>
              <w:bottom w:w="40" w:type="dxa"/>
              <w:left w:w="80" w:type="dxa"/>
              <w:right w:w="80" w:type="dxa"/>
            </w:tcMar>
          </w:tcPr>
          <w:p>
            <w:pPr>
              <w:spacing w:after="0"/>
            </w:pPr>
            <w:r>
              <w:rPr>
                <w:b/>
                <w:i w:val="0"/>
                <w:color w:val="FFFFFF"/>
                <w:sz w:val="20"/>
              </w:rPr>
              <w:t>How to disclaim</w:t>
            </w:r>
          </w:p>
        </w:tc>
        <w:tc>
          <w:tcPr>
            <w:tcW w:type="dxa" w:w="810"/>
            <w:shd w:val="clear" w:color="auto" w:fill="1F3A5F"/>
            <w:tcMar>
              <w:top w:w="40" w:type="dxa"/>
              <w:bottom w:w="40" w:type="dxa"/>
              <w:left w:w="80" w:type="dxa"/>
              <w:right w:w="80" w:type="dxa"/>
            </w:tcMar>
          </w:tcPr>
          <w:p>
            <w:pPr>
              <w:spacing w:after="0"/>
            </w:pPr>
            <w:r>
              <w:rPr>
                <w:b/>
                <w:i w:val="0"/>
                <w:color w:val="FFFFFF"/>
                <w:sz w:val="20"/>
              </w:rPr>
              <w:t>Writing?</w:t>
            </w:r>
          </w:p>
        </w:tc>
        <w:tc>
          <w:tcPr>
            <w:tcW w:type="dxa" w:w="959"/>
            <w:shd w:val="clear" w:color="auto" w:fill="1F3A5F"/>
            <w:tcMar>
              <w:top w:w="40" w:type="dxa"/>
              <w:bottom w:w="40" w:type="dxa"/>
              <w:left w:w="80" w:type="dxa"/>
              <w:right w:w="80" w:type="dxa"/>
            </w:tcMar>
          </w:tcPr>
          <w:p>
            <w:pPr>
              <w:spacing w:after="0"/>
            </w:pPr>
            <w:r>
              <w:rPr>
                <w:b/>
                <w:i w:val="0"/>
                <w:color w:val="FFFFFF"/>
                <w:sz w:val="20"/>
              </w:rPr>
              <w:t>Conspicuous?</w:t>
            </w:r>
          </w:p>
        </w:tc>
        <w:tc>
          <w:tcPr>
            <w:tcW w:type="dxa" w:w="2846"/>
            <w:shd w:val="clear" w:color="auto" w:fill="1F3A5F"/>
            <w:tcMar>
              <w:top w:w="40" w:type="dxa"/>
              <w:bottom w:w="40" w:type="dxa"/>
              <w:left w:w="80" w:type="dxa"/>
              <w:right w:w="80" w:type="dxa"/>
            </w:tcMar>
          </w:tcPr>
          <w:p>
            <w:pPr>
              <w:spacing w:after="0"/>
            </w:pPr>
            <w:r>
              <w:rPr>
                <w:b/>
                <w:i w:val="0"/>
                <w:color w:val="FFFFFF"/>
                <w:sz w:val="20"/>
              </w:rPr>
              <w:t>Magic words?</w:t>
            </w:r>
          </w:p>
        </w:tc>
      </w:tr>
      <w:tr>
        <w:trPr>
          <w:cantSplit w:val="true"/>
        </w:trPr>
        <w:tc>
          <w:tcPr>
            <w:tcW w:type="dxa" w:w="1101"/>
            <w:tcMar>
              <w:top w:w="30" w:type="dxa"/>
              <w:bottom w:w="30" w:type="dxa"/>
              <w:left w:w="80" w:type="dxa"/>
              <w:right w:w="80" w:type="dxa"/>
            </w:tcMar>
          </w:tcPr>
          <w:p>
            <w:pPr>
              <w:spacing w:after="0" w:line="240" w:lineRule="auto"/>
            </w:pPr>
            <w:r>
              <w:rPr>
                <w:b/>
                <w:i w:val="0"/>
                <w:sz w:val="20"/>
              </w:rPr>
              <w:t>Express</w:t>
            </w:r>
          </w:p>
        </w:tc>
        <w:tc>
          <w:tcPr>
            <w:tcW w:type="dxa" w:w="4796"/>
            <w:tcMar>
              <w:top w:w="30" w:type="dxa"/>
              <w:bottom w:w="30" w:type="dxa"/>
              <w:left w:w="80" w:type="dxa"/>
              <w:right w:w="80" w:type="dxa"/>
            </w:tcMar>
          </w:tcPr>
          <w:p>
            <w:pPr>
              <w:spacing w:after="0" w:line="240" w:lineRule="auto"/>
            </w:pPr>
            <w:r>
              <w:rPr>
                <w:b w:val="0"/>
                <w:i w:val="0"/>
                <w:sz w:val="20"/>
              </w:rPr>
              <w:t xml:space="preserve">Nearly impossible if part of the basis of the bargain — disclaimer </w:t>
            </w:r>
            <w:r>
              <w:rPr>
                <w:b/>
                <w:i w:val="0"/>
                <w:sz w:val="20"/>
              </w:rPr>
              <w:t>inoperative</w:t>
            </w:r>
            <w:r>
              <w:rPr>
                <w:b w:val="0"/>
                <w:i w:val="0"/>
                <w:sz w:val="20"/>
              </w:rPr>
              <w:t xml:space="preserve"> where it can't be reconciled (§ 2-316(1)); seller's defense is the </w:t>
            </w:r>
            <w:r>
              <w:rPr>
                <w:b/>
                <w:i w:val="0"/>
                <w:sz w:val="20"/>
              </w:rPr>
              <w:t>parol evidence rule</w:t>
            </w:r>
          </w:p>
        </w:tc>
        <w:tc>
          <w:tcPr>
            <w:tcW w:type="dxa" w:w="810"/>
            <w:tcMar>
              <w:top w:w="30" w:type="dxa"/>
              <w:bottom w:w="30" w:type="dxa"/>
              <w:left w:w="80" w:type="dxa"/>
              <w:right w:w="80" w:type="dxa"/>
            </w:tcMar>
          </w:tcPr>
          <w:p>
            <w:pPr>
              <w:spacing w:after="0" w:line="240" w:lineRule="auto"/>
            </w:pPr>
            <w:r>
              <w:rPr>
                <w:b w:val="0"/>
                <w:i w:val="0"/>
                <w:sz w:val="20"/>
              </w:rPr>
              <w:t>—</w:t>
            </w:r>
          </w:p>
        </w:tc>
        <w:tc>
          <w:tcPr>
            <w:tcW w:type="dxa" w:w="959"/>
            <w:tcMar>
              <w:top w:w="30" w:type="dxa"/>
              <w:bottom w:w="30" w:type="dxa"/>
              <w:left w:w="80" w:type="dxa"/>
              <w:right w:w="80" w:type="dxa"/>
            </w:tcMar>
          </w:tcPr>
          <w:p>
            <w:pPr>
              <w:spacing w:after="0" w:line="240" w:lineRule="auto"/>
            </w:pPr>
            <w:r>
              <w:rPr>
                <w:b w:val="0"/>
                <w:i w:val="0"/>
                <w:sz w:val="20"/>
              </w:rPr>
              <w:t>—</w:t>
            </w:r>
          </w:p>
        </w:tc>
        <w:tc>
          <w:tcPr>
            <w:tcW w:type="dxa" w:w="2846"/>
            <w:tcMar>
              <w:top w:w="30" w:type="dxa"/>
              <w:bottom w:w="30" w:type="dxa"/>
              <w:left w:w="80" w:type="dxa"/>
              <w:right w:w="80" w:type="dxa"/>
            </w:tcMar>
          </w:tcPr>
          <w:p>
            <w:pPr>
              <w:spacing w:after="0" w:line="240" w:lineRule="auto"/>
            </w:pPr>
            <w:r>
              <w:rPr>
                <w:b w:val="0"/>
                <w:i w:val="0"/>
                <w:sz w:val="20"/>
              </w:rPr>
              <w:t>—</w:t>
            </w:r>
          </w:p>
        </w:tc>
      </w:tr>
      <w:tr>
        <w:trPr>
          <w:cantSplit w:val="true"/>
        </w:trPr>
        <w:tc>
          <w:tcPr>
            <w:tcW w:type="dxa" w:w="1101"/>
            <w:tcMar>
              <w:top w:w="30" w:type="dxa"/>
              <w:bottom w:w="30" w:type="dxa"/>
              <w:left w:w="80" w:type="dxa"/>
              <w:right w:w="80" w:type="dxa"/>
            </w:tcMar>
            <w:shd w:val="clear" w:color="auto" w:fill="F2F6FB"/>
          </w:tcPr>
          <w:p>
            <w:pPr>
              <w:spacing w:after="0" w:line="240" w:lineRule="auto"/>
            </w:pPr>
            <w:r>
              <w:rPr>
                <w:b/>
                <w:i w:val="0"/>
                <w:sz w:val="20"/>
              </w:rPr>
              <w:t>Merchantability</w:t>
            </w:r>
          </w:p>
        </w:tc>
        <w:tc>
          <w:tcPr>
            <w:tcW w:type="dxa" w:w="4796"/>
            <w:tcMar>
              <w:top w:w="30" w:type="dxa"/>
              <w:bottom w:w="30" w:type="dxa"/>
              <w:left w:w="80" w:type="dxa"/>
              <w:right w:w="80" w:type="dxa"/>
            </w:tcMar>
            <w:shd w:val="clear" w:color="auto" w:fill="F2F6FB"/>
          </w:tcPr>
          <w:p>
            <w:pPr>
              <w:spacing w:after="0" w:line="240" w:lineRule="auto"/>
            </w:pPr>
            <w:r>
              <w:rPr>
                <w:b w:val="0"/>
                <w:i w:val="0"/>
                <w:sz w:val="20"/>
              </w:rPr>
              <w:t>§ 2-316(2) or (3)</w:t>
            </w:r>
          </w:p>
        </w:tc>
        <w:tc>
          <w:tcPr>
            <w:tcW w:type="dxa" w:w="810"/>
            <w:tcMar>
              <w:top w:w="30" w:type="dxa"/>
              <w:bottom w:w="30" w:type="dxa"/>
              <w:left w:w="80" w:type="dxa"/>
              <w:right w:w="80" w:type="dxa"/>
            </w:tcMar>
            <w:shd w:val="clear" w:color="auto" w:fill="F2F6FB"/>
          </w:tcPr>
          <w:p>
            <w:pPr>
              <w:spacing w:after="0" w:line="240" w:lineRule="auto"/>
            </w:pPr>
            <w:r>
              <w:rPr>
                <w:b w:val="0"/>
                <w:i w:val="0"/>
                <w:sz w:val="20"/>
              </w:rPr>
              <w:t>No (oral OK)</w:t>
            </w:r>
          </w:p>
        </w:tc>
        <w:tc>
          <w:tcPr>
            <w:tcW w:type="dxa" w:w="959"/>
            <w:tcMar>
              <w:top w:w="30" w:type="dxa"/>
              <w:bottom w:w="30" w:type="dxa"/>
              <w:left w:w="80" w:type="dxa"/>
              <w:right w:w="80" w:type="dxa"/>
            </w:tcMar>
            <w:shd w:val="clear" w:color="auto" w:fill="F2F6FB"/>
          </w:tcPr>
          <w:p>
            <w:pPr>
              <w:spacing w:after="0" w:line="240" w:lineRule="auto"/>
            </w:pPr>
            <w:r>
              <w:rPr>
                <w:b/>
                <w:i w:val="0"/>
                <w:sz w:val="20"/>
              </w:rPr>
              <w:t>Yes, if written</w:t>
            </w:r>
          </w:p>
        </w:tc>
        <w:tc>
          <w:tcPr>
            <w:tcW w:type="dxa" w:w="2846"/>
            <w:tcMar>
              <w:top w:w="30" w:type="dxa"/>
              <w:bottom w:w="30" w:type="dxa"/>
              <w:left w:w="80" w:type="dxa"/>
              <w:right w:w="80" w:type="dxa"/>
            </w:tcMar>
            <w:shd w:val="clear" w:color="auto" w:fill="F2F6FB"/>
          </w:tcPr>
          <w:p>
            <w:pPr>
              <w:spacing w:after="0" w:line="240" w:lineRule="auto"/>
            </w:pPr>
            <w:r>
              <w:rPr>
                <w:b/>
                <w:i w:val="0"/>
                <w:sz w:val="20"/>
              </w:rPr>
              <w:t>Must mention "merchantability"</w:t>
            </w:r>
          </w:p>
        </w:tc>
      </w:tr>
      <w:tr>
        <w:trPr>
          <w:cantSplit w:val="true"/>
        </w:trPr>
        <w:tc>
          <w:tcPr>
            <w:tcW w:type="dxa" w:w="1101"/>
            <w:tcMar>
              <w:top w:w="30" w:type="dxa"/>
              <w:bottom w:w="30" w:type="dxa"/>
              <w:left w:w="80" w:type="dxa"/>
              <w:right w:w="80" w:type="dxa"/>
            </w:tcMar>
          </w:tcPr>
          <w:p>
            <w:pPr>
              <w:spacing w:after="0" w:line="240" w:lineRule="auto"/>
            </w:pPr>
            <w:r>
              <w:rPr>
                <w:b/>
                <w:i w:val="0"/>
                <w:sz w:val="20"/>
              </w:rPr>
              <w:t>Fitness</w:t>
            </w:r>
          </w:p>
        </w:tc>
        <w:tc>
          <w:tcPr>
            <w:tcW w:type="dxa" w:w="4796"/>
            <w:tcMar>
              <w:top w:w="30" w:type="dxa"/>
              <w:bottom w:w="30" w:type="dxa"/>
              <w:left w:w="80" w:type="dxa"/>
              <w:right w:w="80" w:type="dxa"/>
            </w:tcMar>
          </w:tcPr>
          <w:p>
            <w:pPr>
              <w:spacing w:after="0" w:line="240" w:lineRule="auto"/>
            </w:pPr>
            <w:r>
              <w:rPr>
                <w:b w:val="0"/>
                <w:i w:val="0"/>
                <w:sz w:val="20"/>
              </w:rPr>
              <w:t>§ 2-316(2) or (3)</w:t>
            </w:r>
          </w:p>
        </w:tc>
        <w:tc>
          <w:tcPr>
            <w:tcW w:type="dxa" w:w="810"/>
            <w:tcMar>
              <w:top w:w="30" w:type="dxa"/>
              <w:bottom w:w="30" w:type="dxa"/>
              <w:left w:w="80" w:type="dxa"/>
              <w:right w:w="80" w:type="dxa"/>
            </w:tcMar>
          </w:tcPr>
          <w:p>
            <w:pPr>
              <w:spacing w:after="0" w:line="240" w:lineRule="auto"/>
            </w:pPr>
            <w:r>
              <w:rPr>
                <w:b/>
                <w:i w:val="0"/>
                <w:sz w:val="20"/>
              </w:rPr>
              <w:t>Yes</w:t>
            </w:r>
          </w:p>
        </w:tc>
        <w:tc>
          <w:tcPr>
            <w:tcW w:type="dxa" w:w="959"/>
            <w:tcMar>
              <w:top w:w="30" w:type="dxa"/>
              <w:bottom w:w="30" w:type="dxa"/>
              <w:left w:w="80" w:type="dxa"/>
              <w:right w:w="80" w:type="dxa"/>
            </w:tcMar>
          </w:tcPr>
          <w:p>
            <w:pPr>
              <w:spacing w:after="0" w:line="240" w:lineRule="auto"/>
            </w:pPr>
            <w:r>
              <w:rPr>
                <w:b/>
                <w:i w:val="0"/>
                <w:sz w:val="20"/>
              </w:rPr>
              <w:t>Yes</w:t>
            </w:r>
          </w:p>
        </w:tc>
        <w:tc>
          <w:tcPr>
            <w:tcW w:type="dxa" w:w="2846"/>
            <w:tcMar>
              <w:top w:w="30" w:type="dxa"/>
              <w:bottom w:w="30" w:type="dxa"/>
              <w:left w:w="80" w:type="dxa"/>
              <w:right w:w="80" w:type="dxa"/>
            </w:tcMar>
          </w:tcPr>
          <w:p>
            <w:pPr>
              <w:spacing w:after="0" w:line="240" w:lineRule="auto"/>
            </w:pPr>
            <w:r>
              <w:rPr>
                <w:b w:val="0"/>
                <w:i w:val="0"/>
                <w:sz w:val="20"/>
              </w:rPr>
              <w:t>No — "no warranties beyond the description on the face hereof" works</w:t>
            </w:r>
          </w:p>
        </w:tc>
      </w:tr>
      <w:tr>
        <w:trPr>
          <w:cantSplit w:val="true"/>
        </w:trPr>
        <w:tc>
          <w:tcPr>
            <w:tcW w:type="dxa" w:w="1101"/>
            <w:tcMar>
              <w:top w:w="30" w:type="dxa"/>
              <w:bottom w:w="30" w:type="dxa"/>
              <w:left w:w="80" w:type="dxa"/>
              <w:right w:w="80" w:type="dxa"/>
            </w:tcMar>
            <w:shd w:val="clear" w:color="auto" w:fill="F2F6FB"/>
          </w:tcPr>
          <w:p>
            <w:pPr>
              <w:spacing w:after="0" w:line="240" w:lineRule="auto"/>
            </w:pPr>
            <w:r>
              <w:rPr>
                <w:b/>
                <w:i w:val="0"/>
                <w:sz w:val="20"/>
              </w:rPr>
              <w:t>All implied</w:t>
            </w:r>
          </w:p>
        </w:tc>
        <w:tc>
          <w:tcPr>
            <w:tcW w:type="dxa" w:w="4796"/>
            <w:tcMar>
              <w:top w:w="30" w:type="dxa"/>
              <w:bottom w:w="30" w:type="dxa"/>
              <w:left w:w="80" w:type="dxa"/>
              <w:right w:w="80" w:type="dxa"/>
            </w:tcMar>
            <w:shd w:val="clear" w:color="auto" w:fill="F2F6FB"/>
          </w:tcPr>
          <w:p>
            <w:pPr>
              <w:spacing w:after="0" w:line="240" w:lineRule="auto"/>
            </w:pPr>
            <w:r>
              <w:rPr>
                <w:b/>
                <w:i w:val="0"/>
                <w:sz w:val="20"/>
              </w:rPr>
              <w:t>"As is," "with all faults"</w:t>
            </w:r>
            <w:r>
              <w:rPr>
                <w:b w:val="0"/>
                <w:i w:val="0"/>
                <w:sz w:val="20"/>
              </w:rPr>
              <w:t xml:space="preserve"> · </w:t>
            </w:r>
            <w:r>
              <w:rPr>
                <w:b/>
                <w:i w:val="0"/>
                <w:sz w:val="20"/>
              </w:rPr>
              <w:t>examination</w:t>
            </w:r>
            <w:r>
              <w:rPr>
                <w:b w:val="0"/>
                <w:i w:val="0"/>
                <w:sz w:val="20"/>
              </w:rPr>
              <w:t xml:space="preserve"> (or </w:t>
            </w:r>
            <w:r>
              <w:rPr>
                <w:b/>
                <w:i w:val="0"/>
                <w:sz w:val="20"/>
              </w:rPr>
              <w:t>refusal</w:t>
            </w:r>
            <w:r>
              <w:rPr>
                <w:b w:val="0"/>
                <w:i w:val="0"/>
                <w:sz w:val="20"/>
              </w:rPr>
              <w:t xml:space="preserve"> after seller's </w:t>
            </w:r>
            <w:r>
              <w:rPr>
                <w:b/>
                <w:i w:val="0"/>
                <w:sz w:val="20"/>
              </w:rPr>
              <w:t>demand</w:t>
            </w:r>
            <w:r>
              <w:rPr>
                <w:b w:val="0"/>
                <w:i w:val="0"/>
                <w:sz w:val="20"/>
              </w:rPr>
              <w:t xml:space="preserve">) — only defects inspection should reveal · </w:t>
            </w:r>
            <w:r>
              <w:rPr>
                <w:b/>
                <w:i w:val="0"/>
                <w:sz w:val="20"/>
              </w:rPr>
              <w:t>CoD/CoP/UoT</w:t>
            </w:r>
          </w:p>
        </w:tc>
        <w:tc>
          <w:tcPr>
            <w:tcW w:type="dxa" w:w="810"/>
            <w:tcMar>
              <w:top w:w="30" w:type="dxa"/>
              <w:bottom w:w="30" w:type="dxa"/>
              <w:left w:w="80" w:type="dxa"/>
              <w:right w:w="80" w:type="dxa"/>
            </w:tcMar>
            <w:shd w:val="clear" w:color="auto" w:fill="F2F6FB"/>
          </w:tcPr>
          <w:p>
            <w:pPr>
              <w:spacing w:after="0" w:line="240" w:lineRule="auto"/>
            </w:pPr>
            <w:r>
              <w:rPr>
                <w:b w:val="0"/>
                <w:i w:val="0"/>
                <w:sz w:val="20"/>
              </w:rPr>
              <w:t>—</w:t>
            </w:r>
          </w:p>
        </w:tc>
        <w:tc>
          <w:tcPr>
            <w:tcW w:type="dxa" w:w="959"/>
            <w:tcMar>
              <w:top w:w="30" w:type="dxa"/>
              <w:bottom w:w="30" w:type="dxa"/>
              <w:left w:w="80" w:type="dxa"/>
              <w:right w:w="80" w:type="dxa"/>
            </w:tcMar>
            <w:shd w:val="clear" w:color="auto" w:fill="F2F6FB"/>
          </w:tcPr>
          <w:p>
            <w:pPr>
              <w:spacing w:after="0" w:line="240" w:lineRule="auto"/>
            </w:pPr>
            <w:r>
              <w:rPr>
                <w:b w:val="0"/>
                <w:i w:val="0"/>
                <w:sz w:val="20"/>
              </w:rPr>
              <w:t>—</w:t>
            </w:r>
          </w:p>
        </w:tc>
        <w:tc>
          <w:tcPr>
            <w:tcW w:type="dxa" w:w="2846"/>
            <w:tcMar>
              <w:top w:w="30" w:type="dxa"/>
              <w:bottom w:w="30" w:type="dxa"/>
              <w:left w:w="80" w:type="dxa"/>
              <w:right w:w="80" w:type="dxa"/>
            </w:tcMar>
            <w:shd w:val="clear" w:color="auto" w:fill="F2F6FB"/>
          </w:tcPr>
          <w:p>
            <w:pPr>
              <w:spacing w:after="0" w:line="240" w:lineRule="auto"/>
            </w:pPr>
            <w:r>
              <w:rPr>
                <w:b w:val="0"/>
                <w:i w:val="0"/>
                <w:sz w:val="20"/>
              </w:rPr>
              <w:t>—</w:t>
            </w:r>
          </w:p>
        </w:tc>
      </w:tr>
      <w:tr>
        <w:trPr>
          <w:cantSplit w:val="true"/>
        </w:trPr>
        <w:tc>
          <w:tcPr>
            <w:tcW w:type="dxa" w:w="1101"/>
            <w:tcMar>
              <w:top w:w="30" w:type="dxa"/>
              <w:bottom w:w="30" w:type="dxa"/>
              <w:left w:w="80" w:type="dxa"/>
              <w:right w:w="80" w:type="dxa"/>
            </w:tcMar>
          </w:tcPr>
          <w:p>
            <w:pPr>
              <w:spacing w:after="0" w:line="240" w:lineRule="auto"/>
            </w:pPr>
            <w:r>
              <w:rPr>
                <w:b/>
                <w:i w:val="0"/>
                <w:sz w:val="20"/>
              </w:rPr>
              <w:t>Title</w:t>
            </w:r>
          </w:p>
        </w:tc>
        <w:tc>
          <w:tcPr>
            <w:tcW w:type="dxa" w:w="4796"/>
            <w:tcMar>
              <w:top w:w="30" w:type="dxa"/>
              <w:bottom w:w="30" w:type="dxa"/>
              <w:left w:w="80" w:type="dxa"/>
              <w:right w:w="80" w:type="dxa"/>
            </w:tcMar>
          </w:tcPr>
          <w:p>
            <w:pPr>
              <w:spacing w:after="0" w:line="240" w:lineRule="auto"/>
            </w:pPr>
            <w:r>
              <w:rPr>
                <w:b/>
                <w:i w:val="0"/>
                <w:sz w:val="20"/>
              </w:rPr>
              <w:t>Specific language</w:t>
            </w:r>
            <w:r>
              <w:rPr>
                <w:b w:val="0"/>
                <w:i w:val="0"/>
                <w:sz w:val="20"/>
              </w:rPr>
              <w:t xml:space="preserve"> or </w:t>
            </w:r>
            <w:r>
              <w:rPr>
                <w:b/>
                <w:i w:val="0"/>
                <w:sz w:val="20"/>
              </w:rPr>
              <w:t>circumstances</w:t>
            </w:r>
            <w:r>
              <w:rPr>
                <w:b w:val="0"/>
                <w:i w:val="0"/>
                <w:sz w:val="20"/>
              </w:rPr>
              <w:t xml:space="preserve"> (sheriff's/executor's sale) — § 2-316 </w:t>
            </w:r>
            <w:r>
              <w:rPr>
                <w:b/>
                <w:i w:val="0"/>
                <w:sz w:val="20"/>
              </w:rPr>
              <w:t>doesn't apply</w:t>
            </w:r>
            <w:r>
              <w:rPr>
                <w:b w:val="0"/>
                <w:i w:val="0"/>
                <w:sz w:val="20"/>
              </w:rPr>
              <w:t xml:space="preserve">; "as is" </w:t>
            </w:r>
            <w:r>
              <w:rPr>
                <w:b/>
                <w:i w:val="0"/>
                <w:sz w:val="20"/>
              </w:rPr>
              <w:t>fails</w:t>
            </w:r>
          </w:p>
        </w:tc>
        <w:tc>
          <w:tcPr>
            <w:tcW w:type="dxa" w:w="810"/>
            <w:tcMar>
              <w:top w:w="30" w:type="dxa"/>
              <w:bottom w:w="30" w:type="dxa"/>
              <w:left w:w="80" w:type="dxa"/>
              <w:right w:w="80" w:type="dxa"/>
            </w:tcMar>
          </w:tcPr>
          <w:p>
            <w:pPr>
              <w:spacing w:after="0" w:line="240" w:lineRule="auto"/>
            </w:pPr>
            <w:r>
              <w:rPr>
                <w:b w:val="0"/>
                <w:i w:val="0"/>
                <w:sz w:val="20"/>
              </w:rPr>
              <w:t>No</w:t>
            </w:r>
          </w:p>
        </w:tc>
        <w:tc>
          <w:tcPr>
            <w:tcW w:type="dxa" w:w="959"/>
            <w:tcMar>
              <w:top w:w="30" w:type="dxa"/>
              <w:bottom w:w="30" w:type="dxa"/>
              <w:left w:w="80" w:type="dxa"/>
              <w:right w:w="80" w:type="dxa"/>
            </w:tcMar>
          </w:tcPr>
          <w:p>
            <w:pPr>
              <w:spacing w:after="0" w:line="240" w:lineRule="auto"/>
            </w:pPr>
            <w:r>
              <w:rPr>
                <w:b w:val="0"/>
                <w:i w:val="0"/>
                <w:sz w:val="20"/>
              </w:rPr>
              <w:t>No</w:t>
            </w:r>
          </w:p>
        </w:tc>
        <w:tc>
          <w:tcPr>
            <w:tcW w:type="dxa" w:w="2846"/>
            <w:tcMar>
              <w:top w:w="30" w:type="dxa"/>
              <w:bottom w:w="30" w:type="dxa"/>
              <w:left w:w="80" w:type="dxa"/>
              <w:right w:w="80" w:type="dxa"/>
            </w:tcMar>
          </w:tcPr>
          <w:p>
            <w:pPr>
              <w:spacing w:after="0" w:line="240" w:lineRule="auto"/>
            </w:pPr>
            <w:r>
              <w:rPr>
                <w:b w:val="0"/>
                <w:i w:val="0"/>
                <w:sz w:val="20"/>
              </w:rPr>
              <w:t>Specific language</w:t>
            </w:r>
          </w:p>
        </w:tc>
      </w:tr>
    </w:tbl>
    <w:p>
      <w:pPr>
        <w:spacing w:after="0" w:line="120" w:lineRule="exact"/>
      </w:pPr>
    </w:p>
    <w:p>
      <w:pPr>
        <w:pStyle w:val="ListBullet"/>
      </w:pPr>
      <w:r>
        <w:rPr>
          <w:b/>
          <w:i w:val="0"/>
        </w:rPr>
        <w:t>"Conspicuous" (§ 1-201(b)(10)):</w:t>
      </w:r>
      <w:r>
        <w:rPr>
          <w:b w:val="0"/>
          <w:i w:val="0"/>
        </w:rPr>
        <w:t xml:space="preserve"> a reasonable person </w:t>
      </w:r>
      <w:r>
        <w:rPr>
          <w:b/>
          <w:i w:val="0"/>
        </w:rPr>
        <w:t>ought to have noticed it</w:t>
      </w:r>
      <w:r>
        <w:rPr>
          <w:b w:val="0"/>
          <w:i w:val="0"/>
        </w:rPr>
        <w:t xml:space="preserve"> — capitals, larger or contrasting type; </w:t>
      </w:r>
      <w:r>
        <w:rPr>
          <w:b/>
          <w:i w:val="0"/>
        </w:rPr>
        <w:t>a question for the court</w:t>
      </w:r>
      <w:r>
        <w:rPr>
          <w:b w:val="0"/>
          <w:i w:val="0"/>
        </w:rPr>
        <w:t>.</w:t>
      </w:r>
    </w:p>
    <w:p>
      <w:pPr>
        <w:pStyle w:val="ListBullet"/>
      </w:pPr>
      <w:r>
        <w:rPr>
          <w:b/>
          <w:i w:val="0"/>
        </w:rPr>
        <w:t>Before applying § 2-316, ask:</w:t>
      </w:r>
      <w:r>
        <w:rPr>
          <w:b w:val="0"/>
          <w:i w:val="0"/>
        </w:rPr>
        <w:t xml:space="preserve"> (1) did the implied warranty </w:t>
      </w:r>
      <w:r>
        <w:rPr>
          <w:b/>
          <w:i w:val="0"/>
        </w:rPr>
        <w:t>arise</w:t>
      </w:r>
      <w:r>
        <w:rPr>
          <w:b w:val="0"/>
          <w:i w:val="0"/>
        </w:rPr>
        <w:t xml:space="preserve">? (2) is the disclaimer </w:t>
      </w:r>
      <w:r>
        <w:rPr>
          <w:b/>
          <w:i w:val="0"/>
        </w:rPr>
        <w:t>part of the contract</w:t>
      </w:r>
      <w:r>
        <w:rPr>
          <w:b w:val="0"/>
          <w:i w:val="0"/>
        </w:rPr>
        <w:t xml:space="preserve">? A disclaimer in a later form is a </w:t>
      </w:r>
      <w:r>
        <w:rPr>
          <w:b/>
          <w:i w:val="0"/>
        </w:rPr>
        <w:t>material alteration</w:t>
      </w:r>
      <w:r>
        <w:rPr>
          <w:b w:val="0"/>
          <w:i w:val="0"/>
        </w:rPr>
        <w:t xml:space="preserve"> under § 2-207 → usually not part of the deal.</w:t>
      </w:r>
    </w:p>
    <w:p>
      <w:pPr>
        <w:pStyle w:val="ListBullet"/>
      </w:pPr>
      <w:r>
        <w:rPr>
          <w:b/>
          <w:i w:val="0"/>
        </w:rPr>
        <w:t>Continuum of protection:</w:t>
      </w:r>
      <w:r>
        <w:rPr>
          <w:b w:val="0"/>
          <w:i w:val="0"/>
        </w:rPr>
        <w:t xml:space="preserve"> freedom of contract ← </w:t>
      </w:r>
      <w:r>
        <w:rPr>
          <w:b/>
          <w:i w:val="0"/>
        </w:rPr>
        <w:t>specially made commercial goods · merchant-to-merchant commercial goods · used goods · prepackaged new consumer goods</w:t>
      </w:r>
      <w:r>
        <w:rPr>
          <w:b w:val="0"/>
          <w:i w:val="0"/>
        </w:rPr>
        <w:t xml:space="preserve"> → paternalism.</w:t>
      </w:r>
    </w:p>
    <w:p>
      <w:pPr>
        <w:pStyle w:val="ListBullet"/>
      </w:pPr>
      <w:r>
        <w:rPr>
          <w:b/>
          <w:i w:val="0"/>
        </w:rPr>
        <w:t>Problem 5-3 — every way to disclaim fitness:</w:t>
      </w:r>
      <w:r>
        <w:rPr>
          <w:b w:val="0"/>
          <w:i w:val="0"/>
        </w:rPr>
        <w:t xml:space="preserve"> conspicuous writing (need not say "fitness") · "no warranties beyond the face hereof" · "as is"/"with all faults" · buyer's examination or </w:t>
      </w:r>
      <w:r>
        <w:rPr>
          <w:b/>
          <w:i w:val="0"/>
        </w:rPr>
        <w:t>refusal after seller's demand</w:t>
      </w:r>
      <w:r>
        <w:rPr>
          <w:b w:val="0"/>
          <w:i w:val="0"/>
        </w:rPr>
        <w:t xml:space="preserve"> · CoD/CoP/UoT.</w:t>
      </w:r>
    </w:p>
    <w:p>
      <w:pPr>
        <w:pStyle w:val="ListBullet"/>
      </w:pPr>
      <w:r>
        <w:rPr>
          <w:b/>
          <w:i w:val="0"/>
        </w:rPr>
        <w:t>Problem 5-4 (fisherman's engine; disclaimer on the back of a delivery receipt):</w:t>
      </w:r>
      <w:r>
        <w:rPr>
          <w:b w:val="0"/>
          <w:i w:val="0"/>
        </w:rPr>
        <w:t xml:space="preserve"> both implied warranties </w:t>
      </w:r>
      <w:r>
        <w:rPr>
          <w:b/>
          <w:i w:val="0"/>
        </w:rPr>
        <w:t>arose</w:t>
      </w:r>
      <w:r>
        <w:rPr>
          <w:b w:val="0"/>
          <w:i w:val="0"/>
        </w:rPr>
        <w:t xml:space="preserve"> (merchant dealer; boat specs + reliance on dealer's recommendation); a </w:t>
      </w:r>
      <w:r>
        <w:rPr>
          <w:b/>
          <w:i w:val="0"/>
        </w:rPr>
        <w:t>post-sale</w:t>
      </w:r>
      <w:r>
        <w:rPr>
          <w:b w:val="0"/>
          <w:i w:val="0"/>
        </w:rPr>
        <w:t xml:space="preserve"> receipt term is likely </w:t>
      </w:r>
      <w:r>
        <w:rPr>
          <w:b/>
          <w:i w:val="0"/>
        </w:rPr>
        <w:t>not part of the contract</w:t>
      </w:r>
      <w:r>
        <w:rPr>
          <w:b w:val="0"/>
          <w:i w:val="0"/>
        </w:rPr>
        <w:t xml:space="preserve"> (§§ 2-207/2-209); if it is, it </w:t>
      </w:r>
      <w:r>
        <w:rPr>
          <w:b/>
          <w:i w:val="0"/>
        </w:rPr>
        <w:t>mentions merchantability</w:t>
      </w:r>
      <w:r>
        <w:rPr>
          <w:b w:val="0"/>
          <w:i w:val="0"/>
        </w:rPr>
        <w:t xml:space="preserve"> and covers "all implied warranties," but is it </w:t>
      </w:r>
      <w:r>
        <w:rPr>
          <w:b/>
          <w:i w:val="0"/>
        </w:rPr>
        <w:t>conspicuous</w:t>
      </w:r>
      <w:r>
        <w:rPr>
          <w:b w:val="0"/>
          <w:i w:val="0"/>
        </w:rPr>
        <w:t xml:space="preserve"> on the back? </w:t>
      </w:r>
      <w:r>
        <w:rPr>
          <w:b/>
          <w:i w:val="0"/>
        </w:rPr>
        <w:t>Consumer buyer:</w:t>
      </w:r>
      <w:r>
        <w:rPr>
          <w:b w:val="0"/>
          <w:i w:val="0"/>
        </w:rPr>
        <w:t xml:space="preserve"> additional terms are mere proposals; consumer law may void it. </w:t>
      </w:r>
      <w:r>
        <w:rPr>
          <w:b/>
          <w:i w:val="0"/>
        </w:rPr>
        <w:t>Non-merchant dealer:</w:t>
      </w:r>
      <w:r>
        <w:rPr>
          <w:b w:val="0"/>
          <w:i w:val="0"/>
        </w:rPr>
        <w:t xml:space="preserve"> no merchantability warranty at all; fitness can still arise.</w:t>
      </w:r>
    </w:p>
    <w:p>
      <w:pPr>
        <w:pStyle w:val="ListBullet"/>
      </w:pPr>
      <w:r>
        <w:rPr>
          <w:b/>
          <w:i w:val="0"/>
        </w:rPr>
        <w:t>Problem 5-5 (title):</w:t>
      </w:r>
      <w:r>
        <w:rPr>
          <w:b w:val="0"/>
          <w:i w:val="0"/>
        </w:rPr>
        <w:t xml:space="preserve"> buyer accepts an express title disclaimer when provenance is uncertain and the </w:t>
      </w:r>
      <w:r>
        <w:rPr>
          <w:b/>
          <w:i w:val="0"/>
        </w:rPr>
        <w:t>price reflects the risk</w:t>
      </w:r>
      <w:r>
        <w:rPr>
          <w:b w:val="0"/>
          <w:i w:val="0"/>
        </w:rPr>
        <w:t xml:space="preserve"> (quitclaim-style, estate or liquidation sales). Circumstances alone: storage-unit auctions, executor/trustee or police auctions, lien sales.</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XI. Remedies &amp; Remedy Limitations</w:t>
            </w:r>
            <w:r>
              <w:rPr>
                <w:b/>
                <w:color w:val="C9D9EE"/>
                <w:sz w:val="16"/>
              </w:rPr>
              <w:t xml:space="preserve">    WEEKS 6–7</w:t>
            </w:r>
          </w:p>
        </w:tc>
      </w:tr>
    </w:tbl>
    <w:p>
      <w:pPr>
        <w:keepNext/>
        <w:spacing w:after="0" w:line="80" w:lineRule="exact"/>
      </w:pPr>
    </w:p>
    <w:p>
      <w:pPr>
        <w:pStyle w:val="ListBullet"/>
      </w:pPr>
      <w:r>
        <w:rPr>
          <w:b/>
          <w:i w:val="0"/>
        </w:rPr>
        <w:t>Framework:</w:t>
      </w:r>
      <w:r>
        <w:rPr>
          <w:b w:val="0"/>
          <w:i w:val="0"/>
        </w:rPr>
        <w:t xml:space="preserve"> Contract + Breach + Damages + Causation. A </w:t>
      </w:r>
      <w:r>
        <w:rPr>
          <w:b/>
          <w:i w:val="0"/>
        </w:rPr>
        <w:t>disclaimer</w:t>
      </w:r>
      <w:r>
        <w:rPr>
          <w:b w:val="0"/>
          <w:i w:val="0"/>
        </w:rPr>
        <w:t xml:space="preserve"> removes the </w:t>
      </w:r>
      <w:r>
        <w:rPr>
          <w:b/>
          <w:i w:val="0"/>
        </w:rPr>
        <w:t>breach</w:t>
      </w:r>
      <w:r>
        <w:rPr>
          <w:b w:val="0"/>
          <w:i w:val="0"/>
        </w:rPr>
        <w:t xml:space="preserve"> (no warranty); a </w:t>
      </w:r>
      <w:r>
        <w:rPr>
          <w:b/>
          <w:i w:val="0"/>
        </w:rPr>
        <w:t>remedy limitation</w:t>
      </w:r>
      <w:r>
        <w:rPr>
          <w:b w:val="0"/>
          <w:i w:val="0"/>
        </w:rPr>
        <w:t xml:space="preserve"> limits </w:t>
      </w:r>
      <w:r>
        <w:rPr>
          <w:b/>
          <w:i w:val="0"/>
        </w:rPr>
        <w:t>damages</w:t>
      </w:r>
      <w:r>
        <w:rPr>
          <w:b w:val="0"/>
          <w:i w:val="0"/>
        </w:rPr>
        <w:t xml:space="preserve"> after a breach (liquidated damages (LD), limited remedy, consequential exclusion). Always ask: </w:t>
      </w:r>
      <w:r>
        <w:rPr>
          <w:b/>
          <w:i w:val="0"/>
        </w:rPr>
        <w:t>what happened to the goods</w:t>
      </w:r>
      <w:r>
        <w:rPr>
          <w:b w:val="0"/>
          <w:i w:val="0"/>
        </w:rPr>
        <w:t xml:space="preserve">, and </w:t>
      </w:r>
      <w:r>
        <w:rPr>
          <w:b/>
          <w:i w:val="0"/>
        </w:rPr>
        <w:t>how are damages calculated</w:t>
      </w:r>
      <w:r>
        <w:rPr>
          <w:b w:val="0"/>
          <w:i w:val="0"/>
        </w:rPr>
        <w:t>?</w:t>
      </w:r>
    </w:p>
    <w:p>
      <w:pPr>
        <w:pStyle w:val="ListBullet"/>
      </w:pPr>
      <w:r>
        <w:rPr>
          <w:b w:val="0"/>
          <w:i w:val="0"/>
        </w:rPr>
        <w:t xml:space="preserve">Damages types: compensatory · </w:t>
      </w:r>
      <w:r>
        <w:rPr>
          <w:b/>
          <w:i w:val="0"/>
        </w:rPr>
        <w:t xml:space="preserve">incidental</w:t>
      </w:r>
      <w:r>
        <w:rPr>
          <w:b w:val="0"/>
          <w:i w:val="0"/>
        </w:rPr>
        <w:t xml:space="preserve"> (§ 2-715(1) — reasonable costs of responding: inspection, transport, storage, arranging cover) · </w:t>
      </w:r>
      <w:r>
        <w:rPr>
          <w:b/>
          <w:i w:val="0"/>
        </w:rPr>
        <w:t xml:space="preserve">consequential</w:t>
      </w:r>
      <w:r>
        <w:rPr>
          <w:b w:val="0"/>
          <w:i w:val="0"/>
        </w:rPr>
        <w:t xml:space="preserve"> (§ 2-715(2) — losses from needs the seller had reason to know at contracting that buyer couldn't reasonably prevent, plus injury to person/property from breach of warranty — e.g., lost profits from a production shutdown; fire from a defective oven) · liquidated (§ 2-718).</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3048"/>
        <w:gridCol w:w="7463"/>
      </w:tblGrid>
      <w:tr>
        <w:trPr>
          <w:tblHeader w:val="true"/>
        </w:trPr>
        <w:tc>
          <w:tcPr>
            <w:tcW w:type="dxa" w:w="3049"/>
            <w:shd w:val="clear" w:color="auto" w:fill="1F3A5F"/>
            <w:tcMar>
              <w:top w:w="40" w:type="dxa"/>
              <w:bottom w:w="40" w:type="dxa"/>
              <w:left w:w="80" w:type="dxa"/>
              <w:right w:w="80" w:type="dxa"/>
            </w:tcMar>
          </w:tcPr>
          <w:p>
            <w:pPr>
              <w:spacing w:after="0"/>
            </w:pPr>
            <w:r>
              <w:rPr>
                <w:b/>
                <w:i w:val="0"/>
                <w:color w:val="FFFFFF"/>
                <w:sz w:val="20"/>
              </w:rPr>
              <w:t>Breach</w:t>
            </w:r>
          </w:p>
        </w:tc>
        <w:tc>
          <w:tcPr>
            <w:tcW w:type="dxa" w:w="7463"/>
            <w:shd w:val="clear" w:color="auto" w:fill="1F3A5F"/>
            <w:tcMar>
              <w:top w:w="40" w:type="dxa"/>
              <w:bottom w:w="40" w:type="dxa"/>
              <w:left w:w="80" w:type="dxa"/>
              <w:right w:w="80" w:type="dxa"/>
            </w:tcMar>
          </w:tcPr>
          <w:p>
            <w:pPr>
              <w:spacing w:after="0"/>
            </w:pPr>
            <w:r>
              <w:rPr>
                <w:b/>
                <w:i w:val="0"/>
                <w:color w:val="FFFFFF"/>
                <w:sz w:val="20"/>
              </w:rPr>
              <w:t>Remedies</w:t>
            </w:r>
          </w:p>
        </w:tc>
      </w:tr>
      <w:tr>
        <w:trPr>
          <w:cantSplit w:val="true"/>
        </w:trPr>
        <w:tc>
          <w:tcPr>
            <w:tcW w:type="dxa" w:w="3049"/>
            <w:tcMar>
              <w:top w:w="30" w:type="dxa"/>
              <w:bottom w:w="30" w:type="dxa"/>
              <w:left w:w="80" w:type="dxa"/>
              <w:right w:w="80" w:type="dxa"/>
            </w:tcMar>
          </w:tcPr>
          <w:p>
            <w:pPr>
              <w:spacing w:after="0" w:line="240" w:lineRule="auto"/>
            </w:pPr>
            <w:r>
              <w:rPr>
                <w:b/>
                <w:i w:val="0"/>
                <w:sz w:val="20"/>
              </w:rPr>
              <w:t>Seller repudiates / doesn't deliver</w:t>
            </w:r>
          </w:p>
        </w:tc>
        <w:tc>
          <w:tcPr>
            <w:tcW w:type="dxa" w:w="7463"/>
            <w:tcMar>
              <w:top w:w="30" w:type="dxa"/>
              <w:bottom w:w="30" w:type="dxa"/>
              <w:left w:w="80" w:type="dxa"/>
              <w:right w:w="80" w:type="dxa"/>
            </w:tcMar>
          </w:tcPr>
          <w:p>
            <w:pPr>
              <w:spacing w:after="0" w:line="240" w:lineRule="auto"/>
            </w:pPr>
            <w:r>
              <w:rPr>
                <w:b w:val="0"/>
                <w:i w:val="0"/>
                <w:sz w:val="20"/>
              </w:rPr>
              <w:t xml:space="preserve">Buyer cancels, recovers price paid, and gets </w:t>
            </w:r>
            <w:r>
              <w:rPr>
                <w:b/>
                <w:i w:val="0"/>
                <w:sz w:val="20"/>
              </w:rPr>
              <w:t>market − contract</w:t>
            </w:r>
            <w:r>
              <w:rPr>
                <w:b w:val="0"/>
                <w:i w:val="0"/>
                <w:sz w:val="20"/>
              </w:rPr>
              <w:t xml:space="preserve"> (§ 2-713) </w:t>
            </w:r>
            <w:r>
              <w:rPr>
                <w:b/>
                <w:i w:val="0"/>
                <w:sz w:val="20"/>
              </w:rPr>
              <w:t>or cover − contract</w:t>
            </w:r>
            <w:r>
              <w:rPr>
                <w:b w:val="0"/>
                <w:i w:val="0"/>
                <w:sz w:val="20"/>
              </w:rPr>
              <w:t xml:space="preserve"> (§ 2-712) + incidental &amp; consequential; </w:t>
            </w:r>
            <w:r>
              <w:rPr>
                <w:b/>
                <w:i w:val="0"/>
                <w:sz w:val="20"/>
              </w:rPr>
              <w:t>specific performance</w:t>
            </w:r>
            <w:r>
              <w:rPr>
                <w:b w:val="0"/>
                <w:i w:val="0"/>
                <w:sz w:val="20"/>
              </w:rPr>
              <w:t xml:space="preserve"> only rarely (§ 2-716)</w:t>
            </w:r>
          </w:p>
        </w:tc>
      </w:tr>
      <w:tr>
        <w:trPr>
          <w:cantSplit w:val="true"/>
        </w:trPr>
        <w:tc>
          <w:tcPr>
            <w:tcW w:type="dxa" w:w="3049"/>
            <w:tcMar>
              <w:top w:w="30" w:type="dxa"/>
              <w:bottom w:w="30" w:type="dxa"/>
              <w:left w:w="80" w:type="dxa"/>
              <w:right w:w="80" w:type="dxa"/>
            </w:tcMar>
            <w:shd w:val="clear" w:color="auto" w:fill="F2F6FB"/>
          </w:tcPr>
          <w:p>
            <w:pPr>
              <w:spacing w:after="0" w:line="240" w:lineRule="auto"/>
            </w:pPr>
            <w:r>
              <w:rPr>
                <w:b/>
                <w:i w:val="0"/>
                <w:sz w:val="20"/>
              </w:rPr>
              <w:t>Seller tenders nonconforming goods</w:t>
            </w:r>
          </w:p>
        </w:tc>
        <w:tc>
          <w:tcPr>
            <w:tcW w:type="dxa" w:w="7463"/>
            <w:tcMar>
              <w:top w:w="30" w:type="dxa"/>
              <w:bottom w:w="30" w:type="dxa"/>
              <w:left w:w="80" w:type="dxa"/>
              <w:right w:w="80" w:type="dxa"/>
            </w:tcMar>
            <w:shd w:val="clear" w:color="auto" w:fill="F2F6FB"/>
          </w:tcPr>
          <w:p>
            <w:pPr>
              <w:spacing w:after="0" w:line="240" w:lineRule="auto"/>
            </w:pPr>
            <w:r>
              <w:rPr>
                <w:b w:val="0"/>
                <w:i w:val="0"/>
                <w:sz w:val="20"/>
              </w:rPr>
              <w:t xml:space="preserve">Buyer </w:t>
            </w:r>
            <w:r>
              <w:rPr>
                <w:b/>
                <w:i w:val="0"/>
                <w:sz w:val="20"/>
              </w:rPr>
              <w:t>rejects</w:t>
            </w:r>
            <w:r>
              <w:rPr>
                <w:b w:val="0"/>
                <w:i w:val="0"/>
                <w:sz w:val="20"/>
              </w:rPr>
              <w:t xml:space="preserve"> → same as nondelivery; or </w:t>
            </w:r>
            <w:r>
              <w:rPr>
                <w:b/>
                <w:i w:val="0"/>
                <w:sz w:val="20"/>
              </w:rPr>
              <w:t>accepts</w:t>
            </w:r>
            <w:r>
              <w:rPr>
                <w:b w:val="0"/>
                <w:i w:val="0"/>
                <w:sz w:val="20"/>
              </w:rPr>
              <w:t xml:space="preserve"> → pays price, recovers </w:t>
            </w:r>
            <w:r>
              <w:rPr>
                <w:b/>
                <w:i w:val="0"/>
                <w:sz w:val="20"/>
              </w:rPr>
              <w:t>value as warranted − value as accepted</w:t>
            </w:r>
            <w:r>
              <w:rPr>
                <w:b w:val="0"/>
                <w:i w:val="0"/>
                <w:sz w:val="20"/>
              </w:rPr>
              <w:t xml:space="preserve"> (§ 2-714(2)) + incidental &amp; consequential</w:t>
            </w:r>
          </w:p>
        </w:tc>
      </w:tr>
      <w:tr>
        <w:trPr>
          <w:cantSplit w:val="true"/>
        </w:trPr>
        <w:tc>
          <w:tcPr>
            <w:tcW w:type="dxa" w:w="3049"/>
            <w:tcMar>
              <w:top w:w="30" w:type="dxa"/>
              <w:bottom w:w="30" w:type="dxa"/>
              <w:left w:w="80" w:type="dxa"/>
              <w:right w:w="80" w:type="dxa"/>
            </w:tcMar>
          </w:tcPr>
          <w:p>
            <w:pPr>
              <w:spacing w:after="0" w:line="240" w:lineRule="auto"/>
            </w:pPr>
            <w:r>
              <w:rPr>
                <w:b/>
                <w:i w:val="0"/>
                <w:sz w:val="20"/>
              </w:rPr>
              <w:t>Buyer revokes acceptance</w:t>
            </w:r>
          </w:p>
        </w:tc>
        <w:tc>
          <w:tcPr>
            <w:tcW w:type="dxa" w:w="7463"/>
            <w:tcMar>
              <w:top w:w="30" w:type="dxa"/>
              <w:bottom w:w="30" w:type="dxa"/>
              <w:left w:w="80" w:type="dxa"/>
              <w:right w:w="80" w:type="dxa"/>
            </w:tcMar>
          </w:tcPr>
          <w:p>
            <w:pPr>
              <w:spacing w:after="0" w:line="240" w:lineRule="auto"/>
            </w:pPr>
            <w:r>
              <w:rPr>
                <w:b w:val="0"/>
                <w:i w:val="0"/>
                <w:sz w:val="20"/>
              </w:rPr>
              <w:t>Cancel, recover price, cover or market damages + incidental &amp; consequential</w:t>
            </w:r>
          </w:p>
        </w:tc>
      </w:tr>
      <w:tr>
        <w:trPr>
          <w:cantSplit w:val="true"/>
        </w:trPr>
        <w:tc>
          <w:tcPr>
            <w:tcW w:type="dxa" w:w="3049"/>
            <w:tcMar>
              <w:top w:w="30" w:type="dxa"/>
              <w:bottom w:w="30" w:type="dxa"/>
              <w:left w:w="80" w:type="dxa"/>
              <w:right w:w="80" w:type="dxa"/>
            </w:tcMar>
            <w:shd w:val="clear" w:color="auto" w:fill="F2F6FB"/>
          </w:tcPr>
          <w:p>
            <w:pPr>
              <w:spacing w:after="0" w:line="240" w:lineRule="auto"/>
            </w:pPr>
            <w:r>
              <w:rPr>
                <w:b/>
                <w:i w:val="0"/>
                <w:sz w:val="20"/>
              </w:rPr>
              <w:t>Buyer repudiates (or wrongfully rejects)</w:t>
            </w:r>
          </w:p>
        </w:tc>
        <w:tc>
          <w:tcPr>
            <w:tcW w:type="dxa" w:w="7463"/>
            <w:tcMar>
              <w:top w:w="30" w:type="dxa"/>
              <w:bottom w:w="30" w:type="dxa"/>
              <w:left w:w="80" w:type="dxa"/>
              <w:right w:w="80" w:type="dxa"/>
            </w:tcMar>
            <w:shd w:val="clear" w:color="auto" w:fill="F2F6FB"/>
          </w:tcPr>
          <w:p>
            <w:pPr>
              <w:spacing w:after="0" w:line="240" w:lineRule="auto"/>
            </w:pPr>
            <w:r>
              <w:rPr>
                <w:b w:val="0"/>
                <w:i w:val="0"/>
                <w:sz w:val="20"/>
              </w:rPr>
              <w:t xml:space="preserve">Seller withholds/stops delivery, cancels, recovers </w:t>
            </w:r>
            <w:r>
              <w:rPr>
                <w:b/>
                <w:i w:val="0"/>
                <w:sz w:val="20"/>
              </w:rPr>
              <w:t>resale − contract</w:t>
            </w:r>
            <w:r>
              <w:rPr>
                <w:b w:val="0"/>
                <w:i w:val="0"/>
                <w:sz w:val="20"/>
              </w:rPr>
              <w:t xml:space="preserve"> (§ 2-706), </w:t>
            </w:r>
            <w:r>
              <w:rPr>
                <w:b/>
                <w:i w:val="0"/>
                <w:sz w:val="20"/>
              </w:rPr>
              <w:t>market − contract</w:t>
            </w:r>
            <w:r>
              <w:rPr>
                <w:b w:val="0"/>
                <w:i w:val="0"/>
                <w:sz w:val="20"/>
              </w:rPr>
              <w:t xml:space="preserve"> (§ 2-708(1)), or </w:t>
            </w:r>
            <w:r>
              <w:rPr>
                <w:b/>
                <w:i w:val="0"/>
                <w:sz w:val="20"/>
              </w:rPr>
              <w:t>lost profit</w:t>
            </w:r>
            <w:r>
              <w:rPr>
                <w:b w:val="0"/>
                <w:i w:val="0"/>
                <w:sz w:val="20"/>
              </w:rPr>
              <w:t xml:space="preserve"> (§ 2-708(2)) + incidental; prepaying buyer gets restitution less seller's damages (§ 2-718(2))</w:t>
            </w:r>
          </w:p>
        </w:tc>
      </w:tr>
      <w:tr>
        <w:trPr>
          <w:cantSplit w:val="true"/>
        </w:trPr>
        <w:tc>
          <w:tcPr>
            <w:tcW w:type="dxa" w:w="3049"/>
            <w:tcMar>
              <w:top w:w="30" w:type="dxa"/>
              <w:bottom w:w="30" w:type="dxa"/>
              <w:left w:w="80" w:type="dxa"/>
              <w:right w:w="80" w:type="dxa"/>
            </w:tcMar>
          </w:tcPr>
          <w:p>
            <w:pPr>
              <w:spacing w:after="0" w:line="240" w:lineRule="auto"/>
            </w:pPr>
            <w:r>
              <w:rPr>
                <w:b/>
                <w:i w:val="0"/>
                <w:sz w:val="20"/>
              </w:rPr>
              <w:t>Buyer accepts but doesn't pay</w:t>
            </w:r>
          </w:p>
        </w:tc>
        <w:tc>
          <w:tcPr>
            <w:tcW w:type="dxa" w:w="7463"/>
            <w:tcMar>
              <w:top w:w="30" w:type="dxa"/>
              <w:bottom w:w="30" w:type="dxa"/>
              <w:left w:w="80" w:type="dxa"/>
              <w:right w:w="80" w:type="dxa"/>
            </w:tcMar>
          </w:tcPr>
          <w:p>
            <w:pPr>
              <w:spacing w:after="0" w:line="240" w:lineRule="auto"/>
            </w:pPr>
            <w:r>
              <w:rPr>
                <w:b w:val="0"/>
                <w:i w:val="0"/>
                <w:sz w:val="20"/>
              </w:rPr>
              <w:t xml:space="preserve">Seller recovers the </w:t>
            </w:r>
            <w:r>
              <w:rPr>
                <w:b/>
                <w:i w:val="0"/>
                <w:sz w:val="20"/>
              </w:rPr>
              <w:t>price</w:t>
            </w:r>
            <w:r>
              <w:rPr>
                <w:b w:val="0"/>
                <w:i w:val="0"/>
                <w:sz w:val="20"/>
              </w:rPr>
              <w:t xml:space="preserve"> (§ 2-709) + incidental; rarely may </w:t>
            </w:r>
            <w:r>
              <w:rPr>
                <w:b/>
                <w:i w:val="0"/>
                <w:sz w:val="20"/>
              </w:rPr>
              <w:t>reclaim</w:t>
            </w:r>
            <w:r>
              <w:rPr>
                <w:b w:val="0"/>
                <w:i w:val="0"/>
                <w:sz w:val="20"/>
              </w:rPr>
              <w:t xml:space="preserve"> (§§ 2-507(2), 2-702(2))</w:t>
            </w:r>
          </w:p>
        </w:tc>
      </w:tr>
    </w:tbl>
    <w:p>
      <w:pPr>
        <w:spacing w:after="0" w:line="120" w:lineRule="exact"/>
      </w:pPr>
    </w:p>
    <w:p>
      <w:pPr>
        <w:keepNext/>
        <w:spacing w:before="120" w:after="40"/>
        <w:pBdr>
          <w:bottom w:val="single" w:sz="6" w:space="1" w:color="8EAADB"/>
        </w:pBdr>
      </w:pPr>
      <w:r>
        <w:rPr>
          <w:b/>
          <w:i w:val="0"/>
          <w:color w:val="1F3A5F"/>
          <w:sz w:val="25"/>
        </w:rPr>
        <w:t xml:space="preserve">Remedy limitations — ask: (1) part of the agreement? (2) enforceable? Limitations are </w:t>
      </w:r>
      <w:r>
        <w:rPr>
          <w:b/>
          <w:i w:val="0"/>
          <w:color w:val="1F3A5F"/>
          <w:sz w:val="25"/>
        </w:rPr>
        <w:t>never implied</w:t>
      </w:r>
      <w:r>
        <w:rPr>
          <w:b/>
          <w:i w:val="0"/>
          <w:color w:val="1F3A5F"/>
          <w:sz w:val="25"/>
        </w:rPr>
        <w:t>.</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Liquidated damages (§ 2-718(1)):</w:t>
            </w:r>
            <w:r>
              <w:rPr>
                <w:b w:val="0"/>
                <w:i w:val="0"/>
                <w:sz w:val="21"/>
              </w:rPr>
              <w:t xml:space="preserve"> valid only at an amount </w:t>
            </w:r>
            <w:r>
              <w:rPr>
                <w:b/>
                <w:i w:val="0"/>
                <w:sz w:val="21"/>
              </w:rPr>
              <w:t>reasonable in light of the anticipated or actual harm</w:t>
            </w:r>
            <w:r>
              <w:rPr>
                <w:b w:val="0"/>
                <w:i w:val="0"/>
                <w:sz w:val="21"/>
              </w:rPr>
              <w:t xml:space="preserve">, </w:t>
            </w:r>
            <w:r>
              <w:rPr>
                <w:b/>
                <w:i w:val="0"/>
                <w:sz w:val="21"/>
              </w:rPr>
              <w:t>difficulty of proving loss</w:t>
            </w:r>
            <w:r>
              <w:rPr>
                <w:b w:val="0"/>
                <w:i w:val="0"/>
                <w:sz w:val="21"/>
              </w:rPr>
              <w:t xml:space="preserve">, and </w:t>
            </w:r>
            <w:r>
              <w:rPr>
                <w:b/>
                <w:i w:val="0"/>
                <w:sz w:val="21"/>
              </w:rPr>
              <w:t>inconvenience of other remedies</w:t>
            </w:r>
            <w:r>
              <w:rPr>
                <w:b w:val="0"/>
                <w:i w:val="0"/>
                <w:sz w:val="21"/>
              </w:rPr>
              <w:t xml:space="preserve">; </w:t>
            </w:r>
            <w:r>
              <w:rPr>
                <w:b/>
                <w:i w:val="0"/>
                <w:sz w:val="21"/>
              </w:rPr>
              <w:t>unreasonably large = void penalty</w:t>
            </w:r>
            <w:r>
              <w:rPr>
                <w:b w:val="0"/>
                <w:i w:val="0"/>
                <w:sz w:val="21"/>
              </w:rPr>
              <w:t xml:space="preserve">. Need not be conspicuous. </w:t>
            </w:r>
            <w:r>
              <w:rPr>
                <w:b/>
                <w:i w:val="0"/>
                <w:sz w:val="21"/>
              </w:rPr>
              <w:t>Down-payment forfeitures</w:t>
            </w:r>
            <w:r>
              <w:rPr>
                <w:b w:val="0"/>
                <w:i w:val="0"/>
                <w:sz w:val="21"/>
              </w:rPr>
              <w:t xml:space="preserve"> are often enforced (absent an LD term, buyer recovers payments above </w:t>
            </w:r>
            <w:r>
              <w:rPr>
                <w:b/>
                <w:i w:val="0"/>
                <w:sz w:val="21"/>
              </w:rPr>
              <w:t>20% of the price or $500, whichever is smaller</w:t>
            </w:r>
            <w:r>
              <w:rPr>
                <w:b w:val="0"/>
                <w:i w:val="0"/>
                <w:sz w:val="21"/>
              </w:rPr>
              <w:t xml:space="preserve"> — § 2-718(2)).</w:t>
            </w:r>
          </w:p>
        </w:tc>
      </w:tr>
    </w:tbl>
    <w:p>
      <w:pPr>
        <w:spacing w:after="0" w:line="10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Limited remedies (§ 2-719):</w:t>
            </w:r>
            <w:r>
              <w:rPr>
                <w:b w:val="0"/>
                <w:i w:val="0"/>
                <w:sz w:val="21"/>
              </w:rPr>
              <w:t xml:space="preserve"> parties may substitute or limit remedies (e.g., </w:t>
            </w:r>
            <w:r>
              <w:rPr>
                <w:b/>
                <w:i w:val="0"/>
                <w:sz w:val="21"/>
              </w:rPr>
              <w:t>repair or replace</w:t>
            </w:r>
            <w:r>
              <w:rPr>
                <w:b w:val="0"/>
                <w:i w:val="0"/>
                <w:sz w:val="21"/>
              </w:rPr>
              <w:t xml:space="preserve">, </w:t>
            </w:r>
            <w:r>
              <w:rPr>
                <w:b/>
                <w:i w:val="0"/>
                <w:sz w:val="21"/>
              </w:rPr>
              <w:t>return and refund</w:t>
            </w:r>
            <w:r>
              <w:rPr>
                <w:b w:val="0"/>
                <w:i w:val="0"/>
                <w:sz w:val="21"/>
              </w:rPr>
              <w:t xml:space="preserve">, </w:t>
            </w:r>
            <w:r>
              <w:rPr>
                <w:b/>
                <w:i w:val="0"/>
                <w:sz w:val="21"/>
              </w:rPr>
              <w:t>caps</w:t>
            </w:r>
            <w:r>
              <w:rPr>
                <w:b w:val="0"/>
                <w:i w:val="0"/>
                <w:sz w:val="21"/>
              </w:rPr>
              <w:t xml:space="preserve">); an agreed remedy is </w:t>
            </w:r>
            <w:r>
              <w:rPr>
                <w:b/>
                <w:i w:val="0"/>
                <w:sz w:val="21"/>
              </w:rPr>
              <w:t>optional unless expressly exclusive</w:t>
            </w:r>
            <w:r>
              <w:rPr>
                <w:b w:val="0"/>
                <w:i w:val="0"/>
                <w:sz w:val="21"/>
              </w:rPr>
              <w:t xml:space="preserve">. If it </w:t>
            </w:r>
            <w:r>
              <w:rPr>
                <w:b/>
                <w:i w:val="0"/>
                <w:sz w:val="21"/>
              </w:rPr>
              <w:t>fails of its essential purpose</w:t>
            </w:r>
            <w:r>
              <w:rPr>
                <w:b w:val="0"/>
                <w:i w:val="0"/>
                <w:sz w:val="21"/>
              </w:rPr>
              <w:t xml:space="preserve">, normal UCC remedies return. </w:t>
            </w:r>
            <w:r>
              <w:rPr>
                <w:b/>
                <w:i w:val="0"/>
                <w:sz w:val="21"/>
              </w:rPr>
              <w:t>Consequential damages</w:t>
            </w:r>
            <w:r>
              <w:rPr>
                <w:b w:val="0"/>
                <w:i w:val="0"/>
                <w:sz w:val="21"/>
              </w:rPr>
              <w:t xml:space="preserve"> may be excluded </w:t>
            </w:r>
            <w:r>
              <w:rPr>
                <w:b/>
                <w:i w:val="0"/>
                <w:sz w:val="21"/>
              </w:rPr>
              <w:t>unless unconscionable</w:t>
            </w:r>
            <w:r>
              <w:rPr>
                <w:b w:val="0"/>
                <w:i w:val="0"/>
                <w:sz w:val="21"/>
              </w:rPr>
              <w:t xml:space="preserve"> — </w:t>
            </w:r>
            <w:r>
              <w:rPr>
                <w:b/>
                <w:i w:val="0"/>
                <w:sz w:val="21"/>
              </w:rPr>
              <w:t>prima facie unconscionable for personal injury from consumer goods</w:t>
            </w:r>
            <w:r>
              <w:rPr>
                <w:b w:val="0"/>
                <w:i w:val="0"/>
                <w:sz w:val="21"/>
              </w:rPr>
              <w:t>; commercial-loss exclusions are fine. Need not be conspicuous.</w:t>
            </w:r>
          </w:p>
        </w:tc>
      </w:tr>
    </w:tbl>
    <w:p>
      <w:pPr>
        <w:spacing w:after="0" w:line="100" w:lineRule="exact"/>
      </w:pPr>
    </w:p>
    <w:p>
      <w:pPr>
        <w:pStyle w:val="ListBullet"/>
      </w:pPr>
      <w:r>
        <w:rPr>
          <w:b/>
          <w:i w:val="0"/>
        </w:rPr>
        <w:t>LD vs. limitation (Problem 5-9):</w:t>
      </w:r>
      <w:r>
        <w:rPr>
          <w:b w:val="0"/>
          <w:i w:val="0"/>
        </w:rPr>
        <w:t xml:space="preserve"> LD </w:t>
      </w:r>
      <w:r>
        <w:rPr>
          <w:b/>
          <w:i w:val="0"/>
        </w:rPr>
        <w:t>fixes</w:t>
      </w:r>
      <w:r>
        <w:rPr>
          <w:b w:val="0"/>
          <w:i w:val="0"/>
        </w:rPr>
        <w:t xml:space="preserve"> damages in advance (higher or lower than actual) and is tested for </w:t>
      </w:r>
      <w:r>
        <w:rPr>
          <w:b/>
          <w:i w:val="0"/>
        </w:rPr>
        <w:t>reasonableness/penalty</w:t>
      </w:r>
      <w:r>
        <w:rPr>
          <w:b w:val="0"/>
          <w:i w:val="0"/>
        </w:rPr>
        <w:t xml:space="preserve">; a limitation </w:t>
      </w:r>
      <w:r>
        <w:rPr>
          <w:b/>
          <w:i w:val="0"/>
        </w:rPr>
        <w:t>eliminates or caps</w:t>
      </w:r>
      <w:r>
        <w:rPr>
          <w:b w:val="0"/>
          <w:i w:val="0"/>
        </w:rPr>
        <w:t xml:space="preserve"> categories, buyer still proves actual loss, tested by </w:t>
      </w:r>
      <w:r>
        <w:rPr>
          <w:b/>
          <w:i w:val="0"/>
        </w:rPr>
        <w:t>failure of essential purpose / unconscionability</w:t>
      </w:r>
      <w:r>
        <w:rPr>
          <w:b w:val="0"/>
          <w:i w:val="0"/>
        </w:rPr>
        <w:t>.</w:t>
      </w:r>
    </w:p>
    <w:p>
      <w:pPr>
        <w:pStyle w:val="ListBullet"/>
      </w:pPr>
      <w:r>
        <w:rPr>
          <w:b/>
          <w:i w:val="0"/>
        </w:rPr>
        <w:t>Problem 5-6 (oven LD: $1,000/day; 30 days late = $30,000; actual lost profit $2,500):</w:t>
      </w:r>
      <w:r>
        <w:rPr>
          <w:b w:val="0"/>
          <w:i w:val="0"/>
        </w:rPr>
        <w:t xml:space="preserve"> the "</w:t>
      </w:r>
      <w:r>
        <w:rPr>
          <w:b/>
          <w:i w:val="0"/>
        </w:rPr>
        <w:t>anticipated OR actual</w:t>
      </w:r>
      <w:r>
        <w:rPr>
          <w:b w:val="0"/>
          <w:i w:val="0"/>
        </w:rPr>
        <w:t xml:space="preserve">" wording lets a clause reasonable </w:t>
      </w:r>
      <w:r>
        <w:rPr>
          <w:b/>
          <w:i w:val="0"/>
        </w:rPr>
        <w:t>when made</w:t>
      </w:r>
      <w:r>
        <w:rPr>
          <w:b w:val="0"/>
          <w:i w:val="0"/>
        </w:rPr>
        <w:t xml:space="preserve"> survive — negotiated by merchants, based on profit discussions, hard-to-prove harm, time of the essence → </w:t>
      </w:r>
      <w:r>
        <w:rPr>
          <w:b/>
          <w:i w:val="0"/>
        </w:rPr>
        <w:t>likely enforceable</w:t>
      </w:r>
      <w:r>
        <w:rPr>
          <w:b w:val="0"/>
          <w:i w:val="0"/>
        </w:rPr>
        <w:t xml:space="preserve">; the seller argues the 12x gap makes it a </w:t>
      </w:r>
      <w:r>
        <w:rPr>
          <w:b/>
          <w:i w:val="0"/>
        </w:rPr>
        <w:t>penalty</w:t>
      </w:r>
      <w:r>
        <w:rPr>
          <w:b w:val="0"/>
          <w:i w:val="0"/>
        </w:rPr>
        <w:t>.</w:t>
      </w:r>
    </w:p>
    <w:p>
      <w:pPr>
        <w:pStyle w:val="ListBullet"/>
      </w:pPr>
      <w:r>
        <w:rPr>
          <w:b/>
          <w:i w:val="0"/>
        </w:rPr>
        <w:t>Problem 5-7 — failure of essential purpose:</w:t>
      </w:r>
      <w:r>
        <w:rPr>
          <w:b w:val="0"/>
          <w:i w:val="0"/>
        </w:rPr>
        <w:t xml:space="preserve"> </w:t>
      </w:r>
      <w:r>
        <w:rPr>
          <w:b/>
          <w:i w:val="0"/>
        </w:rPr>
        <w:t>Circuit City store credit</w:t>
      </w:r>
      <w:r>
        <w:rPr>
          <w:b w:val="0"/>
          <w:i w:val="0"/>
        </w:rPr>
        <w:t xml:space="preserve"> (retailer goes bankrupt; credit worthless); repair-or-replace that </w:t>
      </w:r>
      <w:r>
        <w:rPr>
          <w:b/>
          <w:i w:val="0"/>
        </w:rPr>
        <w:t>never fixes</w:t>
      </w:r>
      <w:r>
        <w:rPr>
          <w:b w:val="0"/>
          <w:i w:val="0"/>
        </w:rPr>
        <w:t xml:space="preserve"> the defect; replacement parts when the whole machine is destroyed.</w:t>
      </w:r>
    </w:p>
    <w:p>
      <w:pPr>
        <w:pStyle w:val="ListBullet"/>
      </w:pPr>
      <w:r>
        <w:rPr>
          <w:b/>
          <w:i w:val="0"/>
        </w:rPr>
        <w:t>Personal injury</w:t>
      </w:r>
      <w:r>
        <w:rPr>
          <w:b w:val="0"/>
          <w:i w:val="0"/>
        </w:rPr>
        <w:t xml:space="preserve"> isn't defined in Art. 2 — other law supplies it. A seller can sidestep § 2-719(3) by validly </w:t>
      </w:r>
      <w:r>
        <w:rPr>
          <w:b/>
          <w:i w:val="0"/>
        </w:rPr>
        <w:t>disclaiming</w:t>
      </w:r>
      <w:r>
        <w:rPr>
          <w:b w:val="0"/>
          <w:i w:val="0"/>
        </w:rPr>
        <w:t xml:space="preserve"> warranties.</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CF6EE"/>
            <w:tcMar>
              <w:top w:w="70" w:type="dxa"/>
              <w:bottom w:w="70" w:type="dxa"/>
              <w:left w:w="140" w:type="dxa"/>
              <w:right w:w="120" w:type="dxa"/>
            </w:tcMar>
            <w:tcBorders>
              <w:left w:val="single" w:sz="30" w:space="0" w:color="2E7D32"/>
            </w:tcBorders>
          </w:tcPr>
          <w:p>
            <w:pPr>
              <w:spacing w:after="30" w:line="240" w:lineRule="auto"/>
            </w:pPr>
            <w:r>
              <w:rPr>
                <w:b/>
                <w:color w:val="2E7D32"/>
                <w:sz w:val="15"/>
              </w:rPr>
              <w:t xml:space="preserve">MAIN CASE ★   </w:t>
            </w:r>
            <w:r>
              <w:rPr>
                <w:b/>
                <w:i w:val="0"/>
                <w:sz w:val="21"/>
              </w:rPr>
              <w:t xml:space="preserve">Razor v. Hyundai Motor America (Ill. 2006) — failed limited remedy and the consequential-damages exclusion</w:t>
            </w:r>
          </w:p>
          <w:p>
            <w:pPr>
              <w:spacing w:after="30" w:line="240" w:lineRule="auto"/>
            </w:pPr>
            <w:r>
              <w:rPr>
                <w:b/>
                <w:i w:val="0"/>
                <w:color w:val="595959"/>
                <w:sz w:val="18"/>
              </w:rPr>
              <w:t xml:space="preserve">Source:</w:t>
            </w:r>
            <w:r>
              <w:rPr>
                <w:b w:val="0"/>
                <w:i w:val="0"/>
                <w:color w:val="595959"/>
                <w:sz w:val="18"/>
              </w:rPr>
              <w:t xml:space="preserve"> principal case, casebook pp. 202–212. Slide W67-S32.</w:t>
            </w:r>
          </w:p>
          <w:p>
            <w:pPr>
              <w:spacing w:after="30" w:line="240" w:lineRule="auto"/>
            </w:pPr>
            <w:r>
              <w:rPr>
                <w:b/>
                <w:i w:val="0"/>
                <w:sz w:val="21"/>
              </w:rPr>
              <w:t xml:space="preserve">Facts:</w:t>
            </w:r>
            <w:r>
              <w:rPr>
                <w:b w:val="0"/>
                <w:i w:val="0"/>
                <w:sz w:val="21"/>
              </w:rPr>
              <w:t xml:space="preserve"> A consumer bought a </w:t>
            </w:r>
            <w:r>
              <w:rPr>
                <w:b/>
                <w:i w:val="0"/>
                <w:sz w:val="21"/>
              </w:rPr>
              <w:t xml:space="preserve">new Hyundai Sonata</w:t>
            </w:r>
            <w:r>
              <w:rPr>
                <w:b w:val="0"/>
                <w:i w:val="0"/>
                <w:sz w:val="21"/>
              </w:rPr>
              <w:t xml:space="preserve">. Hyundai's written warranty limited her remedy to </w:t>
            </w:r>
            <w:r>
              <w:rPr>
                <w:b/>
                <w:i w:val="0"/>
                <w:sz w:val="21"/>
              </w:rPr>
              <w:t xml:space="preserve">repair or replacement</w:t>
            </w:r>
            <w:r>
              <w:rPr>
                <w:b w:val="0"/>
                <w:i w:val="0"/>
                <w:sz w:val="21"/>
              </w:rPr>
              <w:t xml:space="preserve"> and separately </w:t>
            </w:r>
            <w:r>
              <w:rPr>
                <w:b/>
                <w:i w:val="0"/>
                <w:sz w:val="21"/>
              </w:rPr>
              <w:t xml:space="preserve">excluded incidental and consequential damages</w:t>
            </w:r>
            <w:r>
              <w:rPr>
                <w:b w:val="0"/>
                <w:i w:val="0"/>
                <w:sz w:val="21"/>
              </w:rPr>
              <w:t xml:space="preserve">. The car had a </w:t>
            </w:r>
            <w:r>
              <w:rPr>
                <w:b/>
                <w:i w:val="0"/>
                <w:sz w:val="21"/>
              </w:rPr>
              <w:t xml:space="preserve">no-start problem that numerous repairs never fixed</w:t>
            </w:r>
            <w:r>
              <w:rPr>
                <w:b w:val="0"/>
                <w:i w:val="0"/>
                <w:sz w:val="21"/>
              </w:rPr>
              <w:t xml:space="preserve">. The jury found the repair remedy </w:t>
            </w:r>
            <w:r>
              <w:rPr>
                <w:b/>
                <w:i w:val="0"/>
                <w:sz w:val="21"/>
              </w:rPr>
              <w:t xml:space="preserve">failed of its essential purpose</w:t>
            </w:r>
            <w:r>
              <w:rPr>
                <w:b w:val="0"/>
                <w:i w:val="0"/>
                <w:sz w:val="21"/>
              </w:rPr>
              <w:t xml:space="preserve"> and awarded $5,000 for lost value plus $3,500 for inconvenience and loss of use. The warranty and its exclusion were in the </w:t>
            </w:r>
            <w:r>
              <w:rPr>
                <w:b/>
                <w:i w:val="0"/>
                <w:sz w:val="21"/>
              </w:rPr>
              <w:t xml:space="preserve">owner's manual in the glove box</w:t>
            </w:r>
            <w:r>
              <w:rPr>
                <w:b w:val="0"/>
                <w:i w:val="0"/>
                <w:sz w:val="21"/>
              </w:rPr>
              <w:t xml:space="preserve">; she never saw them until after she signed and drove off.</w:t>
            </w:r>
          </w:p>
          <w:p>
            <w:pPr>
              <w:spacing w:after="30" w:line="240" w:lineRule="auto"/>
            </w:pPr>
            <w:r>
              <w:rPr>
                <w:b/>
                <w:i w:val="0"/>
                <w:sz w:val="21"/>
              </w:rPr>
              <w:t xml:space="preserve">Held:</w:t>
            </w:r>
            <w:r>
              <w:rPr>
                <w:b w:val="0"/>
                <w:i w:val="0"/>
                <w:sz w:val="21"/>
              </w:rPr>
              <w:t xml:space="preserve"> (1) </w:t>
            </w:r>
            <w:r>
              <w:rPr>
                <w:b/>
                <w:i w:val="0"/>
                <w:sz w:val="21"/>
              </w:rPr>
              <w:t xml:space="preserve">Independent approach</w:t>
            </w:r>
            <w:r>
              <w:rPr>
                <w:b w:val="0"/>
                <w:i w:val="0"/>
                <w:sz w:val="21"/>
              </w:rPr>
              <w:t xml:space="preserve"> (majority; Chatlos): the failure of the repair remedy does </w:t>
            </w:r>
            <w:r>
              <w:rPr>
                <w:b w:val="0"/>
                <w:i/>
                <w:sz w:val="21"/>
              </w:rPr>
              <w:t xml:space="preserve">not</w:t>
            </w:r>
            <w:r>
              <w:rPr>
                <w:b w:val="0"/>
                <w:i w:val="0"/>
                <w:sz w:val="21"/>
              </w:rPr>
              <w:t xml:space="preserve"> automatically void the consequential-damages exclusion. The exclusion stands unless </w:t>
            </w:r>
            <w:r>
              <w:rPr>
                <w:b/>
                <w:i w:val="0"/>
                <w:sz w:val="21"/>
              </w:rPr>
              <w:t xml:space="preserve">unconscionable</w:t>
            </w:r>
            <w:r>
              <w:rPr>
                <w:b w:val="0"/>
                <w:i w:val="0"/>
                <w:sz w:val="21"/>
              </w:rPr>
              <w:t xml:space="preserve"> under § 2-719(3) — the "two concentric walls." The court rejected the dependent approach of Adams v. J.I. Case (a tractor stuck in the repair shop for over a year) because it would make exclusions meaningless. (2) This exclusion </w:t>
            </w:r>
            <w:r>
              <w:rPr>
                <w:b/>
                <w:i w:val="0"/>
                <w:sz w:val="21"/>
              </w:rPr>
              <w:t xml:space="preserve">was unconscionable</w:t>
            </w:r>
            <w:r>
              <w:rPr>
                <w:b w:val="0"/>
                <w:i w:val="0"/>
                <w:sz w:val="21"/>
              </w:rPr>
              <w:t xml:space="preserve">: a preprinted consumer form with no bargaining power, and </w:t>
            </w:r>
            <w:r>
              <w:rPr>
                <w:b/>
                <w:i w:val="0"/>
                <w:sz w:val="21"/>
              </w:rPr>
              <w:t xml:space="preserve">decisively, it wasn't available to her before she signed</w:t>
            </w:r>
            <w:r>
              <w:rPr>
                <w:b w:val="0"/>
                <w:i w:val="0"/>
                <w:sz w:val="21"/>
              </w:rPr>
              <w:t xml:space="preserve">. Clear capital letters don't matter if she couldn't see it. Remanded for a new trial on § 2-714(2) damages.</w:t>
            </w:r>
          </w:p>
          <w:p>
            <w:pPr>
              <w:spacing w:after="0" w:line="240" w:lineRule="auto"/>
            </w:pPr>
            <w:r>
              <w:rPr>
                <w:b/>
                <w:i w:val="0"/>
                <w:sz w:val="21"/>
              </w:rPr>
              <w:t xml:space="preserve">Why it matters:</w:t>
            </w:r>
            <w:r>
              <w:rPr>
                <w:b w:val="0"/>
                <w:i w:val="0"/>
                <w:sz w:val="21"/>
              </w:rPr>
              <w:t xml:space="preserve"> shows the two separate tests in § 2-719: </w:t>
            </w:r>
            <w:r>
              <w:rPr>
                <w:b/>
                <w:i w:val="0"/>
                <w:sz w:val="21"/>
              </w:rPr>
              <w:t xml:space="preserve">failure of essential purpose</w:t>
            </w:r>
            <w:r>
              <w:rPr>
                <w:b w:val="0"/>
                <w:i w:val="0"/>
                <w:sz w:val="21"/>
              </w:rPr>
              <w:t xml:space="preserve"> (for the limited remedy) vs. </w:t>
            </w:r>
            <w:r>
              <w:rPr>
                <w:b/>
                <w:i w:val="0"/>
                <w:sz w:val="21"/>
              </w:rPr>
              <w:t xml:space="preserve">unconscionability</w:t>
            </w:r>
            <w:r>
              <w:rPr>
                <w:b w:val="0"/>
                <w:i w:val="0"/>
                <w:sz w:val="21"/>
              </w:rPr>
              <w:t xml:space="preserve"> (for the consequential exclusion). Dissent: the ruling burdens manufacturers and discourages written warranties.</w:t>
            </w:r>
          </w:p>
        </w:tc>
      </w:tr>
    </w:tbl>
    <w:p>
      <w:pPr>
        <w:spacing w:after="0" w:line="10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XII. Parol Evidence Rule — § 2-202</w:t>
            </w:r>
            <w:r>
              <w:rPr>
                <w:b/>
                <w:color w:val="C9D9EE"/>
                <w:sz w:val="16"/>
              </w:rPr>
              <w:t xml:space="preserve">    WEEKS 6–8</w:t>
            </w:r>
          </w:p>
        </w:tc>
      </w:tr>
    </w:tbl>
    <w:p>
      <w:pPr>
        <w:keepNext/>
        <w:spacing w:after="0" w:line="8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val="0"/>
                <w:i w:val="0"/>
                <w:sz w:val="21"/>
              </w:rPr>
              <w:t xml:space="preserve">Terms in a record the parties intended as a </w:t>
            </w:r>
            <w:r>
              <w:rPr>
                <w:b/>
                <w:i w:val="0"/>
                <w:sz w:val="21"/>
              </w:rPr>
              <w:t>final expression</w:t>
            </w:r>
            <w:r>
              <w:rPr>
                <w:b w:val="0"/>
                <w:i w:val="0"/>
                <w:sz w:val="21"/>
              </w:rPr>
              <w:t xml:space="preserve"> of their agreement (as to the terms it includes) </w:t>
            </w:r>
            <w:r>
              <w:rPr>
                <w:b/>
                <w:i w:val="0"/>
                <w:sz w:val="21"/>
              </w:rPr>
              <w:t>may not be contradicted</w:t>
            </w:r>
            <w:r>
              <w:rPr>
                <w:b w:val="0"/>
                <w:i w:val="0"/>
                <w:sz w:val="21"/>
              </w:rPr>
              <w:t xml:space="preserve"> by evidence of </w:t>
            </w:r>
            <w:r>
              <w:rPr>
                <w:b/>
                <w:i w:val="0"/>
                <w:sz w:val="21"/>
              </w:rPr>
              <w:t>any prior agreement</w:t>
            </w:r>
            <w:r>
              <w:rPr>
                <w:b w:val="0"/>
                <w:i w:val="0"/>
                <w:sz w:val="21"/>
              </w:rPr>
              <w:t xml:space="preserve"> or a </w:t>
            </w:r>
            <w:r>
              <w:rPr>
                <w:b/>
                <w:i w:val="0"/>
                <w:sz w:val="21"/>
              </w:rPr>
              <w:t>contemporaneous oral agreement</w:t>
            </w:r>
            <w:r>
              <w:rPr>
                <w:b w:val="0"/>
                <w:i w:val="0"/>
                <w:sz w:val="21"/>
              </w:rPr>
              <w:t xml:space="preserve">, but </w:t>
            </w:r>
            <w:r>
              <w:rPr>
                <w:b/>
                <w:i w:val="0"/>
                <w:sz w:val="21"/>
              </w:rPr>
              <w:t>may be explained or supplemented</w:t>
            </w:r>
            <w:r>
              <w:rPr>
                <w:b w:val="0"/>
                <w:i w:val="0"/>
                <w:sz w:val="21"/>
              </w:rPr>
              <w:t xml:space="preserve"> by </w:t>
            </w:r>
            <w:r>
              <w:rPr>
                <w:b/>
                <w:i w:val="0"/>
                <w:sz w:val="21"/>
              </w:rPr>
              <w:t>(a) course of dealing, usage of trade, or course of performance</w:t>
            </w:r>
            <w:r>
              <w:rPr>
                <w:b w:val="0"/>
                <w:i w:val="0"/>
                <w:sz w:val="21"/>
              </w:rPr>
              <w:t xml:space="preserve">, and </w:t>
            </w:r>
            <w:r>
              <w:rPr>
                <w:b/>
                <w:i w:val="0"/>
                <w:sz w:val="21"/>
              </w:rPr>
              <w:t>(b) consistent additional terms</w:t>
            </w:r>
            <w:r>
              <w:rPr>
                <w:b w:val="0"/>
                <w:i w:val="0"/>
                <w:sz w:val="21"/>
              </w:rPr>
              <w:t xml:space="preserve"> — </w:t>
            </w:r>
            <w:r>
              <w:rPr>
                <w:b/>
                <w:i w:val="0"/>
                <w:sz w:val="21"/>
              </w:rPr>
              <w:t>unless</w:t>
            </w:r>
            <w:r>
              <w:rPr>
                <w:b w:val="0"/>
                <w:i w:val="0"/>
                <w:sz w:val="21"/>
              </w:rPr>
              <w:t xml:space="preserve"> the court finds the record was also intended as a </w:t>
            </w:r>
            <w:r>
              <w:rPr>
                <w:b/>
                <w:i w:val="0"/>
                <w:sz w:val="21"/>
              </w:rPr>
              <w:t>complete and exclusive statement</w:t>
            </w:r>
            <w:r>
              <w:rPr>
                <w:b w:val="0"/>
                <w:i w:val="0"/>
                <w:sz w:val="21"/>
              </w:rPr>
              <w:t xml:space="preserve"> of the terms.</w:t>
            </w:r>
          </w:p>
        </w:tc>
      </w:tr>
    </w:tbl>
    <w:p>
      <w:pPr>
        <w:spacing w:after="0" w:line="100" w:lineRule="exact"/>
      </w:pPr>
    </w:p>
    <w:p>
      <w:pPr>
        <w:pStyle w:val="ListBullet"/>
      </w:pPr>
      <w:r>
        <w:rPr>
          <w:b/>
          <w:i w:val="0"/>
        </w:rPr>
        <w:t xml:space="preserve">Parol evidence rule (PER) = admissibility of evidence about terms.</w:t>
      </w:r>
      <w:r>
        <w:rPr>
          <w:b w:val="0"/>
          <w:i w:val="0"/>
        </w:rPr>
        <w:t xml:space="preserve"> </w:t>
      </w:r>
      <w:r>
        <w:rPr>
          <w:b/>
          <w:i w:val="0"/>
        </w:rPr>
        <w:t>SOF = enforceability.</w:t>
      </w:r>
      <w:r>
        <w:rPr>
          <w:b w:val="0"/>
          <w:i w:val="0"/>
        </w:rPr>
        <w:t xml:space="preserve"> </w:t>
      </w:r>
      <w:r>
        <w:rPr>
          <w:b/>
          <w:i w:val="0"/>
        </w:rPr>
        <w:t>Merger clause = prior and contemporaneous</w:t>
      </w:r>
      <w:r>
        <w:rPr>
          <w:b w:val="0"/>
          <w:i w:val="0"/>
        </w:rPr>
        <w:t xml:space="preserve"> agreements; </w:t>
      </w:r>
      <w:r>
        <w:rPr>
          <w:b/>
          <w:i w:val="0"/>
        </w:rPr>
        <w:t>NOM clause = future</w:t>
      </w:r>
      <w:r>
        <w:rPr>
          <w:b w:val="0"/>
          <w:i w:val="0"/>
        </w:rPr>
        <w:t xml:space="preserve"> modifications.</w:t>
      </w:r>
    </w:p>
    <w:p>
      <w:pPr>
        <w:pStyle w:val="ListBullet"/>
      </w:pPr>
      <w:r>
        <w:rPr>
          <w:b/>
          <w:i w:val="0"/>
        </w:rPr>
        <w:t>Analysis:</w:t>
      </w:r>
      <w:r>
        <w:rPr>
          <w:b w:val="0"/>
          <w:i w:val="0"/>
        </w:rPr>
        <w:t xml:space="preserve"> (1) What extrinsic evidence is offered? (2) For what </w:t>
      </w:r>
      <w:r>
        <w:rPr>
          <w:b/>
          <w:i w:val="0"/>
        </w:rPr>
        <w:t>purpose</w:t>
      </w:r>
      <w:r>
        <w:rPr>
          <w:b w:val="0"/>
          <w:i w:val="0"/>
        </w:rPr>
        <w:t xml:space="preserve">? The PER applies only to evidence of an alleged </w:t>
      </w:r>
      <w:r>
        <w:rPr>
          <w:b/>
          <w:i w:val="0"/>
        </w:rPr>
        <w:t>term</w:t>
      </w:r>
      <w:r>
        <w:rPr>
          <w:b w:val="0"/>
          <w:i w:val="0"/>
        </w:rPr>
        <w:t xml:space="preserve"> of the agreement — </w:t>
      </w:r>
      <w:r>
        <w:rPr>
          <w:b/>
          <w:i w:val="0"/>
        </w:rPr>
        <w:t>not</w:t>
      </w:r>
      <w:r>
        <w:rPr>
          <w:b w:val="0"/>
          <w:i w:val="0"/>
        </w:rPr>
        <w:t xml:space="preserve"> to evidence of a </w:t>
      </w:r>
      <w:r>
        <w:rPr>
          <w:b/>
          <w:i w:val="0"/>
        </w:rPr>
        <w:t>separate agreement</w:t>
      </w:r>
      <w:r>
        <w:rPr>
          <w:b w:val="0"/>
          <w:i w:val="0"/>
        </w:rPr>
        <w:t xml:space="preserve">, </w:t>
      </w:r>
      <w:r>
        <w:rPr>
          <w:b/>
          <w:i w:val="0"/>
        </w:rPr>
        <w:t>interpretation</w:t>
      </w:r>
      <w:r>
        <w:rPr>
          <w:b w:val="0"/>
          <w:i w:val="0"/>
        </w:rPr>
        <w:t xml:space="preserve">, a </w:t>
      </w:r>
      <w:r>
        <w:rPr>
          <w:b/>
          <w:i w:val="0"/>
        </w:rPr>
        <w:t>modification</w:t>
      </w:r>
      <w:r>
        <w:rPr>
          <w:b w:val="0"/>
          <w:i w:val="0"/>
        </w:rPr>
        <w:t xml:space="preserve"> (later deal), a </w:t>
      </w:r>
      <w:r>
        <w:rPr>
          <w:b/>
          <w:i w:val="0"/>
        </w:rPr>
        <w:t>formation defect</w:t>
      </w:r>
      <w:r>
        <w:rPr>
          <w:b w:val="0"/>
          <w:i w:val="0"/>
        </w:rPr>
        <w:t xml:space="preserve"> (fraud, mistake, duress), or a </w:t>
      </w:r>
      <w:r>
        <w:rPr>
          <w:b/>
          <w:i w:val="0"/>
        </w:rPr>
        <w:t>condition precedent</w:t>
      </w:r>
      <w:r>
        <w:rPr>
          <w:b w:val="0"/>
          <w:i w:val="0"/>
        </w:rPr>
        <w:t>.</w:t>
      </w:r>
    </w:p>
    <w:p>
      <w:pPr>
        <w:pStyle w:val="ListBullet"/>
      </w:pPr>
      <w:r>
        <w:rPr>
          <w:b/>
          <w:i w:val="0"/>
        </w:rPr>
        <w:t>Classify the writing:</w:t>
      </w:r>
      <w:r>
        <w:rPr>
          <w:b w:val="0"/>
          <w:i w:val="0"/>
        </w:rPr>
        <w:t xml:space="preserve"> </w:t>
      </w:r>
      <w:r>
        <w:rPr>
          <w:b/>
          <w:i w:val="0"/>
        </w:rPr>
        <w:t>Unfinished</w:t>
      </w:r>
      <w:r>
        <w:rPr>
          <w:b w:val="0"/>
          <w:i w:val="0"/>
        </w:rPr>
        <w:t xml:space="preserve"> (tentative draft) → PER doesn't apply · </w:t>
      </w:r>
      <w:r>
        <w:rPr>
          <w:b/>
          <w:i w:val="0"/>
        </w:rPr>
        <w:t>Final / partial integration</w:t>
      </w:r>
      <w:r>
        <w:rPr>
          <w:b w:val="0"/>
          <w:i w:val="0"/>
        </w:rPr>
        <w:t xml:space="preserve"> (states its terms definitively but not the whole deal) → no </w:t>
      </w:r>
      <w:r>
        <w:rPr>
          <w:b/>
          <w:i w:val="0"/>
        </w:rPr>
        <w:t>contradiction</w:t>
      </w:r>
      <w:r>
        <w:rPr>
          <w:b w:val="0"/>
          <w:i w:val="0"/>
        </w:rPr>
        <w:t xml:space="preserve">, but </w:t>
      </w:r>
      <w:r>
        <w:rPr>
          <w:b/>
          <w:i w:val="0"/>
        </w:rPr>
        <w:t>consistent additional terms</w:t>
      </w:r>
      <w:r>
        <w:rPr>
          <w:b w:val="0"/>
          <w:i w:val="0"/>
        </w:rPr>
        <w:t xml:space="preserve"> come in · </w:t>
      </w:r>
      <w:r>
        <w:rPr>
          <w:b/>
          <w:i w:val="0"/>
        </w:rPr>
        <w:t>Complete &amp; exclusive / full integration</w:t>
      </w:r>
      <w:r>
        <w:rPr>
          <w:b w:val="0"/>
          <w:i w:val="0"/>
        </w:rPr>
        <w:t xml:space="preserve"> → </w:t>
      </w:r>
      <w:r>
        <w:rPr>
          <w:b/>
          <w:i w:val="0"/>
        </w:rPr>
        <w:t>no contradiction or supplementation</w:t>
      </w:r>
      <w:r>
        <w:rPr>
          <w:b w:val="0"/>
          <w:i w:val="0"/>
        </w:rPr>
        <w:t xml:space="preserve"> (except CoD/UoT/CoP).</w:t>
      </w:r>
    </w:p>
    <w:p>
      <w:pPr>
        <w:pStyle w:val="ListBullet"/>
      </w:pPr>
      <w:r>
        <w:rPr>
          <w:b/>
          <w:i w:val="0"/>
        </w:rPr>
        <w:t>Classify the evidence:</w:t>
      </w:r>
      <w:r>
        <w:rPr>
          <w:b w:val="0"/>
          <w:i w:val="0"/>
        </w:rPr>
        <w:t xml:space="preserve"> explanatory · supplemental · contradictory. </w:t>
      </w:r>
      <w:r>
        <w:rPr>
          <w:b/>
          <w:i w:val="0"/>
        </w:rPr>
        <w:t>Some courts require ambiguity</w:t>
      </w:r>
      <w:r>
        <w:rPr>
          <w:b w:val="0"/>
          <w:i w:val="0"/>
        </w:rPr>
        <w:t xml:space="preserve"> before admitting explanatory evidence (not for CoD/UoT/CoP — cmt. 1(c)). </w:t>
      </w:r>
      <w:r>
        <w:rPr>
          <w:b/>
          <w:i w:val="0"/>
        </w:rPr>
        <w:t>Tests for contradiction:</w:t>
      </w:r>
      <w:r>
        <w:rPr>
          <w:b w:val="0"/>
          <w:i w:val="0"/>
        </w:rPr>
        <w:t xml:space="preserve"> directly negates a term · lacks reasonable harmony · parties </w:t>
      </w:r>
      <w:r>
        <w:rPr>
          <w:b/>
          <w:i w:val="0"/>
        </w:rPr>
        <w:t>would certainly have included</w:t>
      </w:r>
      <w:r>
        <w:rPr>
          <w:b w:val="0"/>
          <w:i w:val="0"/>
        </w:rPr>
        <w:t xml:space="preserve"> it (cmt. 3) · vs. supplementary if it </w:t>
      </w:r>
      <w:r>
        <w:rPr>
          <w:b/>
          <w:i w:val="0"/>
        </w:rPr>
        <w:t>might naturally be omitted</w:t>
      </w:r>
      <w:r>
        <w:rPr>
          <w:b w:val="0"/>
          <w:i w:val="0"/>
        </w:rPr>
        <w:t xml:space="preserve"> (R2d § 216).</w:t>
      </w:r>
    </w:p>
    <w:p>
      <w:pPr>
        <w:keepNext/>
      </w:pPr>
      <w:r>
        <w:rPr>
          <w:b/>
          <w:i w:val="0"/>
        </w:rPr>
        <w:t xml:space="preserve">Problem 5-10 — the PER chart</w:t>
      </w:r>
      <w:r>
        <w:rPr>
          <w:b w:val="0"/>
          <w:i w:val="0"/>
        </w:rPr>
        <w:t xml:space="preserve"> (slides W67-S37, W8-S8):</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4828"/>
        <w:gridCol w:w="2755"/>
        <w:gridCol w:w="2927"/>
      </w:tblGrid>
      <w:tr>
        <w:trPr>
          <w:tblHeader w:val="true"/>
        </w:trPr>
        <w:tc>
          <w:tcPr>
            <w:tcW w:type="dxa" w:w="4829"/>
            <w:shd w:val="clear" w:color="auto" w:fill="1F3A5F"/>
            <w:tcMar>
              <w:top w:w="40" w:type="dxa"/>
              <w:bottom w:w="40" w:type="dxa"/>
              <w:left w:w="80" w:type="dxa"/>
              <w:right w:w="80" w:type="dxa"/>
            </w:tcMar>
          </w:tcPr>
          <w:p>
            <w:pPr>
              <w:spacing w:after="0"/>
            </w:pPr>
            <w:r>
              <w:rPr>
                <w:b/>
                <w:i w:val="0"/>
                <w:color w:val="FFFFFF"/>
                <w:sz w:val="20"/>
              </w:rPr>
              <w:t>Evidence offered</w:t>
            </w:r>
          </w:p>
        </w:tc>
        <w:tc>
          <w:tcPr>
            <w:tcW w:type="dxa" w:w="2756"/>
            <w:shd w:val="clear" w:color="auto" w:fill="1F3A5F"/>
            <w:tcMar>
              <w:top w:w="40" w:type="dxa"/>
              <w:bottom w:w="40" w:type="dxa"/>
              <w:left w:w="80" w:type="dxa"/>
              <w:right w:w="80" w:type="dxa"/>
            </w:tcMar>
          </w:tcPr>
          <w:p>
            <w:pPr>
              <w:spacing w:after="0"/>
            </w:pPr>
            <w:r>
              <w:rPr>
                <w:b/>
                <w:i w:val="0"/>
                <w:color w:val="FFFFFF"/>
                <w:sz w:val="20"/>
              </w:rPr>
              <w:t>Final (partial)</w:t>
            </w:r>
          </w:p>
        </w:tc>
        <w:tc>
          <w:tcPr>
            <w:tcW w:type="dxa" w:w="2927"/>
            <w:shd w:val="clear" w:color="auto" w:fill="1F3A5F"/>
            <w:tcMar>
              <w:top w:w="40" w:type="dxa"/>
              <w:bottom w:w="40" w:type="dxa"/>
              <w:left w:w="80" w:type="dxa"/>
              <w:right w:w="80" w:type="dxa"/>
            </w:tcMar>
          </w:tcPr>
          <w:p>
            <w:pPr>
              <w:spacing w:after="0"/>
            </w:pPr>
            <w:r>
              <w:rPr>
                <w:b/>
                <w:i w:val="0"/>
                <w:color w:val="FFFFFF"/>
                <w:sz w:val="20"/>
              </w:rPr>
              <w:t>Complete &amp; exclusive</w:t>
            </w:r>
          </w:p>
        </w:tc>
      </w:tr>
      <w:tr>
        <w:trPr>
          <w:cantSplit w:val="true"/>
        </w:trPr>
        <w:tc>
          <w:tcPr>
            <w:tcW w:type="dxa" w:w="4829"/>
            <w:tcMar>
              <w:top w:w="30" w:type="dxa"/>
              <w:bottom w:w="30" w:type="dxa"/>
              <w:left w:w="80" w:type="dxa"/>
              <w:right w:w="80" w:type="dxa"/>
            </w:tcMar>
          </w:tcPr>
          <w:p>
            <w:pPr>
              <w:spacing w:after="0" w:line="240" w:lineRule="auto"/>
            </w:pPr>
            <w:r>
              <w:rPr>
                <w:b/>
                <w:i w:val="0"/>
                <w:sz w:val="20"/>
              </w:rPr>
              <w:t>Supplementary</w:t>
            </w:r>
            <w:r>
              <w:rPr>
                <w:b w:val="0"/>
                <w:i w:val="0"/>
                <w:sz w:val="20"/>
              </w:rPr>
              <w:t xml:space="preserve"> — oral, prior</w:t>
            </w:r>
          </w:p>
        </w:tc>
        <w:tc>
          <w:tcPr>
            <w:tcW w:type="dxa" w:w="2756"/>
            <w:tcMar>
              <w:top w:w="30" w:type="dxa"/>
              <w:bottom w:w="30" w:type="dxa"/>
              <w:left w:w="80" w:type="dxa"/>
              <w:right w:w="80" w:type="dxa"/>
            </w:tcMar>
          </w:tcPr>
          <w:p>
            <w:pPr>
              <w:spacing w:after="0" w:line="240" w:lineRule="auto"/>
            </w:pPr>
            <w:r>
              <w:rPr>
                <w:b w:val="0"/>
                <w:i w:val="0"/>
                <w:sz w:val="20"/>
              </w:rPr>
              <w:t>Admissible</w:t>
            </w:r>
          </w:p>
        </w:tc>
        <w:tc>
          <w:tcPr>
            <w:tcW w:type="dxa" w:w="2927"/>
            <w:tcMar>
              <w:top w:w="30" w:type="dxa"/>
              <w:bottom w:w="30" w:type="dxa"/>
              <w:left w:w="80" w:type="dxa"/>
              <w:right w:w="80" w:type="dxa"/>
            </w:tcMar>
          </w:tcPr>
          <w:p>
            <w:pPr>
              <w:spacing w:after="0" w:line="240" w:lineRule="auto"/>
            </w:pPr>
            <w:r>
              <w:rPr>
                <w:b w:val="0"/>
                <w:i w:val="0"/>
                <w:sz w:val="20"/>
              </w:rPr>
              <w:t>Inadmissible</w:t>
            </w:r>
          </w:p>
        </w:tc>
      </w:tr>
      <w:tr>
        <w:trPr>
          <w:cantSplit w:val="true"/>
        </w:trPr>
        <w:tc>
          <w:tcPr>
            <w:tcW w:type="dxa" w:w="4829"/>
            <w:tcMar>
              <w:top w:w="30" w:type="dxa"/>
              <w:bottom w:w="30" w:type="dxa"/>
              <w:left w:w="80" w:type="dxa"/>
              <w:right w:w="80" w:type="dxa"/>
            </w:tcMar>
            <w:shd w:val="clear" w:color="auto" w:fill="F2F6FB"/>
          </w:tcPr>
          <w:p>
            <w:pPr>
              <w:spacing w:after="0" w:line="240" w:lineRule="auto"/>
            </w:pPr>
            <w:r>
              <w:rPr>
                <w:b/>
                <w:i w:val="0"/>
                <w:sz w:val="20"/>
              </w:rPr>
              <w:t>Supplementary</w:t>
            </w:r>
            <w:r>
              <w:rPr>
                <w:b w:val="0"/>
                <w:i w:val="0"/>
                <w:sz w:val="20"/>
              </w:rPr>
              <w:t xml:space="preserve"> — oral, contemporaneous</w:t>
            </w:r>
          </w:p>
        </w:tc>
        <w:tc>
          <w:tcPr>
            <w:tcW w:type="dxa" w:w="2756"/>
            <w:tcMar>
              <w:top w:w="30" w:type="dxa"/>
              <w:bottom w:w="30" w:type="dxa"/>
              <w:left w:w="80" w:type="dxa"/>
              <w:right w:w="80" w:type="dxa"/>
            </w:tcMar>
            <w:shd w:val="clear" w:color="auto" w:fill="F2F6FB"/>
          </w:tcPr>
          <w:p>
            <w:pPr>
              <w:spacing w:after="0" w:line="240" w:lineRule="auto"/>
            </w:pPr>
            <w:r>
              <w:rPr>
                <w:b w:val="0"/>
                <w:i w:val="0"/>
                <w:sz w:val="20"/>
              </w:rPr>
              <w:t>Admissible</w:t>
            </w:r>
          </w:p>
        </w:tc>
        <w:tc>
          <w:tcPr>
            <w:tcW w:type="dxa" w:w="2927"/>
            <w:tcMar>
              <w:top w:w="30" w:type="dxa"/>
              <w:bottom w:w="30" w:type="dxa"/>
              <w:left w:w="80" w:type="dxa"/>
              <w:right w:w="80" w:type="dxa"/>
            </w:tcMar>
            <w:shd w:val="clear" w:color="auto" w:fill="F2F6FB"/>
          </w:tcPr>
          <w:p>
            <w:pPr>
              <w:spacing w:after="0" w:line="240" w:lineRule="auto"/>
            </w:pPr>
            <w:r>
              <w:rPr>
                <w:b w:val="0"/>
                <w:i w:val="0"/>
                <w:sz w:val="20"/>
              </w:rPr>
              <w:t>Inadmissible</w:t>
            </w:r>
          </w:p>
        </w:tc>
      </w:tr>
      <w:tr>
        <w:trPr>
          <w:cantSplit w:val="true"/>
        </w:trPr>
        <w:tc>
          <w:tcPr>
            <w:tcW w:type="dxa" w:w="4829"/>
            <w:tcMar>
              <w:top w:w="30" w:type="dxa"/>
              <w:bottom w:w="30" w:type="dxa"/>
              <w:left w:w="80" w:type="dxa"/>
              <w:right w:w="80" w:type="dxa"/>
            </w:tcMar>
          </w:tcPr>
          <w:p>
            <w:pPr>
              <w:spacing w:after="0" w:line="240" w:lineRule="auto"/>
            </w:pPr>
            <w:r>
              <w:rPr>
                <w:b/>
                <w:i w:val="0"/>
                <w:sz w:val="20"/>
              </w:rPr>
              <w:t>Supplementary</w:t>
            </w:r>
            <w:r>
              <w:rPr>
                <w:b w:val="0"/>
                <w:i w:val="0"/>
                <w:sz w:val="20"/>
              </w:rPr>
              <w:t xml:space="preserve"> — written, prior</w:t>
            </w:r>
          </w:p>
        </w:tc>
        <w:tc>
          <w:tcPr>
            <w:tcW w:type="dxa" w:w="2756"/>
            <w:tcMar>
              <w:top w:w="30" w:type="dxa"/>
              <w:bottom w:w="30" w:type="dxa"/>
              <w:left w:w="80" w:type="dxa"/>
              <w:right w:w="80" w:type="dxa"/>
            </w:tcMar>
          </w:tcPr>
          <w:p>
            <w:pPr>
              <w:spacing w:after="0" w:line="240" w:lineRule="auto"/>
            </w:pPr>
            <w:r>
              <w:rPr>
                <w:b w:val="0"/>
                <w:i w:val="0"/>
                <w:sz w:val="20"/>
              </w:rPr>
              <w:t>Admissible</w:t>
            </w:r>
          </w:p>
        </w:tc>
        <w:tc>
          <w:tcPr>
            <w:tcW w:type="dxa" w:w="2927"/>
            <w:tcMar>
              <w:top w:w="30" w:type="dxa"/>
              <w:bottom w:w="30" w:type="dxa"/>
              <w:left w:w="80" w:type="dxa"/>
              <w:right w:w="80" w:type="dxa"/>
            </w:tcMar>
          </w:tcPr>
          <w:p>
            <w:pPr>
              <w:spacing w:after="0" w:line="240" w:lineRule="auto"/>
            </w:pPr>
            <w:r>
              <w:rPr>
                <w:b w:val="0"/>
                <w:i w:val="0"/>
                <w:sz w:val="20"/>
              </w:rPr>
              <w:t>Inadmissible</w:t>
            </w:r>
          </w:p>
        </w:tc>
      </w:tr>
      <w:tr>
        <w:trPr>
          <w:cantSplit w:val="true"/>
        </w:trPr>
        <w:tc>
          <w:tcPr>
            <w:tcW w:type="dxa" w:w="4829"/>
            <w:tcMar>
              <w:top w:w="30" w:type="dxa"/>
              <w:bottom w:w="30" w:type="dxa"/>
              <w:left w:w="80" w:type="dxa"/>
              <w:right w:w="80" w:type="dxa"/>
            </w:tcMar>
            <w:shd w:val="clear" w:color="auto" w:fill="F2F6FB"/>
          </w:tcPr>
          <w:p>
            <w:pPr>
              <w:spacing w:after="0" w:line="240" w:lineRule="auto"/>
            </w:pPr>
            <w:r>
              <w:rPr>
                <w:b/>
                <w:i w:val="0"/>
                <w:sz w:val="20"/>
              </w:rPr>
              <w:t>Supplementary</w:t>
            </w:r>
            <w:r>
              <w:rPr>
                <w:b w:val="0"/>
                <w:i w:val="0"/>
                <w:sz w:val="20"/>
              </w:rPr>
              <w:t xml:space="preserve"> — written, contemporaneous</w:t>
            </w:r>
          </w:p>
        </w:tc>
        <w:tc>
          <w:tcPr>
            <w:tcW w:type="dxa" w:w="2756"/>
            <w:tcMar>
              <w:top w:w="30" w:type="dxa"/>
              <w:bottom w:w="30" w:type="dxa"/>
              <w:left w:w="80" w:type="dxa"/>
              <w:right w:w="80" w:type="dxa"/>
            </w:tcMar>
            <w:shd w:val="clear" w:color="auto" w:fill="F2F6FB"/>
          </w:tcPr>
          <w:p>
            <w:pPr>
              <w:spacing w:after="0" w:line="240" w:lineRule="auto"/>
            </w:pPr>
            <w:r>
              <w:rPr>
                <w:b w:val="0"/>
                <w:i w:val="0"/>
                <w:sz w:val="20"/>
              </w:rPr>
              <w:t>Admissible</w:t>
            </w:r>
          </w:p>
        </w:tc>
        <w:tc>
          <w:tcPr>
            <w:tcW w:type="dxa" w:w="2927"/>
            <w:tcMar>
              <w:top w:w="30" w:type="dxa"/>
              <w:bottom w:w="30" w:type="dxa"/>
              <w:left w:w="80" w:type="dxa"/>
              <w:right w:w="80" w:type="dxa"/>
            </w:tcMar>
            <w:shd w:val="clear" w:color="auto" w:fill="F2F6FB"/>
          </w:tcPr>
          <w:p>
            <w:pPr>
              <w:spacing w:after="0" w:line="240" w:lineRule="auto"/>
            </w:pPr>
            <w:r>
              <w:rPr>
                <w:b w:val="0"/>
                <w:i w:val="0"/>
                <w:sz w:val="20"/>
              </w:rPr>
              <w:t>N/A (part of the record)</w:t>
            </w:r>
          </w:p>
        </w:tc>
      </w:tr>
      <w:tr>
        <w:trPr>
          <w:cantSplit w:val="true"/>
        </w:trPr>
        <w:tc>
          <w:tcPr>
            <w:tcW w:type="dxa" w:w="4829"/>
            <w:tcMar>
              <w:top w:w="30" w:type="dxa"/>
              <w:bottom w:w="30" w:type="dxa"/>
              <w:left w:w="80" w:type="dxa"/>
              <w:right w:w="80" w:type="dxa"/>
            </w:tcMar>
          </w:tcPr>
          <w:p>
            <w:pPr>
              <w:spacing w:after="0" w:line="240" w:lineRule="auto"/>
            </w:pPr>
            <w:r>
              <w:rPr>
                <w:b/>
                <w:i w:val="0"/>
                <w:sz w:val="20"/>
              </w:rPr>
              <w:t>Supplementary</w:t>
            </w:r>
            <w:r>
              <w:rPr>
                <w:b w:val="0"/>
                <w:i w:val="0"/>
                <w:sz w:val="20"/>
              </w:rPr>
              <w:t xml:space="preserve"> — UoT / CoD / CoP</w:t>
            </w:r>
          </w:p>
        </w:tc>
        <w:tc>
          <w:tcPr>
            <w:tcW w:type="dxa" w:w="2756"/>
            <w:tcMar>
              <w:top w:w="30" w:type="dxa"/>
              <w:bottom w:w="30" w:type="dxa"/>
              <w:left w:w="80" w:type="dxa"/>
              <w:right w:w="80" w:type="dxa"/>
            </w:tcMar>
          </w:tcPr>
          <w:p>
            <w:pPr>
              <w:spacing w:after="0" w:line="240" w:lineRule="auto"/>
            </w:pPr>
            <w:r>
              <w:rPr>
                <w:b w:val="0"/>
                <w:i w:val="0"/>
                <w:sz w:val="20"/>
              </w:rPr>
              <w:t>Admissible</w:t>
            </w:r>
          </w:p>
        </w:tc>
        <w:tc>
          <w:tcPr>
            <w:tcW w:type="dxa" w:w="2927"/>
            <w:tcMar>
              <w:top w:w="30" w:type="dxa"/>
              <w:bottom w:w="30" w:type="dxa"/>
              <w:left w:w="80" w:type="dxa"/>
              <w:right w:w="80" w:type="dxa"/>
            </w:tcMar>
          </w:tcPr>
          <w:p>
            <w:pPr>
              <w:spacing w:after="0" w:line="240" w:lineRule="auto"/>
            </w:pPr>
            <w:r>
              <w:rPr>
                <w:b/>
                <w:i w:val="0"/>
                <w:sz w:val="20"/>
              </w:rPr>
              <w:t>Admissible</w:t>
            </w:r>
          </w:p>
        </w:tc>
      </w:tr>
      <w:tr>
        <w:trPr>
          <w:cantSplit w:val="true"/>
        </w:trPr>
        <w:tc>
          <w:tcPr>
            <w:tcW w:type="dxa" w:w="4829"/>
            <w:tcMar>
              <w:top w:w="30" w:type="dxa"/>
              <w:bottom w:w="30" w:type="dxa"/>
              <w:left w:w="80" w:type="dxa"/>
              <w:right w:w="80" w:type="dxa"/>
            </w:tcMar>
            <w:shd w:val="clear" w:color="auto" w:fill="F2F6FB"/>
          </w:tcPr>
          <w:p>
            <w:pPr>
              <w:spacing w:after="0" w:line="240" w:lineRule="auto"/>
            </w:pPr>
            <w:r>
              <w:rPr>
                <w:b/>
                <w:i w:val="0"/>
                <w:sz w:val="20"/>
              </w:rPr>
              <w:t>Contradictory</w:t>
            </w:r>
            <w:r>
              <w:rPr>
                <w:b w:val="0"/>
                <w:i w:val="0"/>
                <w:sz w:val="20"/>
              </w:rPr>
              <w:t xml:space="preserve"> — oral, prior</w:t>
            </w:r>
          </w:p>
        </w:tc>
        <w:tc>
          <w:tcPr>
            <w:tcW w:type="dxa" w:w="2756"/>
            <w:tcMar>
              <w:top w:w="30" w:type="dxa"/>
              <w:bottom w:w="30" w:type="dxa"/>
              <w:left w:w="80" w:type="dxa"/>
              <w:right w:w="80" w:type="dxa"/>
            </w:tcMar>
            <w:shd w:val="clear" w:color="auto" w:fill="F2F6FB"/>
          </w:tcPr>
          <w:p>
            <w:pPr>
              <w:spacing w:after="0" w:line="240" w:lineRule="auto"/>
            </w:pPr>
            <w:r>
              <w:rPr>
                <w:b w:val="0"/>
                <w:i w:val="0"/>
                <w:sz w:val="20"/>
              </w:rPr>
              <w:t>Inadmissible</w:t>
            </w:r>
          </w:p>
        </w:tc>
        <w:tc>
          <w:tcPr>
            <w:tcW w:type="dxa" w:w="2927"/>
            <w:tcMar>
              <w:top w:w="30" w:type="dxa"/>
              <w:bottom w:w="30" w:type="dxa"/>
              <w:left w:w="80" w:type="dxa"/>
              <w:right w:w="80" w:type="dxa"/>
            </w:tcMar>
            <w:shd w:val="clear" w:color="auto" w:fill="F2F6FB"/>
          </w:tcPr>
          <w:p>
            <w:pPr>
              <w:spacing w:after="0" w:line="240" w:lineRule="auto"/>
            </w:pPr>
            <w:r>
              <w:rPr>
                <w:b w:val="0"/>
                <w:i w:val="0"/>
                <w:sz w:val="20"/>
              </w:rPr>
              <w:t>Inadmissible</w:t>
            </w:r>
          </w:p>
        </w:tc>
      </w:tr>
      <w:tr>
        <w:trPr>
          <w:cantSplit w:val="true"/>
        </w:trPr>
        <w:tc>
          <w:tcPr>
            <w:tcW w:type="dxa" w:w="4829"/>
            <w:tcMar>
              <w:top w:w="30" w:type="dxa"/>
              <w:bottom w:w="30" w:type="dxa"/>
              <w:left w:w="80" w:type="dxa"/>
              <w:right w:w="80" w:type="dxa"/>
            </w:tcMar>
          </w:tcPr>
          <w:p>
            <w:pPr>
              <w:spacing w:after="0" w:line="240" w:lineRule="auto"/>
            </w:pPr>
            <w:r>
              <w:rPr>
                <w:b/>
                <w:i w:val="0"/>
                <w:sz w:val="20"/>
              </w:rPr>
              <w:t>Contradictory</w:t>
            </w:r>
            <w:r>
              <w:rPr>
                <w:b w:val="0"/>
                <w:i w:val="0"/>
                <w:sz w:val="20"/>
              </w:rPr>
              <w:t xml:space="preserve"> — oral, contemporaneous</w:t>
            </w:r>
          </w:p>
        </w:tc>
        <w:tc>
          <w:tcPr>
            <w:tcW w:type="dxa" w:w="2756"/>
            <w:tcMar>
              <w:top w:w="30" w:type="dxa"/>
              <w:bottom w:w="30" w:type="dxa"/>
              <w:left w:w="80" w:type="dxa"/>
              <w:right w:w="80" w:type="dxa"/>
            </w:tcMar>
          </w:tcPr>
          <w:p>
            <w:pPr>
              <w:spacing w:after="0" w:line="240" w:lineRule="auto"/>
            </w:pPr>
            <w:r>
              <w:rPr>
                <w:b w:val="0"/>
                <w:i w:val="0"/>
                <w:sz w:val="20"/>
              </w:rPr>
              <w:t>Inadmissible</w:t>
            </w:r>
          </w:p>
        </w:tc>
        <w:tc>
          <w:tcPr>
            <w:tcW w:type="dxa" w:w="2927"/>
            <w:tcMar>
              <w:top w:w="30" w:type="dxa"/>
              <w:bottom w:w="30" w:type="dxa"/>
              <w:left w:w="80" w:type="dxa"/>
              <w:right w:w="80" w:type="dxa"/>
            </w:tcMar>
          </w:tcPr>
          <w:p>
            <w:pPr>
              <w:spacing w:after="0" w:line="240" w:lineRule="auto"/>
            </w:pPr>
            <w:r>
              <w:rPr>
                <w:b w:val="0"/>
                <w:i w:val="0"/>
                <w:sz w:val="20"/>
              </w:rPr>
              <w:t>Inadmissible</w:t>
            </w:r>
          </w:p>
        </w:tc>
      </w:tr>
      <w:tr>
        <w:trPr>
          <w:cantSplit w:val="true"/>
        </w:trPr>
        <w:tc>
          <w:tcPr>
            <w:tcW w:type="dxa" w:w="4829"/>
            <w:tcMar>
              <w:top w:w="30" w:type="dxa"/>
              <w:bottom w:w="30" w:type="dxa"/>
              <w:left w:w="80" w:type="dxa"/>
              <w:right w:w="80" w:type="dxa"/>
            </w:tcMar>
            <w:shd w:val="clear" w:color="auto" w:fill="F2F6FB"/>
          </w:tcPr>
          <w:p>
            <w:pPr>
              <w:spacing w:after="0" w:line="240" w:lineRule="auto"/>
            </w:pPr>
            <w:r>
              <w:rPr>
                <w:b/>
                <w:i w:val="0"/>
                <w:sz w:val="20"/>
              </w:rPr>
              <w:t>Contradictory</w:t>
            </w:r>
            <w:r>
              <w:rPr>
                <w:b w:val="0"/>
                <w:i w:val="0"/>
                <w:sz w:val="20"/>
              </w:rPr>
              <w:t xml:space="preserve"> — written, prior</w:t>
            </w:r>
          </w:p>
        </w:tc>
        <w:tc>
          <w:tcPr>
            <w:tcW w:type="dxa" w:w="2756"/>
            <w:tcMar>
              <w:top w:w="30" w:type="dxa"/>
              <w:bottom w:w="30" w:type="dxa"/>
              <w:left w:w="80" w:type="dxa"/>
              <w:right w:w="80" w:type="dxa"/>
            </w:tcMar>
            <w:shd w:val="clear" w:color="auto" w:fill="F2F6FB"/>
          </w:tcPr>
          <w:p>
            <w:pPr>
              <w:spacing w:after="0" w:line="240" w:lineRule="auto"/>
            </w:pPr>
            <w:r>
              <w:rPr>
                <w:b w:val="0"/>
                <w:i w:val="0"/>
                <w:sz w:val="20"/>
              </w:rPr>
              <w:t>Inadmissible</w:t>
            </w:r>
          </w:p>
        </w:tc>
        <w:tc>
          <w:tcPr>
            <w:tcW w:type="dxa" w:w="2927"/>
            <w:tcMar>
              <w:top w:w="30" w:type="dxa"/>
              <w:bottom w:w="30" w:type="dxa"/>
              <w:left w:w="80" w:type="dxa"/>
              <w:right w:w="80" w:type="dxa"/>
            </w:tcMar>
            <w:shd w:val="clear" w:color="auto" w:fill="F2F6FB"/>
          </w:tcPr>
          <w:p>
            <w:pPr>
              <w:spacing w:after="0" w:line="240" w:lineRule="auto"/>
            </w:pPr>
            <w:r>
              <w:rPr>
                <w:b w:val="0"/>
                <w:i w:val="0"/>
                <w:sz w:val="20"/>
              </w:rPr>
              <w:t>Inadmissible</w:t>
            </w:r>
          </w:p>
        </w:tc>
      </w:tr>
      <w:tr>
        <w:trPr>
          <w:cantSplit w:val="true"/>
        </w:trPr>
        <w:tc>
          <w:tcPr>
            <w:tcW w:type="dxa" w:w="4829"/>
            <w:tcMar>
              <w:top w:w="30" w:type="dxa"/>
              <w:bottom w:w="30" w:type="dxa"/>
              <w:left w:w="80" w:type="dxa"/>
              <w:right w:w="80" w:type="dxa"/>
            </w:tcMar>
          </w:tcPr>
          <w:p>
            <w:pPr>
              <w:spacing w:after="0" w:line="240" w:lineRule="auto"/>
            </w:pPr>
            <w:r>
              <w:rPr>
                <w:b/>
                <w:i w:val="0"/>
                <w:sz w:val="20"/>
              </w:rPr>
              <w:t>Contradictory</w:t>
            </w:r>
            <w:r>
              <w:rPr>
                <w:b w:val="0"/>
                <w:i w:val="0"/>
                <w:sz w:val="20"/>
              </w:rPr>
              <w:t xml:space="preserve"> — written, contemporaneous</w:t>
            </w:r>
          </w:p>
        </w:tc>
        <w:tc>
          <w:tcPr>
            <w:tcW w:type="dxa" w:w="2756"/>
            <w:tcMar>
              <w:top w:w="30" w:type="dxa"/>
              <w:bottom w:w="30" w:type="dxa"/>
              <w:left w:w="80" w:type="dxa"/>
              <w:right w:w="80" w:type="dxa"/>
            </w:tcMar>
          </w:tcPr>
          <w:p>
            <w:pPr>
              <w:spacing w:after="0" w:line="240" w:lineRule="auto"/>
            </w:pPr>
            <w:r>
              <w:rPr>
                <w:b w:val="0"/>
                <w:i w:val="0"/>
                <w:sz w:val="20"/>
              </w:rPr>
              <w:t>Admissible</w:t>
            </w:r>
          </w:p>
        </w:tc>
        <w:tc>
          <w:tcPr>
            <w:tcW w:type="dxa" w:w="2927"/>
            <w:tcMar>
              <w:top w:w="30" w:type="dxa"/>
              <w:bottom w:w="30" w:type="dxa"/>
              <w:left w:w="80" w:type="dxa"/>
              <w:right w:w="80" w:type="dxa"/>
            </w:tcMar>
          </w:tcPr>
          <w:p>
            <w:pPr>
              <w:spacing w:after="0" w:line="240" w:lineRule="auto"/>
            </w:pPr>
            <w:r>
              <w:rPr>
                <w:b w:val="0"/>
                <w:i w:val="0"/>
                <w:sz w:val="20"/>
              </w:rPr>
              <w:t>N/A</w:t>
            </w:r>
          </w:p>
        </w:tc>
      </w:tr>
      <w:tr>
        <w:trPr>
          <w:cantSplit w:val="true"/>
        </w:trPr>
        <w:tc>
          <w:tcPr>
            <w:tcW w:type="dxa" w:w="4829"/>
            <w:tcMar>
              <w:top w:w="30" w:type="dxa"/>
              <w:bottom w:w="30" w:type="dxa"/>
              <w:left w:w="80" w:type="dxa"/>
              <w:right w:w="80" w:type="dxa"/>
            </w:tcMar>
            <w:shd w:val="clear" w:color="auto" w:fill="F2F6FB"/>
          </w:tcPr>
          <w:p>
            <w:pPr>
              <w:spacing w:after="0" w:line="240" w:lineRule="auto"/>
            </w:pPr>
            <w:r>
              <w:rPr>
                <w:b/>
                <w:i w:val="0"/>
                <w:sz w:val="20"/>
              </w:rPr>
              <w:t>Contradictory</w:t>
            </w:r>
            <w:r>
              <w:rPr>
                <w:b w:val="0"/>
                <w:i w:val="0"/>
                <w:sz w:val="20"/>
              </w:rPr>
              <w:t xml:space="preserve"> — UoT / CoD / CoP</w:t>
            </w:r>
          </w:p>
        </w:tc>
        <w:tc>
          <w:tcPr>
            <w:tcW w:type="dxa" w:w="2756"/>
            <w:tcMar>
              <w:top w:w="30" w:type="dxa"/>
              <w:bottom w:w="30" w:type="dxa"/>
              <w:left w:w="80" w:type="dxa"/>
              <w:right w:w="80" w:type="dxa"/>
            </w:tcMar>
            <w:shd w:val="clear" w:color="auto" w:fill="F2F6FB"/>
          </w:tcPr>
          <w:p>
            <w:pPr>
              <w:spacing w:after="0" w:line="240" w:lineRule="auto"/>
            </w:pPr>
            <w:r>
              <w:rPr>
                <w:b w:val="0"/>
                <w:i w:val="0"/>
                <w:sz w:val="20"/>
              </w:rPr>
              <w:t>§ 2-202(a) / § 1-303(e)</w:t>
            </w:r>
          </w:p>
        </w:tc>
        <w:tc>
          <w:tcPr>
            <w:tcW w:type="dxa" w:w="2927"/>
            <w:tcMar>
              <w:top w:w="30" w:type="dxa"/>
              <w:bottom w:w="30" w:type="dxa"/>
              <w:left w:w="80" w:type="dxa"/>
              <w:right w:w="80" w:type="dxa"/>
            </w:tcMar>
            <w:shd w:val="clear" w:color="auto" w:fill="F2F6FB"/>
          </w:tcPr>
          <w:p>
            <w:pPr>
              <w:spacing w:after="0" w:line="240" w:lineRule="auto"/>
            </w:pPr>
            <w:r>
              <w:rPr>
                <w:b w:val="0"/>
                <w:i w:val="0"/>
                <w:sz w:val="20"/>
              </w:rPr>
              <w:t>§ 2-202(a) / § 1-303(e)</w:t>
            </w:r>
          </w:p>
        </w:tc>
      </w:tr>
    </w:tbl>
    <w:p>
      <w:pPr>
        <w:spacing w:after="0" w:line="120" w:lineRule="exact"/>
      </w:pPr>
    </w:p>
    <w:p>
      <w:pPr>
        <w:pStyle w:val="ListBullet"/>
      </w:pPr>
      <w:r>
        <w:rPr>
          <w:b/>
          <w:i w:val="0"/>
        </w:rPr>
        <w:t>Merger clause</w:t>
      </w:r>
      <w:r>
        <w:rPr>
          <w:b w:val="0"/>
          <w:i w:val="0"/>
        </w:rPr>
        <w:t xml:space="preserve"> = evidence of full integration (</w:t>
      </w:r>
      <w:r>
        <w:rPr>
          <w:b/>
          <w:i w:val="0"/>
        </w:rPr>
        <w:t>probative, not conclusive</w:t>
      </w:r>
      <w:r>
        <w:rPr>
          <w:b w:val="0"/>
          <w:i w:val="0"/>
        </w:rPr>
        <w:t xml:space="preserve">). The PER </w:t>
      </w:r>
      <w:r>
        <w:rPr>
          <w:b/>
          <w:i w:val="0"/>
        </w:rPr>
        <w:t>never bars later agreements</w:t>
      </w:r>
      <w:r>
        <w:rPr>
          <w:b w:val="0"/>
          <w:i w:val="0"/>
        </w:rPr>
        <w:t xml:space="preserve"> or evidence of </w:t>
      </w:r>
      <w:r>
        <w:rPr>
          <w:b/>
          <w:i w:val="0"/>
        </w:rPr>
        <w:t>fraud/mistake</w:t>
      </w:r>
      <w:r>
        <w:rPr>
          <w:b w:val="0"/>
          <w:i w:val="0"/>
        </w:rPr>
        <w:t>, and getting evidence in doesn't make the fact-finder believe it.</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5460"/>
        <w:gridCol w:w="5051"/>
      </w:tblGrid>
      <w:tr>
        <w:trPr>
          <w:tblHeader w:val="true"/>
        </w:trPr>
        <w:tc>
          <w:tcPr>
            <w:tcW w:type="dxa" w:w="5460"/>
            <w:shd w:val="clear" w:color="auto" w:fill="1F3A5F"/>
            <w:tcMar>
              <w:top w:w="40" w:type="dxa"/>
              <w:bottom w:w="40" w:type="dxa"/>
              <w:left w:w="80" w:type="dxa"/>
              <w:right w:w="80" w:type="dxa"/>
            </w:tcMar>
          </w:tcPr>
          <w:p>
            <w:pPr>
              <w:spacing w:after="0"/>
            </w:pPr>
            <w:r>
              <w:rPr>
                <w:b/>
                <w:i w:val="0"/>
                <w:color w:val="FFFFFF"/>
                <w:sz w:val="20"/>
              </w:rPr>
              <w:t>Problem 5-11 clause</w:t>
            </w:r>
          </w:p>
        </w:tc>
        <w:tc>
          <w:tcPr>
            <w:tcW w:type="dxa" w:w="5052"/>
            <w:shd w:val="clear" w:color="auto" w:fill="1F3A5F"/>
            <w:tcMar>
              <w:top w:w="40" w:type="dxa"/>
              <w:bottom w:w="40" w:type="dxa"/>
              <w:left w:w="80" w:type="dxa"/>
              <w:right w:w="80" w:type="dxa"/>
            </w:tcMar>
          </w:tcPr>
          <w:p>
            <w:pPr>
              <w:spacing w:after="0"/>
            </w:pPr>
            <w:r>
              <w:rPr>
                <w:b/>
                <w:i w:val="0"/>
                <w:color w:val="FFFFFF"/>
                <w:sz w:val="20"/>
              </w:rPr>
              <w:t>Effect</w:t>
            </w:r>
          </w:p>
        </w:tc>
      </w:tr>
      <w:tr>
        <w:trPr>
          <w:cantSplit w:val="true"/>
        </w:trPr>
        <w:tc>
          <w:tcPr>
            <w:tcW w:type="dxa" w:w="5460"/>
            <w:tcMar>
              <w:top w:w="30" w:type="dxa"/>
              <w:bottom w:w="30" w:type="dxa"/>
              <w:left w:w="80" w:type="dxa"/>
              <w:right w:w="80" w:type="dxa"/>
            </w:tcMar>
          </w:tcPr>
          <w:p>
            <w:pPr>
              <w:spacing w:after="0" w:line="240" w:lineRule="auto"/>
            </w:pPr>
            <w:r>
              <w:rPr>
                <w:b w:val="0"/>
                <w:i w:val="0"/>
                <w:sz w:val="20"/>
              </w:rPr>
              <w:t xml:space="preserve">1. "Represents the </w:t>
            </w:r>
            <w:r>
              <w:rPr>
                <w:b/>
                <w:i w:val="0"/>
                <w:sz w:val="20"/>
              </w:rPr>
              <w:t>final</w:t>
            </w:r>
            <w:r>
              <w:rPr>
                <w:b w:val="0"/>
                <w:i w:val="0"/>
                <w:sz w:val="20"/>
              </w:rPr>
              <w:t xml:space="preserve"> agreement"</w:t>
            </w:r>
          </w:p>
        </w:tc>
        <w:tc>
          <w:tcPr>
            <w:tcW w:type="dxa" w:w="5052"/>
            <w:tcMar>
              <w:top w:w="30" w:type="dxa"/>
              <w:bottom w:w="30" w:type="dxa"/>
              <w:left w:w="80" w:type="dxa"/>
              <w:right w:w="80" w:type="dxa"/>
            </w:tcMar>
          </w:tcPr>
          <w:p>
            <w:pPr>
              <w:spacing w:after="0" w:line="240" w:lineRule="auto"/>
            </w:pPr>
            <w:r>
              <w:rPr>
                <w:b w:val="0"/>
                <w:i w:val="0"/>
                <w:sz w:val="20"/>
              </w:rPr>
              <w:t xml:space="preserve">Only </w:t>
            </w:r>
            <w:r>
              <w:rPr>
                <w:b/>
                <w:i w:val="0"/>
                <w:sz w:val="20"/>
              </w:rPr>
              <w:t>partial</w:t>
            </w:r>
            <w:r>
              <w:rPr>
                <w:b w:val="0"/>
                <w:i w:val="0"/>
                <w:sz w:val="20"/>
              </w:rPr>
              <w:t xml:space="preserve"> integration — not a true merger clause</w:t>
            </w:r>
          </w:p>
        </w:tc>
      </w:tr>
      <w:tr>
        <w:trPr>
          <w:cantSplit w:val="true"/>
        </w:trPr>
        <w:tc>
          <w:tcPr>
            <w:tcW w:type="dxa" w:w="5460"/>
            <w:tcMar>
              <w:top w:w="30" w:type="dxa"/>
              <w:bottom w:w="30" w:type="dxa"/>
              <w:left w:w="80" w:type="dxa"/>
              <w:right w:w="80" w:type="dxa"/>
            </w:tcMar>
            <w:shd w:val="clear" w:color="auto" w:fill="F2F6FB"/>
          </w:tcPr>
          <w:p>
            <w:pPr>
              <w:spacing w:after="0" w:line="240" w:lineRule="auto"/>
            </w:pPr>
            <w:r>
              <w:rPr>
                <w:b w:val="0"/>
                <w:i w:val="0"/>
                <w:sz w:val="20"/>
              </w:rPr>
              <w:t>2. "</w:t>
            </w:r>
            <w:r>
              <w:rPr>
                <w:b/>
                <w:i w:val="0"/>
                <w:sz w:val="20"/>
              </w:rPr>
              <w:t>Complete and exclusive</w:t>
            </w:r>
            <w:r>
              <w:rPr>
                <w:b w:val="0"/>
                <w:i w:val="0"/>
                <w:sz w:val="20"/>
              </w:rPr>
              <w:t xml:space="preserve"> statement… no other agreements"</w:t>
            </w:r>
          </w:p>
        </w:tc>
        <w:tc>
          <w:tcPr>
            <w:tcW w:type="dxa" w:w="5052"/>
            <w:tcMar>
              <w:top w:w="30" w:type="dxa"/>
              <w:bottom w:w="30" w:type="dxa"/>
              <w:left w:w="80" w:type="dxa"/>
              <w:right w:w="80" w:type="dxa"/>
            </w:tcMar>
            <w:shd w:val="clear" w:color="auto" w:fill="F2F6FB"/>
          </w:tcPr>
          <w:p>
            <w:pPr>
              <w:spacing w:after="0" w:line="240" w:lineRule="auto"/>
            </w:pPr>
            <w:r>
              <w:rPr>
                <w:b/>
                <w:i w:val="0"/>
                <w:sz w:val="20"/>
              </w:rPr>
              <w:t>Best</w:t>
            </w:r>
            <w:r>
              <w:rPr>
                <w:b w:val="0"/>
                <w:i w:val="0"/>
                <w:sz w:val="20"/>
              </w:rPr>
              <w:t xml:space="preserve"> — tracks § 2-202(b)</w:t>
            </w:r>
          </w:p>
        </w:tc>
      </w:tr>
      <w:tr>
        <w:trPr>
          <w:cantSplit w:val="true"/>
        </w:trPr>
        <w:tc>
          <w:tcPr>
            <w:tcW w:type="dxa" w:w="5460"/>
            <w:tcMar>
              <w:top w:w="30" w:type="dxa"/>
              <w:bottom w:w="30" w:type="dxa"/>
              <w:left w:w="80" w:type="dxa"/>
              <w:right w:w="80" w:type="dxa"/>
            </w:tcMar>
          </w:tcPr>
          <w:p>
            <w:pPr>
              <w:spacing w:after="0" w:line="240" w:lineRule="auto"/>
            </w:pPr>
            <w:r>
              <w:rPr>
                <w:b w:val="0"/>
                <w:i w:val="0"/>
                <w:sz w:val="20"/>
              </w:rPr>
              <w:t>3. "</w:t>
            </w:r>
            <w:r>
              <w:rPr>
                <w:b/>
                <w:i w:val="0"/>
                <w:sz w:val="20"/>
              </w:rPr>
              <w:t>Supersedes all prior</w:t>
            </w:r>
            <w:r>
              <w:rPr>
                <w:b w:val="0"/>
                <w:i w:val="0"/>
                <w:sz w:val="20"/>
              </w:rPr>
              <w:t xml:space="preserve"> agreements, written or oral"</w:t>
            </w:r>
          </w:p>
        </w:tc>
        <w:tc>
          <w:tcPr>
            <w:tcW w:type="dxa" w:w="5052"/>
            <w:tcMar>
              <w:top w:w="30" w:type="dxa"/>
              <w:bottom w:w="30" w:type="dxa"/>
              <w:left w:w="80" w:type="dxa"/>
              <w:right w:w="80" w:type="dxa"/>
            </w:tcMar>
          </w:tcPr>
          <w:p>
            <w:pPr>
              <w:spacing w:after="0" w:line="240" w:lineRule="auto"/>
            </w:pPr>
            <w:r>
              <w:rPr>
                <w:b w:val="0"/>
                <w:i w:val="0"/>
                <w:sz w:val="20"/>
              </w:rPr>
              <w:t>Helpful but misses contemporaneous terms; pair with #2</w:t>
            </w:r>
          </w:p>
        </w:tc>
      </w:tr>
      <w:tr>
        <w:trPr>
          <w:cantSplit w:val="true"/>
        </w:trPr>
        <w:tc>
          <w:tcPr>
            <w:tcW w:type="dxa" w:w="5460"/>
            <w:tcMar>
              <w:top w:w="30" w:type="dxa"/>
              <w:bottom w:w="30" w:type="dxa"/>
              <w:left w:w="80" w:type="dxa"/>
              <w:right w:w="80" w:type="dxa"/>
            </w:tcMar>
            <w:shd w:val="clear" w:color="auto" w:fill="F2F6FB"/>
          </w:tcPr>
          <w:p>
            <w:pPr>
              <w:spacing w:after="0" w:line="240" w:lineRule="auto"/>
            </w:pPr>
            <w:r>
              <w:rPr>
                <w:b w:val="0"/>
                <w:i w:val="0"/>
                <w:sz w:val="20"/>
              </w:rPr>
              <w:t>4. "May not be modified except by a signed writing"</w:t>
            </w:r>
          </w:p>
        </w:tc>
        <w:tc>
          <w:tcPr>
            <w:tcW w:type="dxa" w:w="5052"/>
            <w:tcMar>
              <w:top w:w="30" w:type="dxa"/>
              <w:bottom w:w="30" w:type="dxa"/>
              <w:left w:w="80" w:type="dxa"/>
              <w:right w:w="80" w:type="dxa"/>
            </w:tcMar>
            <w:shd w:val="clear" w:color="auto" w:fill="F2F6FB"/>
          </w:tcPr>
          <w:p>
            <w:pPr>
              <w:spacing w:after="0" w:line="240" w:lineRule="auto"/>
            </w:pPr>
            <w:r>
              <w:rPr>
                <w:b/>
                <w:i w:val="0"/>
                <w:sz w:val="20"/>
              </w:rPr>
              <w:t>NOM clause</w:t>
            </w:r>
            <w:r>
              <w:rPr>
                <w:b w:val="0"/>
                <w:i w:val="0"/>
                <w:sz w:val="20"/>
              </w:rPr>
              <w:t xml:space="preserve"> — about </w:t>
            </w:r>
            <w:r>
              <w:rPr>
                <w:b/>
                <w:i w:val="0"/>
                <w:sz w:val="20"/>
              </w:rPr>
              <w:t>future</w:t>
            </w:r>
            <w:r>
              <w:rPr>
                <w:b w:val="0"/>
                <w:i w:val="0"/>
                <w:sz w:val="20"/>
              </w:rPr>
              <w:t xml:space="preserve"> changes, not a merger clause</w:t>
            </w:r>
          </w:p>
        </w:tc>
      </w:tr>
    </w:tbl>
    <w:p>
      <w:pPr>
        <w:spacing w:after="0" w:line="120" w:lineRule="exact"/>
      </w:pPr>
    </w:p>
    <w:p>
      <w:pPr>
        <w:pStyle w:val="ListBullet"/>
      </w:pPr>
      <w:r>
        <w:rPr>
          <w:b/>
          <w:i w:val="0"/>
        </w:rPr>
        <w:t>Problem 5-12 (fiber supplier; both forms say "complete and exclusive"):</w:t>
      </w:r>
      <w:r>
        <w:rPr>
          <w:b w:val="0"/>
          <w:i w:val="0"/>
        </w:rPr>
        <w:t xml:space="preserve"> (a) </w:t>
      </w:r>
      <w:r>
        <w:rPr>
          <w:b/>
          <w:i w:val="0"/>
        </w:rPr>
        <w:t>usage of trade</w:t>
      </w:r>
      <w:r>
        <w:rPr>
          <w:b w:val="0"/>
          <w:i w:val="0"/>
        </w:rPr>
        <w:t xml:space="preserve"> that a supplier sells for the carpet style's market life → </w:t>
      </w:r>
      <w:r>
        <w:rPr>
          <w:b/>
          <w:i w:val="0"/>
        </w:rPr>
        <w:t>admissible</w:t>
      </w:r>
      <w:r>
        <w:rPr>
          <w:b w:val="0"/>
          <w:i w:val="0"/>
        </w:rPr>
        <w:t xml:space="preserve"> (UoT supplements even complete records unless carefully negated); (b) same term from </w:t>
      </w:r>
      <w:r>
        <w:rPr>
          <w:b/>
          <w:i w:val="0"/>
        </w:rPr>
        <w:t>prior oral discussions</w:t>
      </w:r>
      <w:r>
        <w:rPr>
          <w:b w:val="0"/>
          <w:i w:val="0"/>
        </w:rPr>
        <w:t xml:space="preserve"> → </w:t>
      </w:r>
      <w:r>
        <w:rPr>
          <w:b/>
          <w:i w:val="0"/>
        </w:rPr>
        <w:t>inadmissible</w:t>
      </w:r>
      <w:r>
        <w:rPr>
          <w:b w:val="0"/>
          <w:i w:val="0"/>
        </w:rPr>
        <w:t xml:space="preserve"> (full integration); (c)(1) UoT to </w:t>
      </w:r>
      <w:r>
        <w:rPr>
          <w:b/>
          <w:i w:val="0"/>
        </w:rPr>
        <w:t>explain</w:t>
      </w:r>
      <w:r>
        <w:rPr>
          <w:b w:val="0"/>
          <w:i w:val="0"/>
        </w:rPr>
        <w:t xml:space="preserve"> "support the integration of all materials" → </w:t>
      </w:r>
      <w:r>
        <w:rPr>
          <w:b/>
          <w:i w:val="0"/>
        </w:rPr>
        <w:t>admissible</w:t>
      </w:r>
      <w:r>
        <w:rPr>
          <w:b w:val="0"/>
          <w:i w:val="0"/>
        </w:rPr>
        <w:t xml:space="preserve">; (c)(2) prior talks to explain it → </w:t>
      </w:r>
      <w:r>
        <w:rPr>
          <w:b/>
          <w:i w:val="0"/>
        </w:rPr>
        <w:t>depends</w:t>
      </w:r>
      <w:r>
        <w:rPr>
          <w:b w:val="0"/>
          <w:i w:val="0"/>
        </w:rPr>
        <w:t xml:space="preserve"> (some courts require ambiguity).</w:t>
      </w:r>
    </w:p>
    <w:p>
      <w:pPr>
        <w:pStyle w:val="ListBullet"/>
      </w:pPr>
      <w:r>
        <w:rPr>
          <w:b/>
          <w:i w:val="0"/>
        </w:rPr>
        <w:t>Problem 5-13 (used car: "never been in an accident" + "we'll fix it within 30 days"; signed "AS IS… no warranty, express or implied"):</w:t>
      </w:r>
      <w:r>
        <w:rPr>
          <w:b w:val="0"/>
          <w:i w:val="0"/>
        </w:rPr>
        <w:t xml:space="preserve"> the oral statements are express warranties, and § 2-316(1) would make the disclaimer inoperative — </w:t>
      </w:r>
      <w:r>
        <w:rPr>
          <w:b/>
          <w:i w:val="0"/>
        </w:rPr>
        <w:t>but it's subject to § 2-202</w:t>
      </w:r>
      <w:r>
        <w:rPr>
          <w:b w:val="0"/>
          <w:i w:val="0"/>
        </w:rPr>
        <w:t xml:space="preserve">: if the writing is final on warranties, the </w:t>
      </w:r>
      <w:r>
        <w:rPr>
          <w:b/>
          <w:i w:val="0"/>
        </w:rPr>
        <w:t>prior oral contradictory</w:t>
      </w:r>
      <w:r>
        <w:rPr>
          <w:b w:val="0"/>
          <w:i w:val="0"/>
        </w:rPr>
        <w:t xml:space="preserve"> warranties are </w:t>
      </w:r>
      <w:r>
        <w:rPr>
          <w:b/>
          <w:i w:val="0"/>
        </w:rPr>
        <w:t>excluded</w:t>
      </w:r>
      <w:r>
        <w:rPr>
          <w:b w:val="0"/>
          <w:i w:val="0"/>
        </w:rPr>
        <w:t xml:space="preserve"> → disclaimer stands; "as is" kills the implied warranties. Buyer's best route: </w:t>
      </w:r>
      <w:r>
        <w:rPr>
          <w:b/>
          <w:i w:val="0"/>
        </w:rPr>
        <w:t>fraud</w:t>
      </w:r>
      <w:r>
        <w:rPr>
          <w:b w:val="0"/>
          <w:i w:val="0"/>
        </w:rPr>
        <w:t xml:space="preserve"> (not barred by the PER), or argue the writing wasn't final (consumer form).</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XIII. Assignment &amp; Delegation — § 2-210</w:t>
            </w:r>
            <w:r>
              <w:rPr>
                <w:b/>
                <w:color w:val="C9D9EE"/>
                <w:sz w:val="16"/>
              </w:rPr>
              <w:t xml:space="preserve">    WEEK 8</w:t>
            </w:r>
          </w:p>
        </w:tc>
      </w:tr>
    </w:tbl>
    <w:p>
      <w:pPr>
        <w:keepNext/>
        <w:spacing w:after="0" w:line="80" w:lineRule="exact"/>
      </w:pPr>
    </w:p>
    <w:p>
      <w:pPr>
        <w:pStyle w:val="ListBullet"/>
      </w:pPr>
      <w:r>
        <w:rPr>
          <w:b/>
          <w:i w:val="0"/>
        </w:rPr>
        <w:t>Rights are assigned; duties are delegated.</w:t>
      </w:r>
      <w:r>
        <w:rPr>
          <w:b w:val="0"/>
          <w:i w:val="0"/>
        </w:rPr>
        <w:t xml:space="preserve"> Structure: </w:t>
      </w:r>
      <w:r>
        <w:rPr>
          <w:b/>
          <w:i w:val="0"/>
        </w:rPr>
        <w:t>(1),(6)</w:t>
      </w:r>
      <w:r>
        <w:rPr>
          <w:b w:val="0"/>
          <w:i w:val="0"/>
        </w:rPr>
        <w:t xml:space="preserve"> delegation · </w:t>
      </w:r>
      <w:r>
        <w:rPr>
          <w:b/>
          <w:i w:val="0"/>
        </w:rPr>
        <w:t>(2),(3)</w:t>
      </w:r>
      <w:r>
        <w:rPr>
          <w:b w:val="0"/>
          <w:i w:val="0"/>
        </w:rPr>
        <w:t xml:space="preserve"> assignment · </w:t>
      </w:r>
      <w:r>
        <w:rPr>
          <w:b/>
          <w:i w:val="0"/>
        </w:rPr>
        <w:t>(4)</w:t>
      </w:r>
      <w:r>
        <w:rPr>
          <w:b w:val="0"/>
          <w:i w:val="0"/>
        </w:rPr>
        <w:t xml:space="preserve"> reading prohibition language · </w:t>
      </w:r>
      <w:r>
        <w:rPr>
          <w:b/>
          <w:i w:val="0"/>
        </w:rPr>
        <w:t>(5)</w:t>
      </w:r>
      <w:r>
        <w:rPr>
          <w:b w:val="0"/>
          <w:i w:val="0"/>
        </w:rPr>
        <w:t xml:space="preserve"> what an assignment "of the contract" transfers.</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Delegation (§ 2-210(1)):</w:t>
            </w:r>
            <w:r>
              <w:rPr>
                <w:b w:val="0"/>
                <w:i w:val="0"/>
                <w:sz w:val="21"/>
              </w:rPr>
              <w:t xml:space="preserve"> allowed unless </w:t>
            </w:r>
            <w:r>
              <w:rPr>
                <w:b/>
                <w:i w:val="0"/>
                <w:sz w:val="21"/>
              </w:rPr>
              <w:t>otherwise agreed</w:t>
            </w:r>
            <w:r>
              <w:rPr>
                <w:b w:val="0"/>
                <w:i w:val="0"/>
                <w:sz w:val="21"/>
              </w:rPr>
              <w:t xml:space="preserve"> or the other party has a </w:t>
            </w:r>
            <w:r>
              <w:rPr>
                <w:b/>
                <w:i w:val="0"/>
                <w:sz w:val="21"/>
              </w:rPr>
              <w:t>substantial interest</w:t>
            </w:r>
            <w:r>
              <w:rPr>
                <w:b w:val="0"/>
                <w:i w:val="0"/>
                <w:sz w:val="21"/>
              </w:rPr>
              <w:t xml:space="preserve"> in the original promisor performing. </w:t>
            </w:r>
            <w:r>
              <w:rPr>
                <w:b/>
                <w:i w:val="0"/>
                <w:sz w:val="21"/>
              </w:rPr>
              <w:t>Delegation never relieves the delegator</w:t>
            </w:r>
            <w:r>
              <w:rPr>
                <w:b w:val="0"/>
                <w:i w:val="0"/>
                <w:sz w:val="21"/>
              </w:rPr>
              <w:t xml:space="preserve"> of its duty or liability. The other party may treat a delegating assignment as </w:t>
            </w:r>
            <w:r>
              <w:rPr>
                <w:b/>
                <w:i w:val="0"/>
                <w:sz w:val="21"/>
              </w:rPr>
              <w:t>grounds for insecurity</w:t>
            </w:r>
            <w:r>
              <w:rPr>
                <w:b w:val="0"/>
                <w:i w:val="0"/>
                <w:sz w:val="21"/>
              </w:rPr>
              <w:t xml:space="preserve"> and demand assurances from the assignee (§ 2-210(6)).</w:t>
            </w:r>
          </w:p>
        </w:tc>
      </w:tr>
    </w:tbl>
    <w:p>
      <w:pPr>
        <w:spacing w:after="0" w:line="10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Assignment (§ 2-210(2)):</w:t>
            </w:r>
            <w:r>
              <w:rPr>
                <w:b w:val="0"/>
                <w:i w:val="0"/>
                <w:sz w:val="21"/>
              </w:rPr>
              <w:t xml:space="preserve"> all rights assignable </w:t>
            </w:r>
            <w:r>
              <w:rPr>
                <w:b/>
                <w:i w:val="0"/>
                <w:sz w:val="21"/>
              </w:rPr>
              <w:t>unless</w:t>
            </w:r>
            <w:r>
              <w:rPr>
                <w:b w:val="0"/>
                <w:i w:val="0"/>
                <w:sz w:val="21"/>
              </w:rPr>
              <w:t xml:space="preserve"> it would </w:t>
            </w:r>
            <w:r>
              <w:rPr>
                <w:b/>
                <w:i w:val="0"/>
                <w:sz w:val="21"/>
              </w:rPr>
              <w:t>materially change the other party's duty</w:t>
            </w:r>
            <w:r>
              <w:rPr>
                <w:b w:val="0"/>
                <w:i w:val="0"/>
                <w:sz w:val="21"/>
              </w:rPr>
              <w:t xml:space="preserve">, </w:t>
            </w:r>
            <w:r>
              <w:rPr>
                <w:b/>
                <w:i w:val="0"/>
                <w:sz w:val="21"/>
              </w:rPr>
              <w:t>materially increase its burden or risk</w:t>
            </w:r>
            <w:r>
              <w:rPr>
                <w:b w:val="0"/>
                <w:i w:val="0"/>
                <w:sz w:val="21"/>
              </w:rPr>
              <w:t xml:space="preserve">, or </w:t>
            </w:r>
            <w:r>
              <w:rPr>
                <w:b/>
                <w:i w:val="0"/>
                <w:sz w:val="21"/>
              </w:rPr>
              <w:t>materially impair its chance of return performance</w:t>
            </w:r>
            <w:r>
              <w:rPr>
                <w:b w:val="0"/>
                <w:i w:val="0"/>
                <w:sz w:val="21"/>
              </w:rPr>
              <w:t xml:space="preserve">. A right to damages for breach of the </w:t>
            </w:r>
            <w:r>
              <w:rPr>
                <w:b/>
                <w:i w:val="0"/>
                <w:sz w:val="21"/>
              </w:rPr>
              <w:t>whole</w:t>
            </w:r>
            <w:r>
              <w:rPr>
                <w:b w:val="0"/>
                <w:i w:val="0"/>
                <w:sz w:val="21"/>
              </w:rPr>
              <w:t xml:space="preserve"> contract, or a right from the assignor's </w:t>
            </w:r>
            <w:r>
              <w:rPr>
                <w:b/>
                <w:i w:val="0"/>
                <w:sz w:val="21"/>
              </w:rPr>
              <w:t>full performance</w:t>
            </w:r>
            <w:r>
              <w:rPr>
                <w:b w:val="0"/>
                <w:i w:val="0"/>
                <w:sz w:val="21"/>
              </w:rPr>
              <w:t>, is assignable despite a contrary agreement.</w:t>
            </w:r>
          </w:p>
        </w:tc>
      </w:tr>
    </w:tbl>
    <w:p>
      <w:pPr>
        <w:spacing w:after="0" w:line="100" w:lineRule="exact"/>
      </w:pPr>
    </w:p>
    <w:p>
      <w:pPr>
        <w:pStyle w:val="ListBullet"/>
      </w:pPr>
      <w:r>
        <w:rPr>
          <w:b/>
          <w:i w:val="0"/>
        </w:rPr>
        <w:t>§ 2-210(4):</w:t>
      </w:r>
      <w:r>
        <w:rPr>
          <w:b w:val="0"/>
          <w:i w:val="0"/>
        </w:rPr>
        <w:t xml:space="preserve"> a ban on assigning "</w:t>
      </w:r>
      <w:r>
        <w:rPr>
          <w:b/>
          <w:i w:val="0"/>
        </w:rPr>
        <w:t>the contract</w:t>
      </w:r>
      <w:r>
        <w:rPr>
          <w:b w:val="0"/>
          <w:i w:val="0"/>
        </w:rPr>
        <w:t xml:space="preserve">" bars only </w:t>
      </w:r>
      <w:r>
        <w:rPr>
          <w:b/>
          <w:i w:val="0"/>
        </w:rPr>
        <w:t>delegation</w:t>
      </w:r>
      <w:r>
        <w:rPr>
          <w:b w:val="0"/>
          <w:i w:val="0"/>
        </w:rPr>
        <w:t xml:space="preserve">, not assignment of rights. "May not assign its rights" may only make an assignment a </w:t>
      </w:r>
      <w:r>
        <w:rPr>
          <w:b/>
          <w:i w:val="0"/>
        </w:rPr>
        <w:t>breach</w:t>
      </w:r>
      <w:r>
        <w:rPr>
          <w:b w:val="0"/>
          <w:i w:val="0"/>
        </w:rPr>
        <w:t xml:space="preserve">; to make it </w:t>
      </w:r>
      <w:r>
        <w:rPr>
          <w:b/>
          <w:i w:val="0"/>
        </w:rPr>
        <w:t>ineffective</w:t>
      </w:r>
      <w:r>
        <w:rPr>
          <w:b w:val="0"/>
          <w:i w:val="0"/>
        </w:rPr>
        <w:t>, say "</w:t>
      </w:r>
      <w:r>
        <w:rPr>
          <w:b/>
          <w:i w:val="0"/>
        </w:rPr>
        <w:t>any attempted assignment is void</w:t>
      </w:r>
      <w:r>
        <w:rPr>
          <w:b w:val="0"/>
          <w:i w:val="0"/>
        </w:rPr>
        <w:t xml:space="preserve">." </w:t>
      </w:r>
      <w:r>
        <w:rPr>
          <w:b/>
          <w:i w:val="0"/>
        </w:rPr>
        <w:t>§ 9-406(d):</w:t>
      </w:r>
      <w:r>
        <w:rPr>
          <w:b w:val="0"/>
          <w:i w:val="0"/>
        </w:rPr>
        <w:t xml:space="preserve"> a ban on assigning a </w:t>
      </w:r>
      <w:r>
        <w:rPr>
          <w:b/>
          <w:i w:val="0"/>
        </w:rPr>
        <w:t>right to payment</w:t>
      </w:r>
      <w:r>
        <w:rPr>
          <w:b w:val="0"/>
          <w:i w:val="0"/>
        </w:rPr>
        <w:t xml:space="preserve"> (account) is </w:t>
      </w:r>
      <w:r>
        <w:rPr>
          <w:b/>
          <w:i w:val="0"/>
        </w:rPr>
        <w:t>ineffective</w:t>
      </w:r>
      <w:r>
        <w:rPr>
          <w:b w:val="0"/>
          <w:i w:val="0"/>
        </w:rPr>
        <w:t xml:space="preserve"> — and assigning it is </w:t>
      </w:r>
      <w:r>
        <w:rPr>
          <w:b/>
          <w:i w:val="0"/>
        </w:rPr>
        <w:t>not a breach</w:t>
      </w:r>
      <w:r>
        <w:rPr>
          <w:b w:val="0"/>
          <w:i w:val="0"/>
        </w:rPr>
        <w:t>.</w:t>
      </w:r>
    </w:p>
    <w:p>
      <w:pPr>
        <w:pStyle w:val="ListBullet"/>
      </w:pPr>
      <w:r>
        <w:rPr>
          <w:b/>
          <w:i w:val="0"/>
        </w:rPr>
        <w:t>§ 2-210(5):</w:t>
      </w:r>
      <w:r>
        <w:rPr>
          <w:b w:val="0"/>
          <w:i w:val="0"/>
        </w:rPr>
        <w:t xml:space="preserve"> assigning "</w:t>
      </w:r>
      <w:r>
        <w:rPr>
          <w:b/>
          <w:i w:val="0"/>
        </w:rPr>
        <w:t>the contract</w:t>
      </w:r>
      <w:r>
        <w:rPr>
          <w:b w:val="0"/>
          <w:i w:val="0"/>
        </w:rPr>
        <w:t xml:space="preserve">" (or "all my rights") = assignment of rights </w:t>
      </w:r>
      <w:r>
        <w:rPr>
          <w:b/>
          <w:i w:val="0"/>
        </w:rPr>
        <w:t>plus delegation</w:t>
      </w:r>
      <w:r>
        <w:rPr>
          <w:b w:val="0"/>
          <w:i w:val="0"/>
        </w:rPr>
        <w:t xml:space="preserve">; the assignee's acceptance is a </w:t>
      </w:r>
      <w:r>
        <w:rPr>
          <w:b/>
          <w:i w:val="0"/>
        </w:rPr>
        <w:t>promise to perform</w:t>
      </w:r>
      <w:r>
        <w:rPr>
          <w:b w:val="0"/>
          <w:i w:val="0"/>
        </w:rPr>
        <w:t xml:space="preserve">, enforceable by the assignor </w:t>
      </w:r>
      <w:r>
        <w:rPr>
          <w:b/>
          <w:i w:val="0"/>
        </w:rPr>
        <w:t>or</w:t>
      </w:r>
      <w:r>
        <w:rPr>
          <w:b w:val="0"/>
          <w:i w:val="0"/>
        </w:rPr>
        <w:t xml:space="preserve"> the other party.</w:t>
      </w:r>
    </w:p>
    <w:p>
      <w:pPr>
        <w:pStyle w:val="ListBullet"/>
      </w:pPr>
      <w:r>
        <w:rPr>
          <w:b w:val="0"/>
          <w:i w:val="0"/>
        </w:rPr>
        <w:t xml:space="preserve">The assignee </w:t>
      </w:r>
      <w:r>
        <w:rPr>
          <w:b/>
          <w:i w:val="0"/>
        </w:rPr>
        <w:t>steps into the assignor's shoes</w:t>
      </w:r>
      <w:r>
        <w:rPr>
          <w:b w:val="0"/>
          <w:i w:val="0"/>
        </w:rPr>
        <w:t xml:space="preserve">; once notified, the obligor must pay the assignee but keeps its </w:t>
      </w:r>
      <w:r>
        <w:rPr>
          <w:b/>
          <w:i w:val="0"/>
        </w:rPr>
        <w:t>defenses</w:t>
      </w:r>
      <w:r>
        <w:rPr>
          <w:b w:val="0"/>
          <w:i w:val="0"/>
        </w:rPr>
        <w:t>.</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924"/>
        <w:gridCol w:w="3212"/>
        <w:gridCol w:w="2406"/>
        <w:gridCol w:w="2520"/>
        <w:gridCol w:w="1449"/>
      </w:tblGrid>
      <w:tr>
        <w:trPr>
          <w:tblHeader w:val="true"/>
        </w:trPr>
        <w:tc>
          <w:tcPr>
            <w:tcW w:type="dxa" w:w="924"/>
            <w:shd w:val="clear" w:color="auto" w:fill="1F3A5F"/>
            <w:tcMar>
              <w:top w:w="40" w:type="dxa"/>
              <w:bottom w:w="40" w:type="dxa"/>
              <w:left w:w="80" w:type="dxa"/>
              <w:right w:w="80" w:type="dxa"/>
            </w:tcMar>
          </w:tcPr>
          <w:p>
            <w:pPr>
              <w:spacing w:after="0"/>
            </w:pPr>
            <w:r>
              <w:rPr>
                <w:b/>
                <w:i w:val="0"/>
                <w:color w:val="FFFFFF"/>
                <w:sz w:val="20"/>
              </w:rPr>
              <w:t>Problem 6-1</w:t>
            </w:r>
          </w:p>
        </w:tc>
        <w:tc>
          <w:tcPr>
            <w:tcW w:type="dxa" w:w="3212"/>
            <w:shd w:val="clear" w:color="auto" w:fill="1F3A5F"/>
            <w:tcMar>
              <w:top w:w="40" w:type="dxa"/>
              <w:bottom w:w="40" w:type="dxa"/>
              <w:left w:w="80" w:type="dxa"/>
              <w:right w:w="80" w:type="dxa"/>
            </w:tcMar>
          </w:tcPr>
          <w:p>
            <w:pPr>
              <w:spacing w:after="0"/>
            </w:pPr>
            <w:r>
              <w:rPr>
                <w:b/>
                <w:i w:val="0"/>
                <w:color w:val="FFFFFF"/>
                <w:sz w:val="20"/>
              </w:rPr>
              <w:t>Assignment by buyer</w:t>
            </w:r>
            <w:r>
              <w:rPr>
                <w:b/>
                <w:i w:val="0"/>
                <w:color w:val="FFFFFF"/>
                <w:sz w:val="20"/>
              </w:rPr>
              <w:t xml:space="preserve"> (right to goods)</w:t>
            </w:r>
          </w:p>
        </w:tc>
        <w:tc>
          <w:tcPr>
            <w:tcW w:type="dxa" w:w="2406"/>
            <w:shd w:val="clear" w:color="auto" w:fill="1F3A5F"/>
            <w:tcMar>
              <w:top w:w="40" w:type="dxa"/>
              <w:bottom w:w="40" w:type="dxa"/>
              <w:left w:w="80" w:type="dxa"/>
              <w:right w:w="80" w:type="dxa"/>
            </w:tcMar>
          </w:tcPr>
          <w:p>
            <w:pPr>
              <w:spacing w:after="0"/>
            </w:pPr>
            <w:r>
              <w:rPr>
                <w:b/>
                <w:i w:val="0"/>
                <w:color w:val="FFFFFF"/>
                <w:sz w:val="20"/>
              </w:rPr>
              <w:t>Assignment by seller</w:t>
            </w:r>
            <w:r>
              <w:rPr>
                <w:b/>
                <w:i w:val="0"/>
                <w:color w:val="FFFFFF"/>
                <w:sz w:val="20"/>
              </w:rPr>
              <w:t xml:space="preserve"> (right to payment)</w:t>
            </w:r>
          </w:p>
        </w:tc>
        <w:tc>
          <w:tcPr>
            <w:tcW w:type="dxa" w:w="2520"/>
            <w:shd w:val="clear" w:color="auto" w:fill="1F3A5F"/>
            <w:tcMar>
              <w:top w:w="40" w:type="dxa"/>
              <w:bottom w:w="40" w:type="dxa"/>
              <w:left w:w="80" w:type="dxa"/>
              <w:right w:w="80" w:type="dxa"/>
            </w:tcMar>
          </w:tcPr>
          <w:p>
            <w:pPr>
              <w:spacing w:after="0"/>
            </w:pPr>
            <w:r>
              <w:rPr>
                <w:b/>
                <w:i w:val="0"/>
                <w:color w:val="FFFFFF"/>
                <w:sz w:val="20"/>
              </w:rPr>
              <w:t>Delegation by buyer</w:t>
            </w:r>
            <w:r>
              <w:rPr>
                <w:b/>
                <w:i w:val="0"/>
                <w:color w:val="FFFFFF"/>
                <w:sz w:val="20"/>
              </w:rPr>
              <w:t xml:space="preserve"> (duty to pay)</w:t>
            </w:r>
          </w:p>
        </w:tc>
        <w:tc>
          <w:tcPr>
            <w:tcW w:type="dxa" w:w="1450"/>
            <w:shd w:val="clear" w:color="auto" w:fill="1F3A5F"/>
            <w:tcMar>
              <w:top w:w="40" w:type="dxa"/>
              <w:bottom w:w="40" w:type="dxa"/>
              <w:left w:w="80" w:type="dxa"/>
              <w:right w:w="80" w:type="dxa"/>
            </w:tcMar>
          </w:tcPr>
          <w:p>
            <w:pPr>
              <w:spacing w:after="0"/>
            </w:pPr>
            <w:r>
              <w:rPr>
                <w:b/>
                <w:i w:val="0"/>
                <w:color w:val="FFFFFF"/>
                <w:sz w:val="20"/>
              </w:rPr>
              <w:t>Delegation by seller</w:t>
            </w:r>
            <w:r>
              <w:rPr>
                <w:b/>
                <w:i w:val="0"/>
                <w:color w:val="FFFFFF"/>
                <w:sz w:val="20"/>
              </w:rPr>
              <w:t xml:space="preserve"> (duty to deliver)</w:t>
            </w:r>
          </w:p>
        </w:tc>
      </w:tr>
      <w:tr>
        <w:trPr>
          <w:cantSplit w:val="true"/>
        </w:trPr>
        <w:tc>
          <w:tcPr>
            <w:tcW w:type="dxa" w:w="924"/>
            <w:tcMar>
              <w:top w:w="30" w:type="dxa"/>
              <w:bottom w:w="30" w:type="dxa"/>
              <w:left w:w="80" w:type="dxa"/>
              <w:right w:w="80" w:type="dxa"/>
            </w:tcMar>
          </w:tcPr>
          <w:p>
            <w:pPr>
              <w:spacing w:after="0" w:line="240" w:lineRule="auto"/>
            </w:pPr>
            <w:r>
              <w:rPr>
                <w:b/>
                <w:i w:val="0"/>
                <w:sz w:val="20"/>
              </w:rPr>
              <w:t>No prohibition</w:t>
            </w:r>
          </w:p>
        </w:tc>
        <w:tc>
          <w:tcPr>
            <w:tcW w:type="dxa" w:w="3212"/>
            <w:tcMar>
              <w:top w:w="30" w:type="dxa"/>
              <w:bottom w:w="30" w:type="dxa"/>
              <w:left w:w="80" w:type="dxa"/>
              <w:right w:w="80" w:type="dxa"/>
            </w:tcMar>
          </w:tcPr>
          <w:p>
            <w:pPr>
              <w:spacing w:after="0" w:line="240" w:lineRule="auto"/>
            </w:pPr>
            <w:r>
              <w:rPr>
                <w:b w:val="0"/>
                <w:i w:val="0"/>
                <w:sz w:val="20"/>
              </w:rPr>
              <w:t>OK unless it materially changes the other party's duty, burden, risk, or chance of return performance — § 2-210(2)</w:t>
            </w:r>
          </w:p>
        </w:tc>
        <w:tc>
          <w:tcPr>
            <w:tcW w:type="dxa" w:w="2406"/>
            <w:tcMar>
              <w:top w:w="30" w:type="dxa"/>
              <w:bottom w:w="30" w:type="dxa"/>
              <w:left w:w="80" w:type="dxa"/>
              <w:right w:w="80" w:type="dxa"/>
            </w:tcMar>
          </w:tcPr>
          <w:p>
            <w:pPr>
              <w:spacing w:after="0" w:line="240" w:lineRule="auto"/>
            </w:pPr>
            <w:r>
              <w:rPr>
                <w:b w:val="0"/>
                <w:i w:val="0"/>
                <w:sz w:val="20"/>
              </w:rPr>
              <w:t xml:space="preserve">Same; assigning the </w:t>
            </w:r>
            <w:r>
              <w:rPr>
                <w:b/>
                <w:i w:val="0"/>
                <w:sz w:val="20"/>
              </w:rPr>
              <w:t>right to payment</w:t>
            </w:r>
            <w:r>
              <w:rPr>
                <w:b w:val="0"/>
                <w:i w:val="0"/>
                <w:sz w:val="20"/>
              </w:rPr>
              <w:t xml:space="preserve"> rarely affects buyer — § 2-210(3)</w:t>
            </w:r>
          </w:p>
        </w:tc>
        <w:tc>
          <w:tcPr>
            <w:tcW w:type="dxa" w:w="2520"/>
            <w:tcMar>
              <w:top w:w="30" w:type="dxa"/>
              <w:bottom w:w="30" w:type="dxa"/>
              <w:left w:w="80" w:type="dxa"/>
              <w:right w:w="80" w:type="dxa"/>
            </w:tcMar>
          </w:tcPr>
          <w:p>
            <w:pPr>
              <w:spacing w:after="0" w:line="240" w:lineRule="auto"/>
            </w:pPr>
            <w:r>
              <w:rPr>
                <w:b w:val="0"/>
                <w:i w:val="0"/>
                <w:sz w:val="20"/>
              </w:rPr>
              <w:t xml:space="preserve">OK unless other party has a </w:t>
            </w:r>
            <w:r>
              <w:rPr>
                <w:b/>
                <w:i w:val="0"/>
                <w:sz w:val="20"/>
              </w:rPr>
              <w:t>substantial interest</w:t>
            </w:r>
            <w:r>
              <w:rPr>
                <w:b w:val="0"/>
                <w:i w:val="0"/>
                <w:sz w:val="20"/>
              </w:rPr>
              <w:t xml:space="preserve"> in original performance — § 2-210(1)</w:t>
            </w:r>
          </w:p>
        </w:tc>
        <w:tc>
          <w:tcPr>
            <w:tcW w:type="dxa" w:w="1450"/>
            <w:tcMar>
              <w:top w:w="30" w:type="dxa"/>
              <w:bottom w:w="30" w:type="dxa"/>
              <w:left w:w="80" w:type="dxa"/>
              <w:right w:w="80" w:type="dxa"/>
            </w:tcMar>
          </w:tcPr>
          <w:p>
            <w:pPr>
              <w:spacing w:after="0" w:line="240" w:lineRule="auto"/>
            </w:pPr>
            <w:r>
              <w:rPr>
                <w:b w:val="0"/>
                <w:i w:val="0"/>
                <w:sz w:val="20"/>
              </w:rPr>
              <w:t>Same — § 2-210(1)</w:t>
            </w:r>
          </w:p>
        </w:tc>
      </w:tr>
      <w:tr>
        <w:trPr>
          <w:cantSplit w:val="true"/>
        </w:trPr>
        <w:tc>
          <w:tcPr>
            <w:tcW w:type="dxa" w:w="924"/>
            <w:tcMar>
              <w:top w:w="30" w:type="dxa"/>
              <w:bottom w:w="30" w:type="dxa"/>
              <w:left w:w="80" w:type="dxa"/>
              <w:right w:w="80" w:type="dxa"/>
            </w:tcMar>
            <w:shd w:val="clear" w:color="auto" w:fill="F2F6FB"/>
          </w:tcPr>
          <w:p>
            <w:pPr>
              <w:spacing w:after="0" w:line="240" w:lineRule="auto"/>
            </w:pPr>
            <w:r>
              <w:rPr>
                <w:b/>
                <w:i w:val="0"/>
                <w:sz w:val="20"/>
              </w:rPr>
              <w:t>Contract prohibits</w:t>
            </w:r>
          </w:p>
        </w:tc>
        <w:tc>
          <w:tcPr>
            <w:tcW w:type="dxa" w:w="3212"/>
            <w:tcMar>
              <w:top w:w="30" w:type="dxa"/>
              <w:bottom w:w="30" w:type="dxa"/>
              <w:left w:w="80" w:type="dxa"/>
              <w:right w:w="80" w:type="dxa"/>
            </w:tcMar>
            <w:shd w:val="clear" w:color="auto" w:fill="F2F6FB"/>
          </w:tcPr>
          <w:p>
            <w:pPr>
              <w:spacing w:after="0" w:line="240" w:lineRule="auto"/>
            </w:pPr>
            <w:r>
              <w:rPr>
                <w:b/>
                <w:i w:val="0"/>
                <w:sz w:val="20"/>
              </w:rPr>
              <w:t>Not permitted</w:t>
            </w:r>
            <w:r>
              <w:rPr>
                <w:b w:val="0"/>
                <w:i w:val="0"/>
                <w:sz w:val="20"/>
              </w:rPr>
              <w:t xml:space="preserve"> (except a claim for breach of the whole, or after buyer fully performed)</w:t>
            </w:r>
          </w:p>
        </w:tc>
        <w:tc>
          <w:tcPr>
            <w:tcW w:type="dxa" w:w="2406"/>
            <w:tcMar>
              <w:top w:w="30" w:type="dxa"/>
              <w:bottom w:w="30" w:type="dxa"/>
              <w:left w:w="80" w:type="dxa"/>
              <w:right w:w="80" w:type="dxa"/>
            </w:tcMar>
            <w:shd w:val="clear" w:color="auto" w:fill="F2F6FB"/>
          </w:tcPr>
          <w:p>
            <w:pPr>
              <w:spacing w:after="0" w:line="240" w:lineRule="auto"/>
            </w:pPr>
            <w:r>
              <w:rPr>
                <w:b/>
                <w:i w:val="0"/>
                <w:sz w:val="20"/>
              </w:rPr>
              <w:t>Permitted</w:t>
            </w:r>
            <w:r>
              <w:rPr>
                <w:b w:val="0"/>
                <w:i w:val="0"/>
                <w:sz w:val="20"/>
              </w:rPr>
              <w:t xml:space="preserve"> — §§ 2-210(2)–(3), </w:t>
            </w:r>
            <w:r>
              <w:rPr>
                <w:b/>
                <w:i w:val="0"/>
                <w:sz w:val="20"/>
              </w:rPr>
              <w:t>9-406</w:t>
            </w:r>
          </w:p>
        </w:tc>
        <w:tc>
          <w:tcPr>
            <w:tcW w:type="dxa" w:w="2520"/>
            <w:tcMar>
              <w:top w:w="30" w:type="dxa"/>
              <w:bottom w:w="30" w:type="dxa"/>
              <w:left w:w="80" w:type="dxa"/>
              <w:right w:w="80" w:type="dxa"/>
            </w:tcMar>
            <w:shd w:val="clear" w:color="auto" w:fill="F2F6FB"/>
          </w:tcPr>
          <w:p>
            <w:pPr>
              <w:spacing w:after="0" w:line="240" w:lineRule="auto"/>
            </w:pPr>
            <w:r>
              <w:rPr>
                <w:b/>
                <w:i w:val="0"/>
                <w:sz w:val="20"/>
              </w:rPr>
              <w:t>Not permitted</w:t>
            </w:r>
          </w:p>
        </w:tc>
        <w:tc>
          <w:tcPr>
            <w:tcW w:type="dxa" w:w="1450"/>
            <w:tcMar>
              <w:top w:w="30" w:type="dxa"/>
              <w:bottom w:w="30" w:type="dxa"/>
              <w:left w:w="80" w:type="dxa"/>
              <w:right w:w="80" w:type="dxa"/>
            </w:tcMar>
            <w:shd w:val="clear" w:color="auto" w:fill="F2F6FB"/>
          </w:tcPr>
          <w:p>
            <w:pPr>
              <w:spacing w:after="0" w:line="240" w:lineRule="auto"/>
            </w:pPr>
            <w:r>
              <w:rPr>
                <w:b/>
                <w:i w:val="0"/>
                <w:sz w:val="20"/>
              </w:rPr>
              <w:t>Not permitted</w:t>
            </w:r>
          </w:p>
        </w:tc>
      </w:tr>
    </w:tbl>
    <w:p>
      <w:pPr>
        <w:spacing w:after="0" w:line="120" w:lineRule="exact"/>
      </w:pPr>
    </w:p>
    <w:p>
      <w:pPr>
        <w:pStyle w:val="ListBullet"/>
      </w:pPr>
      <w:r>
        <w:rPr>
          <w:b/>
          <w:i w:val="0"/>
        </w:rPr>
        <w:t>Problem 6-2 (100 steel I-beams, $20,000):</w:t>
      </w:r>
      <w:r>
        <w:rPr>
          <w:b w:val="0"/>
          <w:i w:val="0"/>
        </w:rPr>
        <w:t xml:space="preserve"> </w:t>
      </w:r>
      <w:r>
        <w:rPr>
          <w:b/>
          <w:i w:val="0"/>
        </w:rPr>
        <w:t>(a)</w:t>
      </w:r>
      <w:r>
        <w:rPr>
          <w:b w:val="0"/>
          <w:i w:val="0"/>
        </w:rPr>
        <w:t xml:space="preserve"> seller assigns its </w:t>
      </w:r>
      <w:r>
        <w:rPr>
          <w:b/>
          <w:i w:val="0"/>
        </w:rPr>
        <w:t>rights</w:t>
      </w:r>
      <w:r>
        <w:rPr>
          <w:b w:val="0"/>
          <w:i w:val="0"/>
        </w:rPr>
        <w:t xml:space="preserve"> to Bank → after notice, buyer </w:t>
      </w:r>
      <w:r>
        <w:rPr>
          <w:b/>
          <w:i w:val="0"/>
        </w:rPr>
        <w:t>must pay Bank</w:t>
      </w:r>
      <w:r>
        <w:rPr>
          <w:b w:val="0"/>
          <w:i w:val="0"/>
        </w:rPr>
        <w:t xml:space="preserve"> (keeps defenses). </w:t>
      </w:r>
      <w:r>
        <w:rPr>
          <w:b/>
          <w:i w:val="0"/>
        </w:rPr>
        <w:t>(b)</w:t>
      </w:r>
      <w:r>
        <w:rPr>
          <w:b w:val="0"/>
          <w:i w:val="0"/>
        </w:rPr>
        <w:t xml:space="preserve"> contract says assignment is "prohibited and void" → </w:t>
      </w:r>
      <w:r>
        <w:rPr>
          <w:b/>
          <w:i w:val="0"/>
        </w:rPr>
        <w:t>still effective</w:t>
      </w:r>
      <w:r>
        <w:rPr>
          <w:b w:val="0"/>
          <w:i w:val="0"/>
        </w:rPr>
        <w:t xml:space="preserve"> for the right to payment (§ 9-406(d)). </w:t>
      </w:r>
      <w:r>
        <w:rPr>
          <w:b/>
          <w:i w:val="0"/>
        </w:rPr>
        <w:t>(c)</w:t>
      </w:r>
      <w:r>
        <w:rPr>
          <w:b w:val="0"/>
          <w:i w:val="0"/>
        </w:rPr>
        <w:t xml:space="preserve"> seller assigns "</w:t>
      </w:r>
      <w:r>
        <w:rPr>
          <w:b/>
          <w:i w:val="0"/>
        </w:rPr>
        <w:t>the contract</w:t>
      </w:r>
      <w:r>
        <w:rPr>
          <w:b w:val="0"/>
          <w:i w:val="0"/>
        </w:rPr>
        <w:t xml:space="preserve">" to Manufacturer → assignment + delegation; standard beams → no substantial interest → buyer </w:t>
      </w:r>
      <w:r>
        <w:rPr>
          <w:b/>
          <w:i w:val="0"/>
        </w:rPr>
        <w:t>must accept</w:t>
      </w:r>
      <w:r>
        <w:rPr>
          <w:b w:val="0"/>
          <w:i w:val="0"/>
        </w:rPr>
        <w:t xml:space="preserve"> Manufacturer's conforming goods and </w:t>
      </w:r>
      <w:r>
        <w:rPr>
          <w:b/>
          <w:i w:val="0"/>
        </w:rPr>
        <w:t>pay Manufacturer</w:t>
      </w:r>
      <w:r>
        <w:rPr>
          <w:b w:val="0"/>
          <w:i w:val="0"/>
        </w:rPr>
        <w:t xml:space="preserve">; </w:t>
      </w:r>
      <w:r>
        <w:rPr>
          <w:b/>
          <w:i w:val="0"/>
        </w:rPr>
        <w:t>seller stays liable</w:t>
      </w:r>
      <w:r>
        <w:rPr>
          <w:b w:val="0"/>
          <w:i w:val="0"/>
        </w:rPr>
        <w:t>; buyer may demand assurances.</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XIV. Termination</w:t>
            </w:r>
            <w:r>
              <w:rPr>
                <w:b/>
                <w:color w:val="C9D9EE"/>
                <w:sz w:val="16"/>
              </w:rPr>
              <w:t xml:space="preserve">    WEEK 8</w:t>
            </w:r>
          </w:p>
        </w:tc>
      </w:tr>
    </w:tbl>
    <w:p>
      <w:pPr>
        <w:keepNext/>
        <w:spacing w:after="0" w:line="8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4611"/>
        <w:gridCol w:w="5900"/>
      </w:tblGrid>
      <w:tr>
        <w:trPr>
          <w:tblHeader w:val="true"/>
        </w:trPr>
        <w:tc>
          <w:tcPr>
            <w:tcW w:type="dxa" w:w="4611"/>
            <w:shd w:val="clear" w:color="auto" w:fill="1F3A5F"/>
            <w:tcMar>
              <w:top w:w="40" w:type="dxa"/>
              <w:bottom w:w="40" w:type="dxa"/>
              <w:left w:w="80" w:type="dxa"/>
              <w:right w:w="80" w:type="dxa"/>
            </w:tcMar>
          </w:tcPr>
          <w:p>
            <w:pPr>
              <w:spacing w:after="0"/>
            </w:pPr>
            <w:r>
              <w:rPr>
                <w:b/>
                <w:i w:val="0"/>
                <w:color w:val="FFFFFF"/>
                <w:sz w:val="20"/>
              </w:rPr>
              <w:t>Cancellation</w:t>
            </w:r>
          </w:p>
        </w:tc>
        <w:tc>
          <w:tcPr>
            <w:tcW w:type="dxa" w:w="5901"/>
            <w:shd w:val="clear" w:color="auto" w:fill="1F3A5F"/>
            <w:tcMar>
              <w:top w:w="40" w:type="dxa"/>
              <w:bottom w:w="40" w:type="dxa"/>
              <w:left w:w="80" w:type="dxa"/>
              <w:right w:w="80" w:type="dxa"/>
            </w:tcMar>
          </w:tcPr>
          <w:p>
            <w:pPr>
              <w:spacing w:after="0"/>
            </w:pPr>
            <w:r>
              <w:rPr>
                <w:b/>
                <w:i w:val="0"/>
                <w:color w:val="FFFFFF"/>
                <w:sz w:val="20"/>
              </w:rPr>
              <w:t>Termination</w:t>
            </w:r>
          </w:p>
        </w:tc>
      </w:tr>
      <w:tr>
        <w:trPr>
          <w:cantSplit w:val="true"/>
        </w:trPr>
        <w:tc>
          <w:tcPr>
            <w:tcW w:type="dxa" w:w="4611"/>
            <w:tcMar>
              <w:top w:w="30" w:type="dxa"/>
              <w:bottom w:w="30" w:type="dxa"/>
              <w:left w:w="80" w:type="dxa"/>
              <w:right w:w="80" w:type="dxa"/>
            </w:tcMar>
          </w:tcPr>
          <w:p>
            <w:pPr>
              <w:spacing w:after="0" w:line="240" w:lineRule="auto"/>
            </w:pPr>
            <w:r>
              <w:rPr>
                <w:b w:val="0"/>
                <w:i w:val="0"/>
                <w:sz w:val="20"/>
              </w:rPr>
              <w:t xml:space="preserve">Ending the contract </w:t>
            </w:r>
            <w:r>
              <w:rPr>
                <w:b/>
                <w:i w:val="0"/>
                <w:sz w:val="20"/>
              </w:rPr>
              <w:t>because of the other party's breach</w:t>
            </w:r>
            <w:r>
              <w:rPr>
                <w:b w:val="0"/>
                <w:i w:val="0"/>
                <w:sz w:val="20"/>
              </w:rPr>
              <w:t xml:space="preserve"> (§ 2-106(4))</w:t>
            </w:r>
          </w:p>
        </w:tc>
        <w:tc>
          <w:tcPr>
            <w:tcW w:type="dxa" w:w="5901"/>
            <w:tcMar>
              <w:top w:w="30" w:type="dxa"/>
              <w:bottom w:w="30" w:type="dxa"/>
              <w:left w:w="80" w:type="dxa"/>
              <w:right w:w="80" w:type="dxa"/>
            </w:tcMar>
          </w:tcPr>
          <w:p>
            <w:pPr>
              <w:spacing w:after="0" w:line="240" w:lineRule="auto"/>
            </w:pPr>
            <w:r>
              <w:rPr>
                <w:b w:val="0"/>
                <w:i w:val="0"/>
                <w:sz w:val="20"/>
              </w:rPr>
              <w:t xml:space="preserve">Ending it </w:t>
            </w:r>
            <w:r>
              <w:rPr>
                <w:b/>
                <w:i w:val="0"/>
                <w:sz w:val="20"/>
              </w:rPr>
              <w:t>for a reason other than breach</w:t>
            </w:r>
            <w:r>
              <w:rPr>
                <w:b w:val="0"/>
                <w:i w:val="0"/>
                <w:sz w:val="20"/>
              </w:rPr>
              <w:t>, under a power from agreement or law (§ 2-106(3))</w:t>
            </w:r>
          </w:p>
        </w:tc>
      </w:tr>
      <w:tr>
        <w:trPr>
          <w:cantSplit w:val="true"/>
        </w:trPr>
        <w:tc>
          <w:tcPr>
            <w:tcW w:type="dxa" w:w="4611"/>
            <w:tcMar>
              <w:top w:w="30" w:type="dxa"/>
              <w:bottom w:w="30" w:type="dxa"/>
              <w:left w:w="80" w:type="dxa"/>
              <w:right w:w="80" w:type="dxa"/>
            </w:tcMar>
            <w:shd w:val="clear" w:color="auto" w:fill="F2F6FB"/>
          </w:tcPr>
          <w:p>
            <w:pPr>
              <w:spacing w:after="0" w:line="240" w:lineRule="auto"/>
            </w:pPr>
            <w:r>
              <w:rPr>
                <w:b w:val="0"/>
                <w:i w:val="0"/>
                <w:sz w:val="20"/>
              </w:rPr>
              <w:t xml:space="preserve">Canceling party </w:t>
            </w:r>
            <w:r>
              <w:rPr>
                <w:b/>
                <w:i w:val="0"/>
                <w:sz w:val="20"/>
              </w:rPr>
              <w:t>keeps remedies</w:t>
            </w:r>
            <w:r>
              <w:rPr>
                <w:b w:val="0"/>
                <w:i w:val="0"/>
                <w:sz w:val="20"/>
              </w:rPr>
              <w:t xml:space="preserve"> for breach</w:t>
            </w:r>
          </w:p>
        </w:tc>
        <w:tc>
          <w:tcPr>
            <w:tcW w:type="dxa" w:w="5901"/>
            <w:tcMar>
              <w:top w:w="30" w:type="dxa"/>
              <w:bottom w:w="30" w:type="dxa"/>
              <w:left w:w="80" w:type="dxa"/>
              <w:right w:w="80" w:type="dxa"/>
            </w:tcMar>
            <w:shd w:val="clear" w:color="auto" w:fill="F2F6FB"/>
          </w:tcPr>
          <w:p>
            <w:pPr>
              <w:spacing w:after="0" w:line="240" w:lineRule="auto"/>
            </w:pPr>
            <w:r>
              <w:rPr>
                <w:b/>
                <w:i w:val="0"/>
                <w:sz w:val="20"/>
              </w:rPr>
              <w:t>Executory</w:t>
            </w:r>
            <w:r>
              <w:rPr>
                <w:b w:val="0"/>
                <w:i w:val="0"/>
                <w:sz w:val="20"/>
              </w:rPr>
              <w:t xml:space="preserve"> duties discharged; rights from </w:t>
            </w:r>
            <w:r>
              <w:rPr>
                <w:b/>
                <w:i w:val="0"/>
                <w:sz w:val="20"/>
              </w:rPr>
              <w:t>prior</w:t>
            </w:r>
            <w:r>
              <w:rPr>
                <w:b w:val="0"/>
                <w:i w:val="0"/>
                <w:sz w:val="20"/>
              </w:rPr>
              <w:t xml:space="preserve"> breach or performance survive</w:t>
            </w:r>
          </w:p>
        </w:tc>
      </w:tr>
    </w:tbl>
    <w:p>
      <w:pPr>
        <w:spacing w:after="0" w:line="120" w:lineRule="exact"/>
      </w:pPr>
    </w:p>
    <w:p>
      <w:pPr>
        <w:pStyle w:val="ListBullet"/>
      </w:pPr>
      <w:r>
        <w:rPr>
          <w:b w:val="0"/>
          <w:i w:val="0"/>
        </w:rPr>
        <w:t xml:space="preserve">Typical with a long gap before performance or </w:t>
      </w:r>
      <w:r>
        <w:rPr>
          <w:b/>
          <w:i w:val="0"/>
        </w:rPr>
        <w:t>indefinite-duration</w:t>
      </w:r>
      <w:r>
        <w:rPr>
          <w:b w:val="0"/>
          <w:i w:val="0"/>
        </w:rPr>
        <w:t xml:space="preserve"> supply deals; may occur at an agreed time/event.</w:t>
      </w:r>
    </w:p>
    <w:p>
      <w:pPr>
        <w:pStyle w:val="ListBullet"/>
      </w:pPr>
      <w:r>
        <w:rPr>
          <w:b/>
          <w:i w:val="0"/>
        </w:rPr>
        <w:t>§ 2-309(2)–(3):</w:t>
      </w:r>
      <w:r>
        <w:rPr>
          <w:b w:val="0"/>
          <w:i w:val="0"/>
        </w:rPr>
        <w:t xml:space="preserve"> an indefinite contract for successive performances lasts a </w:t>
      </w:r>
      <w:r>
        <w:rPr>
          <w:b/>
          <w:i w:val="0"/>
        </w:rPr>
        <w:t>reasonable time</w:t>
      </w:r>
      <w:r>
        <w:rPr>
          <w:b w:val="0"/>
          <w:i w:val="0"/>
        </w:rPr>
        <w:t xml:space="preserve"> but </w:t>
      </w:r>
      <w:r>
        <w:rPr>
          <w:b/>
          <w:i w:val="0"/>
        </w:rPr>
        <w:t>either party may terminate at any time</w:t>
      </w:r>
      <w:r>
        <w:rPr>
          <w:b w:val="0"/>
          <w:i w:val="0"/>
        </w:rPr>
        <w:t xml:space="preserve"> — with </w:t>
      </w:r>
      <w:r>
        <w:rPr>
          <w:b/>
          <w:i w:val="0"/>
        </w:rPr>
        <w:t>reasonable notification</w:t>
      </w:r>
      <w:r>
        <w:rPr>
          <w:b w:val="0"/>
          <w:i w:val="0"/>
        </w:rPr>
        <w:t xml:space="preserve"> (enough time to find substitutes), unless on an agreed event; waiving notice is </w:t>
      </w:r>
      <w:r>
        <w:rPr>
          <w:b/>
          <w:i w:val="0"/>
        </w:rPr>
        <w:t>invalid if unconscionable</w:t>
      </w:r>
      <w:r>
        <w:rPr>
          <w:b w:val="0"/>
          <w:i w:val="0"/>
        </w:rPr>
        <w:t xml:space="preserve">. </w:t>
      </w:r>
      <w:r>
        <w:rPr>
          <w:b/>
          <w:i w:val="0"/>
        </w:rPr>
        <w:t>Good faith</w:t>
      </w:r>
      <w:r>
        <w:rPr>
          <w:b w:val="0"/>
          <w:i w:val="0"/>
        </w:rPr>
        <w:t xml:space="preserve"> applies, but no reason is needed (Santa Fe Custom Shutters v. Home Depot).</w:t>
      </w:r>
    </w:p>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6F4F7"/>
            <w:tcMar>
              <w:top w:w="70" w:type="dxa"/>
              <w:bottom w:w="70" w:type="dxa"/>
              <w:left w:w="140" w:type="dxa"/>
              <w:right w:w="120" w:type="dxa"/>
            </w:tcMar>
            <w:tcBorders>
              <w:left w:val="single" w:sz="30" w:space="0" w:color="0E7490"/>
            </w:tcBorders>
          </w:tcPr>
          <w:p>
            <w:pPr>
              <w:spacing w:after="30" w:line="240" w:lineRule="auto"/>
            </w:pPr>
            <w:r>
              <w:rPr>
                <w:b/>
                <w:color w:val="0E7490"/>
                <w:sz w:val="15"/>
              </w:rPr>
              <w:t xml:space="preserve">NOTE CASE   </w:t>
            </w:r>
            <w:r>
              <w:rPr>
                <w:b/>
                <w:i w:val="0"/>
                <w:sz w:val="21"/>
              </w:rPr>
              <w:t xml:space="preserve">Santa Fe Custom Shutters &amp; Doors v. Home Depot (N.M. App. 2005) — terminating an at-will supply deal</w:t>
            </w:r>
          </w:p>
          <w:p>
            <w:pPr>
              <w:spacing w:after="30" w:line="240" w:lineRule="auto"/>
            </w:pPr>
            <w:r>
              <w:rPr>
                <w:b/>
                <w:i w:val="0"/>
                <w:color w:val="595959"/>
                <w:sz w:val="18"/>
              </w:rPr>
              <w:t xml:space="preserve">Source:</w:t>
            </w:r>
            <w:r>
              <w:rPr>
                <w:b w:val="0"/>
                <w:i w:val="0"/>
                <w:color w:val="595959"/>
                <w:sz w:val="18"/>
              </w:rPr>
              <w:t xml:space="preserve"> note case — the casebook quotes the opinion, pp. 230–232. Not named on the slides; termination is covered at W8-S22.</w:t>
            </w:r>
          </w:p>
          <w:p>
            <w:pPr>
              <w:spacing w:after="30" w:line="240" w:lineRule="auto"/>
            </w:pPr>
            <w:r>
              <w:rPr>
                <w:b/>
                <w:i w:val="0"/>
                <w:sz w:val="21"/>
              </w:rPr>
              <w:t xml:space="preserve">Facts:</w:t>
            </w:r>
            <w:r>
              <w:rPr>
                <w:b w:val="0"/>
                <w:i w:val="0"/>
                <w:sz w:val="21"/>
              </w:rPr>
              <w:t xml:space="preserve"> A shutter manufacturer supplied Home Depot under an </w:t>
            </w:r>
            <w:r>
              <w:rPr>
                <w:b/>
                <w:i w:val="0"/>
                <w:sz w:val="21"/>
              </w:rPr>
              <w:t xml:space="preserve">indefinite, at-will arrangement</w:t>
            </w:r>
            <w:r>
              <w:rPr>
                <w:b w:val="0"/>
                <w:i w:val="0"/>
                <w:sz w:val="21"/>
              </w:rPr>
              <w:t xml:space="preserve">. Relying on it (and on Home Depot's alleged promises of a profitable partnership and professional marketing), the manufacturer </w:t>
            </w:r>
            <w:r>
              <w:rPr>
                <w:b/>
                <w:i w:val="0"/>
                <w:sz w:val="21"/>
              </w:rPr>
              <w:t xml:space="preserve">made enormous up-front investments and took on debt to expand production</w:t>
            </w:r>
            <w:r>
              <w:rPr>
                <w:b w:val="0"/>
                <w:i w:val="0"/>
                <w:sz w:val="21"/>
              </w:rPr>
              <w:t xml:space="preserve">. Home Depot </w:t>
            </w:r>
            <w:r>
              <w:rPr>
                <w:b/>
                <w:i w:val="0"/>
                <w:sz w:val="21"/>
              </w:rPr>
              <w:t xml:space="preserve">terminated before the investment paid off</w:t>
            </w:r>
            <w:r>
              <w:rPr>
                <w:b w:val="0"/>
                <w:i w:val="0"/>
                <w:sz w:val="21"/>
              </w:rPr>
              <w:t xml:space="preserve">, and the trial court awarded five years of lost profits. The manufacturer argued good faith barred the termination.</w:t>
            </w:r>
          </w:p>
          <w:p>
            <w:pPr>
              <w:spacing w:after="30" w:line="240" w:lineRule="auto"/>
            </w:pPr>
            <w:r>
              <w:rPr>
                <w:b/>
                <w:i w:val="0"/>
                <w:sz w:val="21"/>
              </w:rPr>
              <w:t xml:space="preserve">Held:</w:t>
            </w:r>
            <w:r>
              <w:rPr>
                <w:b w:val="0"/>
                <w:i w:val="0"/>
                <w:sz w:val="21"/>
              </w:rPr>
              <w:t xml:space="preserve"> Good faith </w:t>
            </w:r>
            <w:r>
              <w:rPr>
                <w:b/>
                <w:i w:val="0"/>
                <w:sz w:val="21"/>
              </w:rPr>
              <w:t xml:space="preserve">applies</w:t>
            </w:r>
            <w:r>
              <w:rPr>
                <w:b w:val="0"/>
                <w:i w:val="0"/>
                <w:sz w:val="21"/>
              </w:rPr>
              <w:t xml:space="preserve"> to termination but </w:t>
            </w:r>
            <w:r>
              <w:rPr>
                <w:b/>
                <w:i w:val="0"/>
                <w:sz w:val="21"/>
              </w:rPr>
              <w:t xml:space="preserve">doesn't override</w:t>
            </w:r>
            <w:r>
              <w:rPr>
                <w:b w:val="0"/>
                <w:i w:val="0"/>
                <w:sz w:val="21"/>
              </w:rPr>
              <w:t xml:space="preserve"> § 2-309(2)'s right to end an indefinite contract "at any time," so the five-year lost-profits award was error. </w:t>
            </w:r>
            <w:r>
              <w:rPr>
                <w:b/>
                <w:i w:val="0"/>
                <w:sz w:val="21"/>
              </w:rPr>
              <w:t xml:space="preserve">No good reason is required</w:t>
            </w:r>
            <w:r>
              <w:rPr>
                <w:b w:val="0"/>
                <w:i w:val="0"/>
                <w:sz w:val="21"/>
              </w:rPr>
              <w:t xml:space="preserve">, and the contract needn't have run a reasonable time. "The essence of the at-will doctrine is the right … to cease doing business without liability for future profits." Remaining claims: fraud in the inducement, breaches before termination, and </w:t>
            </w:r>
            <w:r>
              <w:rPr>
                <w:b/>
                <w:i w:val="0"/>
                <w:sz w:val="21"/>
              </w:rPr>
              <w:t xml:space="preserve">unreasonable notice</w:t>
            </w:r>
            <w:r>
              <w:rPr>
                <w:b w:val="0"/>
                <w:i w:val="0"/>
                <w:sz w:val="21"/>
              </w:rPr>
              <w:t xml:space="preserve">.</w:t>
            </w:r>
          </w:p>
          <w:p>
            <w:pPr>
              <w:spacing w:after="0" w:line="240" w:lineRule="auto"/>
            </w:pPr>
            <w:r>
              <w:rPr>
                <w:b/>
                <w:i w:val="0"/>
                <w:sz w:val="21"/>
              </w:rPr>
              <w:t xml:space="preserve">Why it matters:</w:t>
            </w:r>
            <w:r>
              <w:rPr>
                <w:b w:val="0"/>
                <w:i w:val="0"/>
                <w:sz w:val="21"/>
              </w:rPr>
              <w:t xml:space="preserve"> good faith can't contradict an express or statutory right. Termination (§ 2-106(3)) isn't breach — the duty is </w:t>
            </w:r>
            <w:r>
              <w:rPr>
                <w:b/>
                <w:i w:val="0"/>
                <w:sz w:val="21"/>
              </w:rPr>
              <w:t xml:space="preserve">reasonable notice</w:t>
            </w:r>
            <w:r>
              <w:rPr>
                <w:b w:val="0"/>
                <w:i w:val="0"/>
                <w:sz w:val="21"/>
              </w:rPr>
              <w:t xml:space="preserve"> (enough time to find substitutes).</w:t>
            </w:r>
          </w:p>
        </w:tc>
      </w:tr>
    </w:tbl>
    <w:p>
      <w:pPr>
        <w:spacing w:after="0" w:line="120" w:lineRule="exact"/>
      </w:pPr>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XV. Insecurity &amp; Repudiation — §§ 2-609 to 2-611</w:t>
            </w:r>
            <w:r>
              <w:rPr>
                <w:b/>
                <w:color w:val="C9D9EE"/>
                <w:sz w:val="16"/>
              </w:rPr>
              <w:t xml:space="preserve">    WEEK 8</w:t>
            </w:r>
          </w:p>
        </w:tc>
      </w:tr>
    </w:tbl>
    <w:p>
      <w:pPr>
        <w:keepNext/>
        <w:spacing w:after="0" w:line="8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 2-609:</w:t>
            </w:r>
            <w:r>
              <w:rPr>
                <w:b w:val="0"/>
                <w:i w:val="0"/>
                <w:sz w:val="21"/>
              </w:rPr>
              <w:t xml:space="preserve"> If </w:t>
            </w:r>
            <w:r>
              <w:rPr>
                <w:b/>
                <w:i w:val="0"/>
                <w:sz w:val="21"/>
              </w:rPr>
              <w:t>reasonable grounds for insecurity</w:t>
            </w:r>
            <w:r>
              <w:rPr>
                <w:b w:val="0"/>
                <w:i w:val="0"/>
                <w:sz w:val="21"/>
              </w:rPr>
              <w:t xml:space="preserve"> arise, a party </w:t>
            </w:r>
            <w:r>
              <w:rPr>
                <w:b/>
                <w:i w:val="0"/>
                <w:sz w:val="21"/>
              </w:rPr>
              <w:t>may demand in writing</w:t>
            </w:r>
            <w:r>
              <w:rPr>
                <w:b w:val="0"/>
                <w:i w:val="0"/>
                <w:sz w:val="21"/>
              </w:rPr>
              <w:t xml:space="preserve"> adequate assurance and, </w:t>
            </w:r>
            <w:r>
              <w:rPr>
                <w:b/>
                <w:i w:val="0"/>
                <w:sz w:val="21"/>
              </w:rPr>
              <w:t>if commercially reasonable, suspend</w:t>
            </w:r>
            <w:r>
              <w:rPr>
                <w:b w:val="0"/>
                <w:i w:val="0"/>
                <w:sz w:val="21"/>
              </w:rPr>
              <w:t xml:space="preserve"> its own performance until it gets it. </w:t>
            </w:r>
            <w:r>
              <w:rPr>
                <w:b/>
                <w:i w:val="0"/>
                <w:sz w:val="21"/>
              </w:rPr>
              <w:t>Between merchants</w:t>
            </w:r>
            <w:r>
              <w:rPr>
                <w:b w:val="0"/>
                <w:i w:val="0"/>
                <w:sz w:val="21"/>
              </w:rPr>
              <w:t xml:space="preserve">, grounds and adequacy are judged by </w:t>
            </w:r>
            <w:r>
              <w:rPr>
                <w:b/>
                <w:i w:val="0"/>
                <w:sz w:val="21"/>
              </w:rPr>
              <w:t>commercial standards</w:t>
            </w:r>
            <w:r>
              <w:rPr>
                <w:b w:val="0"/>
                <w:i w:val="0"/>
                <w:sz w:val="21"/>
              </w:rPr>
              <w:t xml:space="preserve">. Failure to give adequate assurance </w:t>
            </w:r>
            <w:r>
              <w:rPr>
                <w:b/>
                <w:i w:val="0"/>
                <w:sz w:val="21"/>
              </w:rPr>
              <w:t>within a reasonable time, not over 30 days</w:t>
            </w:r>
            <w:r>
              <w:rPr>
                <w:b w:val="0"/>
                <w:i w:val="0"/>
                <w:sz w:val="21"/>
              </w:rPr>
              <w:t xml:space="preserve">, after a </w:t>
            </w:r>
            <w:r>
              <w:rPr>
                <w:b/>
                <w:i w:val="0"/>
                <w:sz w:val="21"/>
              </w:rPr>
              <w:t>justified demand</w:t>
            </w:r>
            <w:r>
              <w:rPr>
                <w:b w:val="0"/>
                <w:i w:val="0"/>
                <w:sz w:val="21"/>
              </w:rPr>
              <w:t xml:space="preserve"> = </w:t>
            </w:r>
            <w:r>
              <w:rPr>
                <w:b/>
                <w:i w:val="0"/>
                <w:sz w:val="21"/>
              </w:rPr>
              <w:t>repudiation</w:t>
            </w:r>
            <w:r>
              <w:rPr>
                <w:b w:val="0"/>
                <w:i w:val="0"/>
                <w:sz w:val="21"/>
              </w:rPr>
              <w:t xml:space="preserve"> → aggrieved party may cancel and pursue remedies (§§ 2-610, 2-703(f), 2-711(1)).</w:t>
            </w:r>
          </w:p>
        </w:tc>
      </w:tr>
    </w:tbl>
    <w:p>
      <w:pPr>
        <w:spacing w:after="0" w:line="100" w:lineRule="exact"/>
      </w:pPr>
    </w:p>
    <w:p>
      <w:pPr>
        <w:pStyle w:val="ListBullet"/>
      </w:pPr>
      <w:r>
        <w:rPr>
          <w:b/>
          <w:i w:val="0"/>
        </w:rPr>
        <w:t>Three questions:</w:t>
      </w:r>
      <w:r>
        <w:rPr>
          <w:b w:val="0"/>
          <w:i w:val="0"/>
        </w:rPr>
        <w:t xml:space="preserve"> (1) </w:t>
      </w:r>
      <w:r>
        <w:rPr>
          <w:b/>
          <w:i w:val="0"/>
        </w:rPr>
        <w:t>reasonable grounds</w:t>
      </w:r>
      <w:r>
        <w:rPr>
          <w:b w:val="0"/>
          <w:i w:val="0"/>
        </w:rPr>
        <w:t xml:space="preserve"> for insecurity? (2) assurances </w:t>
      </w:r>
      <w:r>
        <w:rPr>
          <w:b/>
          <w:i w:val="0"/>
        </w:rPr>
        <w:t>requested reasonable</w:t>
      </w:r>
      <w:r>
        <w:rPr>
          <w:b w:val="0"/>
          <w:i w:val="0"/>
        </w:rPr>
        <w:t xml:space="preserve">? (3) </w:t>
      </w:r>
      <w:r>
        <w:rPr>
          <w:b/>
          <w:i w:val="0"/>
        </w:rPr>
        <w:t>response adequate</w:t>
      </w:r>
      <w:r>
        <w:rPr>
          <w:b w:val="0"/>
          <w:i w:val="0"/>
        </w:rPr>
        <w:t>?</w:t>
      </w:r>
    </w:p>
    <w:p>
      <w:pPr>
        <w:pStyle w:val="ListBullet"/>
      </w:pPr>
      <w:r>
        <w:rPr>
          <w:b w:val="0"/>
          <w:i w:val="0"/>
        </w:rPr>
        <w:t xml:space="preserve">Grounds are </w:t>
      </w:r>
      <w:r>
        <w:rPr>
          <w:b/>
          <w:i w:val="0"/>
        </w:rPr>
        <w:t>objective</w:t>
      </w:r>
      <w:r>
        <w:rPr>
          <w:b w:val="0"/>
          <w:i w:val="0"/>
        </w:rPr>
        <w:t xml:space="preserve"> and </w:t>
      </w:r>
      <w:r>
        <w:rPr>
          <w:b/>
          <w:i w:val="0"/>
        </w:rPr>
        <w:t>need not relate to this contract</w:t>
      </w:r>
      <w:r>
        <w:rPr>
          <w:b w:val="0"/>
          <w:i w:val="0"/>
        </w:rPr>
        <w:t xml:space="preserve"> (e.g., late on other accounts; market conditions). </w:t>
      </w:r>
      <w:r>
        <w:rPr>
          <w:b/>
          <w:i w:val="0"/>
        </w:rPr>
        <w:t>Delegation</w:t>
      </w:r>
      <w:r>
        <w:rPr>
          <w:b w:val="0"/>
          <w:i w:val="0"/>
        </w:rPr>
        <w:t xml:space="preserve"> is a statutory ground (§ 2-210(6)). Adequacy depends on the party's </w:t>
      </w:r>
      <w:r>
        <w:rPr>
          <w:b/>
          <w:i w:val="0"/>
        </w:rPr>
        <w:t>reputation</w:t>
      </w:r>
      <w:r>
        <w:rPr>
          <w:b w:val="0"/>
          <w:i w:val="0"/>
        </w:rPr>
        <w:t xml:space="preserve"> and facts (cmt. 4). Contract clauses can define adequacy reasonably, but </w:t>
      </w:r>
      <w:r>
        <w:rPr>
          <w:b/>
          <w:i w:val="0"/>
        </w:rPr>
        <w:t>arbitrary standards are ineffective</w:t>
      </w:r>
      <w:r>
        <w:rPr>
          <w:b w:val="0"/>
          <w:i w:val="0"/>
        </w:rPr>
        <w:t xml:space="preserve"> (cmt. 6). § 2-609 is </w:t>
      </w:r>
      <w:r>
        <w:rPr>
          <w:b/>
          <w:i w:val="0"/>
        </w:rPr>
        <w:t>optional</w:t>
      </w:r>
      <w:r>
        <w:rPr>
          <w:b w:val="0"/>
          <w:i w:val="0"/>
        </w:rPr>
        <w:t xml:space="preserve"> — not a precondition to suing.</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F3F3F3"/>
            <w:tcMar>
              <w:top w:w="70" w:type="dxa"/>
              <w:bottom w:w="70" w:type="dxa"/>
              <w:left w:w="140" w:type="dxa"/>
              <w:right w:w="120" w:type="dxa"/>
            </w:tcMar>
            <w:tcBorders>
              <w:left w:val="single" w:sz="30" w:space="0" w:color="595959"/>
            </w:tcBorders>
          </w:tcPr>
          <w:p>
            <w:pPr>
              <w:spacing w:after="30" w:line="240" w:lineRule="auto"/>
            </w:pPr>
            <w:r>
              <w:rPr>
                <w:b/>
                <w:color w:val="595959"/>
                <w:sz w:val="15"/>
              </w:rPr>
              <w:t xml:space="preserve">ROADMAP   </w:t>
            </w:r>
            <w:r>
              <w:rPr>
                <w:b/>
                <w:i w:val="0"/>
                <w:sz w:val="21"/>
              </w:rPr>
              <w:t>§ 2-609 / § 2-610 flowchart</w:t>
            </w:r>
          </w:p>
          <w:p>
            <w:pPr>
              <w:spacing w:after="30" w:line="240" w:lineRule="auto"/>
              <w:ind w:left="317" w:hanging="259"/>
            </w:pPr>
            <w:r>
              <w:rPr>
                <w:b/>
                <w:color w:val="595959"/>
                <w:sz w:val="21"/>
              </w:rPr>
              <w:t xml:space="preserve">1.  </w:t>
            </w:r>
            <w:r>
              <w:rPr>
                <w:b/>
                <w:i w:val="0"/>
                <w:sz w:val="21"/>
              </w:rPr>
              <w:t>Reasonable grounds for insecurity?</w:t>
            </w:r>
            <w:r>
              <w:rPr>
                <w:b w:val="0"/>
                <w:i w:val="0"/>
                <w:sz w:val="21"/>
              </w:rPr>
              <w:t xml:space="preserve"> No → the request itself </w:t>
            </w:r>
            <w:r>
              <w:rPr>
                <w:b/>
                <w:i w:val="0"/>
                <w:sz w:val="21"/>
              </w:rPr>
              <w:t>could be a repudiation</w:t>
            </w:r>
            <w:r>
              <w:rPr>
                <w:b w:val="0"/>
                <w:i w:val="0"/>
                <w:sz w:val="21"/>
              </w:rPr>
              <w:t>.</w:t>
            </w:r>
          </w:p>
          <w:p>
            <w:pPr>
              <w:spacing w:after="30" w:line="240" w:lineRule="auto"/>
              <w:ind w:left="317" w:hanging="259"/>
            </w:pPr>
            <w:r>
              <w:rPr>
                <w:b/>
                <w:color w:val="595959"/>
                <w:sz w:val="21"/>
              </w:rPr>
              <w:t xml:space="preserve">2.  </w:t>
            </w:r>
            <w:r>
              <w:rPr>
                <w:b w:val="0"/>
                <w:i w:val="0"/>
                <w:sz w:val="21"/>
              </w:rPr>
              <w:t xml:space="preserve">Yes → </w:t>
            </w:r>
            <w:r>
              <w:rPr>
                <w:b/>
                <w:i w:val="0"/>
                <w:sz w:val="21"/>
              </w:rPr>
              <w:t>demand in writing</w:t>
            </w:r>
            <w:r>
              <w:rPr>
                <w:b w:val="0"/>
                <w:i w:val="0"/>
                <w:sz w:val="21"/>
              </w:rPr>
              <w:t xml:space="preserve"> (or electronic record)? No → </w:t>
            </w:r>
            <w:r>
              <w:rPr>
                <w:b/>
                <w:i w:val="0"/>
                <w:sz w:val="21"/>
              </w:rPr>
              <w:t>no right to suspend</w:t>
            </w:r>
            <w:r>
              <w:rPr>
                <w:b w:val="0"/>
                <w:i w:val="0"/>
                <w:sz w:val="21"/>
              </w:rPr>
              <w:t xml:space="preserve"> performance.</w:t>
            </w:r>
          </w:p>
          <w:p>
            <w:pPr>
              <w:spacing w:after="30" w:line="240" w:lineRule="auto"/>
              <w:ind w:left="317" w:hanging="259"/>
            </w:pPr>
            <w:r>
              <w:rPr>
                <w:b/>
                <w:color w:val="595959"/>
                <w:sz w:val="21"/>
              </w:rPr>
              <w:t xml:space="preserve">3.  </w:t>
            </w:r>
            <w:r>
              <w:rPr>
                <w:b w:val="0"/>
                <w:i w:val="0"/>
                <w:sz w:val="21"/>
              </w:rPr>
              <w:t xml:space="preserve">Yes → demand seeks only </w:t>
            </w:r>
            <w:r>
              <w:rPr>
                <w:b/>
                <w:i w:val="0"/>
                <w:sz w:val="21"/>
              </w:rPr>
              <w:t>adequate</w:t>
            </w:r>
            <w:r>
              <w:rPr>
                <w:b w:val="0"/>
                <w:i w:val="0"/>
                <w:sz w:val="21"/>
              </w:rPr>
              <w:t xml:space="preserve"> assurance? No → demanding </w:t>
            </w:r>
            <w:r>
              <w:rPr>
                <w:b/>
                <w:i w:val="0"/>
                <w:sz w:val="21"/>
              </w:rPr>
              <w:t>more than adequate</w:t>
            </w:r>
            <w:r>
              <w:rPr>
                <w:b w:val="0"/>
                <w:i w:val="0"/>
                <w:sz w:val="21"/>
              </w:rPr>
              <w:t xml:space="preserve"> can be a </w:t>
            </w:r>
            <w:r>
              <w:rPr>
                <w:b/>
                <w:i w:val="0"/>
                <w:sz w:val="21"/>
              </w:rPr>
              <w:t>repudiation</w:t>
            </w:r>
            <w:r>
              <w:rPr>
                <w:b w:val="0"/>
                <w:i w:val="0"/>
                <w:sz w:val="21"/>
              </w:rPr>
              <w:t>, and no right to suspend.</w:t>
            </w:r>
          </w:p>
          <w:p>
            <w:pPr>
              <w:spacing w:after="30" w:line="240" w:lineRule="auto"/>
              <w:ind w:left="317" w:hanging="259"/>
            </w:pPr>
            <w:r>
              <w:rPr>
                <w:b/>
                <w:color w:val="595959"/>
                <w:sz w:val="21"/>
              </w:rPr>
              <w:t xml:space="preserve">4.  </w:t>
            </w:r>
            <w:r>
              <w:rPr>
                <w:b w:val="0"/>
                <w:i w:val="0"/>
                <w:sz w:val="21"/>
              </w:rPr>
              <w:t xml:space="preserve">Yes → may </w:t>
            </w:r>
            <w:r>
              <w:rPr>
                <w:b/>
                <w:i w:val="0"/>
                <w:sz w:val="21"/>
              </w:rPr>
              <w:t>suspend</w:t>
            </w:r>
            <w:r>
              <w:rPr>
                <w:b w:val="0"/>
                <w:i w:val="0"/>
                <w:sz w:val="21"/>
              </w:rPr>
              <w:t xml:space="preserve"> performance </w:t>
            </w:r>
            <w:r>
              <w:rPr>
                <w:b/>
                <w:i w:val="0"/>
                <w:sz w:val="21"/>
              </w:rPr>
              <w:t>without breaching</w:t>
            </w:r>
            <w:r>
              <w:rPr>
                <w:b w:val="0"/>
                <w:i w:val="0"/>
                <w:sz w:val="21"/>
              </w:rPr>
              <w:t xml:space="preserve"> until adequate assurance arrives.</w:t>
            </w:r>
          </w:p>
        </w:tc>
      </w:tr>
    </w:tbl>
    <w:p>
      <w:pPr>
        <w:spacing w:after="0" w:line="10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tc>
          <w:tcPr>
            <w:tcW w:type="dxa" w:w="10512"/>
            <w:shd w:val="clear" w:color="auto" w:fill="ECF6EE"/>
            <w:tcMar>
              <w:top w:w="70" w:type="dxa"/>
              <w:bottom w:w="70" w:type="dxa"/>
              <w:left w:w="140" w:type="dxa"/>
              <w:right w:w="120" w:type="dxa"/>
            </w:tcMar>
            <w:tcBorders>
              <w:left w:val="single" w:sz="30" w:space="0" w:color="2E7D32"/>
            </w:tcBorders>
          </w:tcPr>
          <w:p>
            <w:pPr>
              <w:spacing w:after="30" w:line="240" w:lineRule="auto"/>
            </w:pPr>
            <w:r>
              <w:rPr>
                <w:b/>
                <w:color w:val="2E7D32"/>
                <w:sz w:val="15"/>
              </w:rPr>
              <w:t xml:space="preserve">MAIN CASE ★   </w:t>
            </w:r>
            <w:r>
              <w:rPr>
                <w:b/>
                <w:i w:val="0"/>
                <w:sz w:val="21"/>
              </w:rPr>
              <w:t xml:space="preserve">Top of Iowa Cooperative v. Sime Farms, Inc. (Iowa 2000) — § 2-609 adequate assurance</w:t>
            </w:r>
          </w:p>
          <w:p>
            <w:pPr>
              <w:spacing w:after="30" w:line="240" w:lineRule="auto"/>
            </w:pPr>
            <w:r>
              <w:rPr>
                <w:b/>
                <w:i w:val="0"/>
                <w:color w:val="595959"/>
                <w:sz w:val="18"/>
              </w:rPr>
              <w:t xml:space="preserve">Source:</w:t>
            </w:r>
            <w:r>
              <w:rPr>
                <w:b w:val="0"/>
                <w:i w:val="0"/>
                <w:color w:val="595959"/>
                <w:sz w:val="18"/>
              </w:rPr>
              <w:t xml:space="preserve"> principal case, casebook pp. 235–243. Slide W8-S26.</w:t>
            </w:r>
          </w:p>
          <w:p>
            <w:pPr>
              <w:spacing w:after="30" w:line="240" w:lineRule="auto"/>
            </w:pPr>
            <w:r>
              <w:rPr>
                <w:b/>
                <w:i w:val="0"/>
                <w:sz w:val="21"/>
              </w:rPr>
              <w:t xml:space="preserve">Facts:</w:t>
            </w:r>
            <w:r>
              <w:rPr>
                <w:b w:val="0"/>
                <w:i w:val="0"/>
                <w:sz w:val="21"/>
              </w:rPr>
              <w:t xml:space="preserve"> Farmer Sime signed </w:t>
            </w:r>
            <w:r>
              <w:rPr>
                <w:b/>
                <w:i w:val="0"/>
                <w:sz w:val="21"/>
              </w:rPr>
              <w:t xml:space="preserve">"hedge-to-arrive" corn contracts</w:t>
            </w:r>
            <w:r>
              <w:rPr>
                <w:b w:val="0"/>
                <w:i w:val="0"/>
                <w:sz w:val="21"/>
              </w:rPr>
              <w:t xml:space="preserve"> with its grain co-op for 60,000 bushels. The Coop hedged each contract by selling futures, paying margin as prices rose. Sime kept </w:t>
            </w:r>
            <w:r>
              <w:rPr>
                <w:b/>
                <w:i w:val="0"/>
                <w:sz w:val="21"/>
              </w:rPr>
              <w:t xml:space="preserve">"rolling" (postponing) delivery</w:t>
            </w:r>
            <w:r>
              <w:rPr>
                <w:b w:val="0"/>
                <w:i w:val="0"/>
                <w:sz w:val="21"/>
              </w:rPr>
              <w:t xml:space="preserve"> and sold its 1995 crop elsewhere at high cash prices. By spring 1996 the market had </w:t>
            </w:r>
            <w:r>
              <w:rPr>
                <w:b/>
                <w:i w:val="0"/>
                <w:sz w:val="21"/>
              </w:rPr>
              <w:t xml:space="preserve">inverted</w:t>
            </w:r>
            <w:r>
              <w:rPr>
                <w:b w:val="0"/>
                <w:i w:val="0"/>
                <w:sz w:val="21"/>
              </w:rPr>
              <w:t xml:space="preserve"> — rolling to December would cost about </w:t>
            </w:r>
            <w:r>
              <w:rPr>
                <w:b/>
                <w:i w:val="0"/>
                <w:sz w:val="21"/>
              </w:rPr>
              <w:t xml:space="preserve">$1.30/bushel</w:t>
            </w:r>
            <w:r>
              <w:rPr>
                <w:b w:val="0"/>
                <w:i w:val="0"/>
                <w:sz w:val="21"/>
              </w:rPr>
              <w:t xml:space="preserve"> — and Sime had no corn to deliver in July. Sime told the manager he'd get back to the Coop but </w:t>
            </w:r>
            <w:r>
              <w:rPr>
                <w:b/>
                <w:i w:val="0"/>
                <w:sz w:val="21"/>
              </w:rPr>
              <w:t xml:space="preserve">never did</w:t>
            </w:r>
            <w:r>
              <w:rPr>
                <w:b w:val="0"/>
                <w:i w:val="0"/>
                <w:sz w:val="21"/>
              </w:rPr>
              <w:t xml:space="preserve">. That same month the </w:t>
            </w:r>
            <w:r>
              <w:rPr>
                <w:b/>
                <w:i w:val="0"/>
                <w:sz w:val="21"/>
              </w:rPr>
              <w:t xml:space="preserve">Iowa Attorney General (AG) said some of these contracts might be illegal</w:t>
            </w:r>
            <w:r>
              <w:rPr>
                <w:b w:val="0"/>
                <w:i w:val="0"/>
                <w:sz w:val="21"/>
              </w:rPr>
              <w:t xml:space="preserve">. The Coop wrote demanding, as assurance, (1) payment of margins (or a letter of credit) and (2) a signed promise to deliver; refusal would be treated as repudiation. Sime's lawyer replied that the contracts were illegal and refused.</w:t>
            </w:r>
          </w:p>
          <w:p>
            <w:pPr>
              <w:spacing w:after="30" w:line="240" w:lineRule="auto"/>
            </w:pPr>
            <w:r>
              <w:rPr>
                <w:b/>
                <w:i w:val="0"/>
                <w:sz w:val="21"/>
              </w:rPr>
              <w:t xml:space="preserve">Held:</w:t>
            </w:r>
            <w:r>
              <w:rPr>
                <w:b w:val="0"/>
                <w:i w:val="0"/>
                <w:sz w:val="21"/>
              </w:rPr>
              <w:t xml:space="preserve"> The jury verdict for the Coop was affirmed. (1) </w:t>
            </w:r>
            <w:r>
              <w:rPr>
                <w:b/>
                <w:i w:val="0"/>
                <w:sz w:val="21"/>
              </w:rPr>
              <w:t xml:space="preserve">Reasonable grounds</w:t>
            </w:r>
            <w:r>
              <w:rPr>
                <w:b w:val="0"/>
                <w:i w:val="0"/>
                <w:sz w:val="21"/>
              </w:rPr>
              <w:t xml:space="preserve"> for insecurity are judged objectively by commercial standards and </w:t>
            </w:r>
            <w:r>
              <w:rPr>
                <w:b/>
                <w:i w:val="0"/>
                <w:sz w:val="21"/>
              </w:rPr>
              <w:t xml:space="preserve">need not come from the other party's own conduct</w:t>
            </w:r>
            <w:r>
              <w:rPr>
                <w:b w:val="0"/>
                <w:i w:val="0"/>
                <w:sz w:val="21"/>
              </w:rPr>
              <w:t xml:space="preserve">. The inverted market, the AG's statement, and Sime's silence were enough. (2) The demand was </w:t>
            </w:r>
            <w:r>
              <w:rPr>
                <w:b/>
                <w:i w:val="0"/>
                <w:sz w:val="21"/>
              </w:rPr>
              <w:t xml:space="preserve">not unreasonable as a matter of law</w:t>
            </w:r>
            <w:r>
              <w:rPr>
                <w:b w:val="0"/>
                <w:i w:val="0"/>
                <w:sz w:val="21"/>
              </w:rPr>
              <w:t xml:space="preserve">: "all demands for adequate assurance call for more than was originally promised," and asking for more isn't itself a repudiation (§ 2-610 cmt. 2).</w:t>
            </w:r>
          </w:p>
          <w:p>
            <w:pPr>
              <w:spacing w:after="0" w:line="240" w:lineRule="auto"/>
            </w:pPr>
            <w:r>
              <w:rPr>
                <w:b/>
                <w:i w:val="0"/>
                <w:sz w:val="21"/>
              </w:rPr>
              <w:t xml:space="preserve">Contrast — PDM v. Brookhaven (7th Cir. 1976)</w:t>
            </w:r>
            <w:r>
              <w:rPr>
                <w:b w:val="0"/>
                <w:i w:val="0"/>
                <w:sz w:val="21"/>
              </w:rPr>
              <w:t xml:space="preserve"> (note case; casebook quotes a concurrence, p. 243): PDM would have been "assured" only by Betke's </w:t>
            </w:r>
            <w:r>
              <w:rPr>
                <w:b/>
                <w:i w:val="0"/>
                <w:sz w:val="21"/>
              </w:rPr>
              <w:t xml:space="preserve">personal guarantee</w:t>
            </w:r>
            <w:r>
              <w:rPr>
                <w:b w:val="0"/>
                <w:i w:val="0"/>
                <w:sz w:val="21"/>
              </w:rPr>
              <w:t xml:space="preserve">, </w:t>
            </w:r>
            <w:r>
              <w:rPr>
                <w:b/>
                <w:i w:val="0"/>
                <w:sz w:val="21"/>
              </w:rPr>
              <w:t xml:space="preserve">escrow financing</w:t>
            </w:r>
            <w:r>
              <w:rPr>
                <w:b w:val="0"/>
                <w:i w:val="0"/>
                <w:sz w:val="21"/>
              </w:rPr>
              <w:t xml:space="preserve">, or </w:t>
            </w:r>
            <w:r>
              <w:rPr>
                <w:b/>
                <w:i w:val="0"/>
                <w:sz w:val="21"/>
              </w:rPr>
              <w:t xml:space="preserve">buying an interest in Brookhaven</w:t>
            </w:r>
            <w:r>
              <w:rPr>
                <w:b w:val="0"/>
                <w:i w:val="0"/>
                <w:sz w:val="21"/>
              </w:rPr>
              <w:t xml:space="preserve">. Those demands were more than "adequate assurance" as a matter of law — § 2-609 doesn't let a party </w:t>
            </w:r>
            <w:r>
              <w:rPr>
                <w:b/>
                <w:i w:val="0"/>
                <w:sz w:val="21"/>
              </w:rPr>
              <w:t xml:space="preserve">redraft the contract</w:t>
            </w:r>
            <w:r>
              <w:rPr>
                <w:b w:val="0"/>
                <w:i w:val="0"/>
                <w:sz w:val="21"/>
              </w:rPr>
              <w:t xml:space="preserve">. </w:t>
            </w:r>
            <w:r>
              <w:rPr>
                <w:b w:val="0"/>
                <w:i/>
                <w:color w:val="64748B"/>
                <w:sz w:val="21"/>
              </w:rPr>
              <w:t xml:space="preserve">Outside class materials: PDM was building a water-storage tank for Brookhaven and acted on reports that Brookhaven's financing might fall through.</w:t>
            </w:r>
          </w:p>
        </w:tc>
      </w:tr>
    </w:tbl>
    <w:p>
      <w:pPr>
        <w:spacing w:after="0" w:line="100" w:lineRule="exact"/>
      </w:pPr>
    </w:p>
    <w:p>
      <w:pPr>
        <w:pStyle w:val="ListBullet"/>
      </w:pPr>
      <w:r>
        <w:rPr>
          <w:b/>
          <w:i w:val="0"/>
        </w:rPr>
        <w:t>Problem 6-3 (custom goods; pay 15 days after each delivery; buyer's credit downgraded, paying others late, changed banks):</w:t>
      </w:r>
      <w:r>
        <w:rPr>
          <w:b w:val="0"/>
          <w:i w:val="0"/>
        </w:rPr>
        <w:t xml:space="preserve"> </w:t>
      </w:r>
      <w:r>
        <w:rPr>
          <w:b/>
          <w:i w:val="0"/>
        </w:rPr>
        <w:t>(a)</w:t>
      </w:r>
      <w:r>
        <w:rPr>
          <w:b w:val="0"/>
          <w:i w:val="0"/>
        </w:rPr>
        <w:t xml:space="preserve"> don't demand </w:t>
      </w:r>
      <w:r>
        <w:rPr>
          <w:b/>
          <w:i w:val="0"/>
        </w:rPr>
        <w:t>cash on delivery</w:t>
      </w:r>
      <w:r>
        <w:rPr>
          <w:b w:val="0"/>
          <w:i w:val="0"/>
        </w:rPr>
        <w:t xml:space="preserve"> — § 2-702(1) allows that only if buyer is </w:t>
      </w:r>
      <w:r>
        <w:rPr>
          <w:b/>
          <w:i w:val="0"/>
        </w:rPr>
        <w:t>insolvent</w:t>
      </w:r>
      <w:r>
        <w:rPr>
          <w:b w:val="0"/>
          <w:i w:val="0"/>
        </w:rPr>
        <w:t xml:space="preserve">; unilaterally changing credit terms risks repudiation → use § 2-609. </w:t>
      </w:r>
      <w:r>
        <w:rPr>
          <w:b/>
          <w:i w:val="0"/>
        </w:rPr>
        <w:t>(b)</w:t>
      </w:r>
      <w:r>
        <w:rPr>
          <w:b w:val="0"/>
          <w:i w:val="0"/>
        </w:rPr>
        <w:t xml:space="preserve"> seller demands a </w:t>
      </w:r>
      <w:r>
        <w:rPr>
          <w:b/>
          <w:i w:val="0"/>
        </w:rPr>
        <w:t>letter of credit</w:t>
      </w:r>
      <w:r>
        <w:rPr>
          <w:b w:val="0"/>
          <w:i w:val="0"/>
        </w:rPr>
        <w:t xml:space="preserve"> and withholds delivery; buyer only professes ability to pay → grounds are reasonable; a letter of credit (LOC) is a common assurance (Top of Iowa) but insisting </w:t>
      </w:r>
      <w:r>
        <w:rPr>
          <w:b/>
          <w:i w:val="0"/>
        </w:rPr>
        <w:t>only</w:t>
      </w:r>
      <w:r>
        <w:rPr>
          <w:b w:val="0"/>
          <w:i w:val="0"/>
        </w:rPr>
        <w:t xml:space="preserve"> on it may be too much; a bare promise from a shaky buyer is likely </w:t>
      </w:r>
      <w:r>
        <w:rPr>
          <w:b/>
          <w:i w:val="0"/>
        </w:rPr>
        <w:t>inadequate</w:t>
      </w:r>
      <w:r>
        <w:rPr>
          <w:b w:val="0"/>
          <w:i w:val="0"/>
        </w:rPr>
        <w:t xml:space="preserve">, but real proof of solvency may be </w:t>
      </w:r>
      <w:r>
        <w:rPr>
          <w:b/>
          <w:i w:val="0"/>
        </w:rPr>
        <w:t>adequate</w:t>
      </w:r>
      <w:r>
        <w:rPr>
          <w:b w:val="0"/>
          <w:i w:val="0"/>
        </w:rPr>
        <w:t xml:space="preserve"> — then seller's continued withholding becomes the breach. </w:t>
      </w:r>
      <w:r>
        <w:rPr>
          <w:b/>
          <w:i w:val="0"/>
        </w:rPr>
        <w:t>(c) Demand letter:</w:t>
      </w:r>
      <w:r>
        <w:rPr>
          <w:b w:val="0"/>
          <w:i w:val="0"/>
        </w:rPr>
        <w:t xml:space="preserve"> list the specific grounds; ask for </w:t>
      </w:r>
      <w:r>
        <w:rPr>
          <w:b/>
          <w:i w:val="0"/>
        </w:rPr>
        <w:t>adequate</w:t>
      </w:r>
      <w:r>
        <w:rPr>
          <w:b w:val="0"/>
          <w:i w:val="0"/>
        </w:rPr>
        <w:t xml:space="preserve"> assurance with </w:t>
      </w:r>
      <w:r>
        <w:rPr>
          <w:b/>
          <w:i w:val="0"/>
        </w:rPr>
        <w:t>several options</w:t>
      </w:r>
      <w:r>
        <w:rPr>
          <w:b w:val="0"/>
          <w:i w:val="0"/>
        </w:rPr>
        <w:t xml:space="preserve"> (LOC, guaranty, payment in advance/on delivery, "other assurances might also be adequate"); </w:t>
      </w:r>
      <w:r>
        <w:rPr>
          <w:b/>
          <w:i w:val="0"/>
        </w:rPr>
        <w:t>reserve the right to suspend</w:t>
      </w:r>
      <w:r>
        <w:rPr>
          <w:b w:val="0"/>
          <w:i w:val="0"/>
        </w:rPr>
        <w:t>; set a deadline within 30 days.</w:t>
      </w:r>
    </w:p>
    <w:p>
      <w:pPr>
        <w:pStyle w:val="ListBullet"/>
      </w:pPr>
      <w:r>
        <w:rPr>
          <w:b/>
          <w:i w:val="0"/>
        </w:rPr>
        <w:t>Problem 6-4 (Big Discount's one-sided clauses):</w:t>
      </w:r>
      <w:r>
        <w:rPr>
          <w:b w:val="0"/>
          <w:i w:val="0"/>
        </w:rPr>
        <w:t xml:space="preserve"> the clause letting Big Discount demand "</w:t>
      </w:r>
      <w:r>
        <w:rPr>
          <w:b/>
          <w:i w:val="0"/>
        </w:rPr>
        <w:t>whatever assurances it deems appropriate</w:t>
      </w:r>
      <w:r>
        <w:rPr>
          <w:b w:val="0"/>
          <w:i w:val="0"/>
        </w:rPr>
        <w:t xml:space="preserve">" whenever it wants sets an </w:t>
      </w:r>
      <w:r>
        <w:rPr>
          <w:b/>
          <w:i w:val="0"/>
        </w:rPr>
        <w:t>arbitrary</w:t>
      </w:r>
      <w:r>
        <w:rPr>
          <w:b w:val="0"/>
          <w:i w:val="0"/>
        </w:rPr>
        <w:t xml:space="preserve"> standard → </w:t>
      </w:r>
      <w:r>
        <w:rPr>
          <w:b/>
          <w:i w:val="0"/>
        </w:rPr>
        <w:t>ineffective</w:t>
      </w:r>
      <w:r>
        <w:rPr>
          <w:b w:val="0"/>
          <w:i w:val="0"/>
        </w:rPr>
        <w:t xml:space="preserve"> (cmt. 6; § 1-302(b); cf. § 1-309). Barring the supplier from ever demanding assurance is vulnerable as </w:t>
      </w:r>
      <w:r>
        <w:rPr>
          <w:b/>
          <w:i w:val="0"/>
        </w:rPr>
        <w:t>unconscionable</w:t>
      </w:r>
      <w:r>
        <w:rPr>
          <w:b w:val="0"/>
          <w:i w:val="0"/>
        </w:rPr>
        <w:t xml:space="preserve"> given the take-it-or-leave-it market power.</w:t>
      </w:r>
    </w:p>
    <w:p>
      <w:pPr>
        <w:keepNext/>
        <w:spacing w:before="120" w:after="40"/>
        <w:pBdr>
          <w:bottom w:val="single" w:sz="6" w:space="1" w:color="8EAADB"/>
        </w:pBdr>
      </w:pPr>
      <w:r>
        <w:rPr>
          <w:b/>
          <w:i w:val="0"/>
          <w:color w:val="1F3A5F"/>
          <w:sz w:val="25"/>
        </w:rPr>
        <w:t>Repudiation — § 2-610; retraction — § 2-611</w:t>
      </w:r>
    </w:p>
    <w:p>
      <w:pPr>
        <w:pStyle w:val="ListBullet"/>
      </w:pPr>
      <w:r>
        <w:rPr>
          <w:b/>
          <w:i w:val="0"/>
        </w:rPr>
        <w:t>Not</w:t>
      </w:r>
      <w:r>
        <w:rPr>
          <w:b w:val="0"/>
          <w:i w:val="0"/>
        </w:rPr>
        <w:t xml:space="preserve"> a failure to perform when due (that's </w:t>
      </w:r>
      <w:r>
        <w:rPr>
          <w:b/>
          <w:i w:val="0"/>
        </w:rPr>
        <w:t>breach</w:t>
      </w:r>
      <w:r>
        <w:rPr>
          <w:b w:val="0"/>
          <w:i w:val="0"/>
        </w:rPr>
        <w:t xml:space="preserve">). Repudiation = signaling </w:t>
      </w:r>
      <w:r>
        <w:rPr>
          <w:b/>
          <w:i w:val="0"/>
        </w:rPr>
        <w:t>before performance is due</w:t>
      </w:r>
      <w:r>
        <w:rPr>
          <w:b w:val="0"/>
          <w:i w:val="0"/>
        </w:rPr>
        <w:t xml:space="preserve"> that you won't perform (words or acts). It also results from </w:t>
      </w:r>
      <w:r>
        <w:rPr>
          <w:b/>
          <w:i w:val="0"/>
        </w:rPr>
        <w:t>failing to answer</w:t>
      </w:r>
      <w:r>
        <w:rPr>
          <w:b w:val="0"/>
          <w:i w:val="0"/>
        </w:rPr>
        <w:t xml:space="preserve"> a justified § 2-609 demand, or from making an </w:t>
      </w:r>
      <w:r>
        <w:rPr>
          <w:b/>
          <w:i w:val="0"/>
        </w:rPr>
        <w:t>unjustified or excessive</w:t>
      </w:r>
      <w:r>
        <w:rPr>
          <w:b w:val="0"/>
          <w:i w:val="0"/>
        </w:rPr>
        <w:t xml:space="preserve"> demand. Demanding more than the contract gives is </w:t>
      </w:r>
      <w:r>
        <w:rPr>
          <w:b/>
          <w:i w:val="0"/>
        </w:rPr>
        <w:t>not by itself</w:t>
      </w:r>
      <w:r>
        <w:rPr>
          <w:b w:val="0"/>
          <w:i w:val="0"/>
        </w:rPr>
        <w:t xml:space="preserve"> a repudiation — unless you </w:t>
      </w:r>
      <w:r>
        <w:rPr>
          <w:b/>
          <w:i w:val="0"/>
        </w:rPr>
        <w:t>condition</w:t>
      </w:r>
      <w:r>
        <w:rPr>
          <w:b w:val="0"/>
          <w:i w:val="0"/>
        </w:rPr>
        <w:t xml:space="preserve"> your performance on it (cmt. 2).</w:t>
      </w:r>
    </w:p>
    <w:p>
      <w:pPr>
        <w:pStyle w:val="ListBullet"/>
      </w:pPr>
      <w:r>
        <w:rPr>
          <w:b/>
          <w:i w:val="0"/>
        </w:rPr>
        <w:t>If the repudiation substantially impairs the contract's value</w:t>
      </w:r>
      <w:r>
        <w:rPr>
          <w:b w:val="0"/>
          <w:i w:val="0"/>
        </w:rPr>
        <w:t xml:space="preserve">, the aggrieved party may </w:t>
      </w:r>
      <w:r>
        <w:rPr>
          <w:b/>
          <w:i w:val="0"/>
        </w:rPr>
        <w:t>suspend</w:t>
      </w:r>
      <w:r>
        <w:rPr>
          <w:b w:val="0"/>
          <w:i w:val="0"/>
        </w:rPr>
        <w:t xml:space="preserve"> its performance and </w:t>
      </w:r>
      <w:r>
        <w:rPr>
          <w:b/>
          <w:i w:val="0"/>
        </w:rPr>
        <w:t>(a) await</w:t>
      </w:r>
      <w:r>
        <w:rPr>
          <w:b w:val="0"/>
          <w:i w:val="0"/>
        </w:rPr>
        <w:t xml:space="preserve"> performance for a </w:t>
      </w:r>
      <w:r>
        <w:rPr>
          <w:b/>
          <w:i w:val="0"/>
        </w:rPr>
        <w:t>commercially reasonable time</w:t>
      </w:r>
      <w:r>
        <w:rPr>
          <w:b w:val="0"/>
          <w:i w:val="0"/>
        </w:rPr>
        <w:t xml:space="preserve">, or </w:t>
      </w:r>
      <w:r>
        <w:rPr>
          <w:b/>
          <w:i w:val="0"/>
        </w:rPr>
        <w:t>(b) resort to remedies</w:t>
      </w:r>
      <w:r>
        <w:rPr>
          <w:b w:val="0"/>
          <w:i w:val="0"/>
        </w:rPr>
        <w:t xml:space="preserve"> immediately.</w:t>
      </w:r>
    </w:p>
    <w:p>
      <w:pPr>
        <w:pStyle w:val="ListBullet"/>
      </w:pPr>
      <w:r>
        <w:rPr>
          <w:b/>
          <w:i w:val="0"/>
        </w:rPr>
        <w:t>Retraction (§ 2-611):</w:t>
      </w:r>
      <w:r>
        <w:rPr>
          <w:b w:val="0"/>
          <w:i w:val="0"/>
        </w:rPr>
        <w:t xml:space="preserve"> allowed </w:t>
      </w:r>
      <w:r>
        <w:rPr>
          <w:b/>
          <w:i w:val="0"/>
        </w:rPr>
        <w:t>until the next performance is due</w:t>
      </w:r>
      <w:r>
        <w:rPr>
          <w:b w:val="0"/>
          <w:i w:val="0"/>
        </w:rPr>
        <w:t xml:space="preserve">, unless the aggrieved party has </w:t>
      </w:r>
      <w:r>
        <w:rPr>
          <w:b/>
          <w:i w:val="0"/>
        </w:rPr>
        <w:t>canceled, materially changed position, or indicated the repudiation is final</w:t>
      </w:r>
      <w:r>
        <w:rPr>
          <w:b w:val="0"/>
          <w:i w:val="0"/>
        </w:rPr>
        <w:t xml:space="preserve">; must include any </w:t>
      </w:r>
      <w:r>
        <w:rPr>
          <w:b/>
          <w:i w:val="0"/>
        </w:rPr>
        <w:t>assurance justifiably demanded</w:t>
      </w:r>
      <w:r>
        <w:rPr>
          <w:b w:val="0"/>
          <w:i w:val="0"/>
        </w:rPr>
        <w:t>; reinstates the contract.</w:t>
      </w:r>
    </w:p>
    <w:p>
      <w:pPr>
        <w:pStyle w:val="ListBullet"/>
      </w:pPr>
      <w:r>
        <w:rPr>
          <w:b/>
          <w:i w:val="0"/>
        </w:rPr>
        <w:t>"Game of chicken":</w:t>
      </w:r>
      <w:r>
        <w:rPr>
          <w:b w:val="0"/>
          <w:i w:val="0"/>
        </w:rPr>
        <w:t xml:space="preserve"> call it a repudiation and you may be the one in breach if a court disagrees.</w:t>
      </w:r>
    </w:p>
    <w:p>
      <w:pPr>
        <w:pStyle w:val="ListBullet"/>
      </w:pPr>
      <w:r>
        <w:rPr>
          <w:b/>
          <w:i w:val="0"/>
        </w:rPr>
        <w:t>Problem 6-5 (Ace's email: first valve installment will be late; "we expect you will cover the extra expenses"; will catch up by the second):</w:t>
      </w:r>
      <w:r>
        <w:rPr>
          <w:b w:val="0"/>
          <w:i w:val="0"/>
        </w:rPr>
        <w:t xml:space="preserve"> a definite repudiation of </w:t>
      </w:r>
      <w:r>
        <w:rPr>
          <w:b/>
          <w:i w:val="0"/>
        </w:rPr>
        <w:t>installment 1</w:t>
      </w:r>
      <w:r>
        <w:rPr>
          <w:b w:val="0"/>
          <w:i w:val="0"/>
        </w:rPr>
        <w:t xml:space="preserve">; the cost demand isn't a repudiation unless performance is </w:t>
      </w:r>
      <w:r>
        <w:rPr>
          <w:b/>
          <w:i w:val="0"/>
        </w:rPr>
        <w:t>conditioned</w:t>
      </w:r>
      <w:r>
        <w:rPr>
          <w:b w:val="0"/>
          <w:i w:val="0"/>
        </w:rPr>
        <w:t xml:space="preserve"> on it; canceling the </w:t>
      </w:r>
      <w:r>
        <w:rPr>
          <w:b/>
          <w:i w:val="0"/>
        </w:rPr>
        <w:t>whole</w:t>
      </w:r>
      <w:r>
        <w:rPr>
          <w:b w:val="0"/>
          <w:i w:val="0"/>
        </w:rPr>
        <w:t xml:space="preserve"> requires </w:t>
      </w:r>
      <w:r>
        <w:rPr>
          <w:b/>
          <w:i w:val="0"/>
        </w:rPr>
        <w:t>substantial impairment</w:t>
      </w:r>
      <w:r>
        <w:rPr>
          <w:b w:val="0"/>
          <w:i w:val="0"/>
        </w:rPr>
        <w:t xml:space="preserve"> of the whole contract (§§ 2-610, 2-612). Buyer's real motive (needing only half the valves) is </w:t>
      </w:r>
      <w:r>
        <w:rPr>
          <w:b/>
          <w:i w:val="0"/>
        </w:rPr>
        <w:t>not</w:t>
      </w:r>
      <w:r>
        <w:rPr>
          <w:b w:val="0"/>
          <w:i w:val="0"/>
        </w:rPr>
        <w:t xml:space="preserve"> a valid reason. </w:t>
      </w:r>
      <w:r>
        <w:rPr>
          <w:b/>
          <w:i w:val="0"/>
        </w:rPr>
        <w:t>Advice:</w:t>
      </w:r>
      <w:r>
        <w:rPr>
          <w:b w:val="0"/>
          <w:i w:val="0"/>
        </w:rPr>
        <w:t xml:space="preserve"> don't cancel yet — send a </w:t>
      </w:r>
      <w:r>
        <w:rPr>
          <w:b/>
          <w:i w:val="0"/>
        </w:rPr>
        <w:t>§ 2-609 demand</w:t>
      </w:r>
      <w:r>
        <w:rPr>
          <w:b w:val="0"/>
          <w:i w:val="0"/>
        </w:rPr>
        <w:t xml:space="preserve"> (perform at the contract price, give a catch-up schedule), reserve rights, suspend payments; if Ace conditions performance on extra money or gives no adequate assurance → </w:t>
      </w:r>
      <w:r>
        <w:rPr>
          <w:b/>
          <w:i w:val="0"/>
        </w:rPr>
        <w:t>repudiation</w:t>
      </w:r>
      <w:r>
        <w:rPr>
          <w:b w:val="0"/>
          <w:i w:val="0"/>
        </w:rPr>
        <w:t xml:space="preserve"> → cancel, recover the </w:t>
      </w:r>
      <w:r>
        <w:rPr>
          <w:b/>
          <w:i w:val="0"/>
        </w:rPr>
        <w:t>25% advance</w:t>
      </w:r>
      <w:r>
        <w:rPr>
          <w:b w:val="0"/>
          <w:i w:val="0"/>
        </w:rPr>
        <w:t>, cover.</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XVI. Excuse from Performance — §§ 2-613 to 2-616</w:t>
            </w:r>
            <w:r>
              <w:rPr>
                <w:b/>
                <w:color w:val="C9D9EE"/>
                <w:sz w:val="16"/>
              </w:rPr>
              <w:t xml:space="preserve">    WEEK 8</w:t>
            </w:r>
          </w:p>
        </w:tc>
      </w:tr>
    </w:tbl>
    <w:p>
      <w:pPr>
        <w:keepNext/>
        <w:spacing w:after="0" w:line="8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5102"/>
        <w:gridCol w:w="5409"/>
      </w:tblGrid>
      <w:tr>
        <w:trPr>
          <w:tblHeader w:val="true"/>
        </w:trPr>
        <w:tc>
          <w:tcPr>
            <w:tcW w:type="dxa" w:w="5103"/>
            <w:shd w:val="clear" w:color="auto" w:fill="1F3A5F"/>
            <w:tcMar>
              <w:top w:w="40" w:type="dxa"/>
              <w:bottom w:w="40" w:type="dxa"/>
              <w:left w:w="80" w:type="dxa"/>
              <w:right w:w="80" w:type="dxa"/>
            </w:tcMar>
          </w:tcPr>
          <w:p>
            <w:pPr>
              <w:spacing w:after="0"/>
            </w:pPr>
            <w:r>
              <w:rPr>
                <w:b/>
                <w:i w:val="0"/>
                <w:color w:val="FFFFFF"/>
                <w:sz w:val="20"/>
              </w:rPr>
              <w:t>Existing at formation</w:t>
            </w:r>
          </w:p>
        </w:tc>
        <w:tc>
          <w:tcPr>
            <w:tcW w:type="dxa" w:w="5409"/>
            <w:shd w:val="clear" w:color="auto" w:fill="1F3A5F"/>
            <w:tcMar>
              <w:top w:w="40" w:type="dxa"/>
              <w:bottom w:w="40" w:type="dxa"/>
              <w:left w:w="80" w:type="dxa"/>
              <w:right w:w="80" w:type="dxa"/>
            </w:tcMar>
          </w:tcPr>
          <w:p>
            <w:pPr>
              <w:spacing w:after="0"/>
            </w:pPr>
            <w:r>
              <w:rPr>
                <w:b/>
                <w:i w:val="0"/>
                <w:color w:val="FFFFFF"/>
                <w:sz w:val="20"/>
              </w:rPr>
              <w:t>Arising after formation</w:t>
            </w:r>
          </w:p>
        </w:tc>
      </w:tr>
      <w:tr>
        <w:trPr>
          <w:cantSplit w:val="true"/>
        </w:trPr>
        <w:tc>
          <w:tcPr>
            <w:tcW w:type="dxa" w:w="5103"/>
            <w:tcMar>
              <w:top w:w="30" w:type="dxa"/>
              <w:bottom w:w="30" w:type="dxa"/>
              <w:left w:w="80" w:type="dxa"/>
              <w:right w:w="80" w:type="dxa"/>
            </w:tcMar>
          </w:tcPr>
          <w:p>
            <w:pPr>
              <w:spacing w:after="0" w:line="240" w:lineRule="auto"/>
            </w:pPr>
            <w:r>
              <w:rPr>
                <w:b w:val="0"/>
                <w:i w:val="0"/>
                <w:sz w:val="20"/>
              </w:rPr>
              <w:t>Incapacity · fraud · mistake · duress · illegality &amp; public policy · unconscionability · statute of frauds</w:t>
            </w:r>
          </w:p>
        </w:tc>
        <w:tc>
          <w:tcPr>
            <w:tcW w:type="dxa" w:w="5409"/>
            <w:tcMar>
              <w:top w:w="30" w:type="dxa"/>
              <w:bottom w:w="30" w:type="dxa"/>
              <w:left w:w="80" w:type="dxa"/>
              <w:right w:w="80" w:type="dxa"/>
            </w:tcMar>
          </w:tcPr>
          <w:p>
            <w:pPr>
              <w:spacing w:after="0" w:line="240" w:lineRule="auto"/>
            </w:pPr>
            <w:r>
              <w:rPr>
                <w:b w:val="0"/>
                <w:i w:val="0"/>
                <w:sz w:val="20"/>
              </w:rPr>
              <w:t>Death of a party · impracticability/impossibility · frustration of purpose · intervening illegality · failure of a condition</w:t>
            </w:r>
          </w:p>
        </w:tc>
      </w:tr>
    </w:tbl>
    <w:p>
      <w:pPr>
        <w:spacing w:after="0" w:line="12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5344"/>
        <w:gridCol w:w="1914"/>
        <w:gridCol w:w="3253"/>
      </w:tblGrid>
      <w:tr>
        <w:trPr>
          <w:tblHeader w:val="true"/>
        </w:trPr>
        <w:tc>
          <w:tcPr>
            <w:tcW w:type="dxa" w:w="5344"/>
            <w:shd w:val="clear" w:color="auto" w:fill="1F3A5F"/>
            <w:tcMar>
              <w:top w:w="40" w:type="dxa"/>
              <w:bottom w:w="40" w:type="dxa"/>
              <w:left w:w="80" w:type="dxa"/>
              <w:right w:w="80" w:type="dxa"/>
            </w:tcMar>
          </w:tcPr>
          <w:p>
            <w:pPr>
              <w:spacing w:after="0"/>
            </w:pPr>
            <w:r>
              <w:rPr>
                <w:b/>
                <w:i w:val="0"/>
                <w:color w:val="FFFFFF"/>
                <w:sz w:val="20"/>
              </w:rPr>
              <w:t>Event</w:t>
            </w:r>
          </w:p>
        </w:tc>
        <w:tc>
          <w:tcPr>
            <w:tcW w:type="dxa" w:w="1914"/>
            <w:shd w:val="clear" w:color="auto" w:fill="1F3A5F"/>
            <w:tcMar>
              <w:top w:w="40" w:type="dxa"/>
              <w:bottom w:w="40" w:type="dxa"/>
              <w:left w:w="80" w:type="dxa"/>
              <w:right w:w="80" w:type="dxa"/>
            </w:tcMar>
          </w:tcPr>
          <w:p>
            <w:pPr>
              <w:spacing w:after="0"/>
            </w:pPr>
            <w:r>
              <w:rPr>
                <w:b/>
                <w:i w:val="0"/>
                <w:color w:val="FFFFFF"/>
                <w:sz w:val="20"/>
              </w:rPr>
              <w:t>Restatement (2d)</w:t>
            </w:r>
          </w:p>
        </w:tc>
        <w:tc>
          <w:tcPr>
            <w:tcW w:type="dxa" w:w="3254"/>
            <w:shd w:val="clear" w:color="auto" w:fill="1F3A5F"/>
            <w:tcMar>
              <w:top w:w="40" w:type="dxa"/>
              <w:bottom w:w="40" w:type="dxa"/>
              <w:left w:w="80" w:type="dxa"/>
              <w:right w:w="80" w:type="dxa"/>
            </w:tcMar>
          </w:tcPr>
          <w:p>
            <w:pPr>
              <w:spacing w:after="0"/>
            </w:pPr>
            <w:r>
              <w:rPr>
                <w:b/>
                <w:i w:val="0"/>
                <w:color w:val="FFFFFF"/>
                <w:sz w:val="20"/>
              </w:rPr>
              <w:t>UCC</w:t>
            </w:r>
          </w:p>
        </w:tc>
      </w:tr>
      <w:tr>
        <w:trPr>
          <w:cantSplit w:val="true"/>
        </w:trPr>
        <w:tc>
          <w:tcPr>
            <w:tcW w:type="dxa" w:w="5344"/>
            <w:tcMar>
              <w:top w:w="30" w:type="dxa"/>
              <w:bottom w:w="30" w:type="dxa"/>
              <w:left w:w="80" w:type="dxa"/>
              <w:right w:w="80" w:type="dxa"/>
            </w:tcMar>
          </w:tcPr>
          <w:p>
            <w:pPr>
              <w:spacing w:after="0" w:line="240" w:lineRule="auto"/>
            </w:pPr>
            <w:r>
              <w:rPr>
                <w:b w:val="0"/>
                <w:i w:val="0"/>
                <w:sz w:val="20"/>
              </w:rPr>
              <w:t>Casualty to identified goods</w:t>
            </w:r>
          </w:p>
        </w:tc>
        <w:tc>
          <w:tcPr>
            <w:tcW w:type="dxa" w:w="1914"/>
            <w:tcMar>
              <w:top w:w="30" w:type="dxa"/>
              <w:bottom w:w="30" w:type="dxa"/>
              <w:left w:w="80" w:type="dxa"/>
              <w:right w:w="80" w:type="dxa"/>
            </w:tcMar>
          </w:tcPr>
          <w:p>
            <w:pPr>
              <w:spacing w:after="0" w:line="240" w:lineRule="auto"/>
            </w:pPr>
            <w:r>
              <w:rPr>
                <w:b w:val="0"/>
                <w:i w:val="0"/>
                <w:sz w:val="20"/>
              </w:rPr>
              <w:t>§ 263</w:t>
            </w:r>
          </w:p>
        </w:tc>
        <w:tc>
          <w:tcPr>
            <w:tcW w:type="dxa" w:w="3254"/>
            <w:tcMar>
              <w:top w:w="30" w:type="dxa"/>
              <w:bottom w:w="30" w:type="dxa"/>
              <w:left w:w="80" w:type="dxa"/>
              <w:right w:w="80" w:type="dxa"/>
            </w:tcMar>
          </w:tcPr>
          <w:p>
            <w:pPr>
              <w:spacing w:after="0" w:line="240" w:lineRule="auto"/>
            </w:pPr>
            <w:r>
              <w:rPr>
                <w:b/>
                <w:i w:val="0"/>
                <w:sz w:val="20"/>
              </w:rPr>
              <w:t>§ 2-613</w:t>
            </w:r>
          </w:p>
        </w:tc>
      </w:tr>
      <w:tr>
        <w:trPr>
          <w:cantSplit w:val="true"/>
        </w:trPr>
        <w:tc>
          <w:tcPr>
            <w:tcW w:type="dxa" w:w="5344"/>
            <w:tcMar>
              <w:top w:w="30" w:type="dxa"/>
              <w:bottom w:w="30" w:type="dxa"/>
              <w:left w:w="80" w:type="dxa"/>
              <w:right w:w="80" w:type="dxa"/>
            </w:tcMar>
            <w:shd w:val="clear" w:color="auto" w:fill="F2F6FB"/>
          </w:tcPr>
          <w:p>
            <w:pPr>
              <w:spacing w:after="0" w:line="240" w:lineRule="auto"/>
            </w:pPr>
            <w:r>
              <w:rPr>
                <w:b w:val="0"/>
                <w:i w:val="0"/>
                <w:sz w:val="20"/>
              </w:rPr>
              <w:t>Obstruction of delivery method</w:t>
            </w:r>
          </w:p>
        </w:tc>
        <w:tc>
          <w:tcPr>
            <w:tcW w:type="dxa" w:w="1914"/>
            <w:tcMar>
              <w:top w:w="30" w:type="dxa"/>
              <w:bottom w:w="30" w:type="dxa"/>
              <w:left w:w="80" w:type="dxa"/>
              <w:right w:w="80" w:type="dxa"/>
            </w:tcMar>
            <w:shd w:val="clear" w:color="auto" w:fill="F2F6FB"/>
          </w:tcPr>
          <w:p>
            <w:pPr>
              <w:spacing w:after="0" w:line="240" w:lineRule="auto"/>
            </w:pPr>
            <w:r>
              <w:rPr>
                <w:b w:val="0"/>
                <w:i w:val="0"/>
                <w:sz w:val="20"/>
              </w:rPr>
              <w:t>§ 270</w:t>
            </w:r>
          </w:p>
        </w:tc>
        <w:tc>
          <w:tcPr>
            <w:tcW w:type="dxa" w:w="3254"/>
            <w:tcMar>
              <w:top w:w="30" w:type="dxa"/>
              <w:bottom w:w="30" w:type="dxa"/>
              <w:left w:w="80" w:type="dxa"/>
              <w:right w:w="80" w:type="dxa"/>
            </w:tcMar>
            <w:shd w:val="clear" w:color="auto" w:fill="F2F6FB"/>
          </w:tcPr>
          <w:p>
            <w:pPr>
              <w:spacing w:after="0" w:line="240" w:lineRule="auto"/>
            </w:pPr>
            <w:r>
              <w:rPr>
                <w:b/>
                <w:i w:val="0"/>
                <w:sz w:val="20"/>
              </w:rPr>
              <w:t>§ 2-614(1)</w:t>
            </w:r>
          </w:p>
        </w:tc>
      </w:tr>
      <w:tr>
        <w:trPr>
          <w:cantSplit w:val="true"/>
        </w:trPr>
        <w:tc>
          <w:tcPr>
            <w:tcW w:type="dxa" w:w="5344"/>
            <w:tcMar>
              <w:top w:w="30" w:type="dxa"/>
              <w:bottom w:w="30" w:type="dxa"/>
              <w:left w:w="80" w:type="dxa"/>
              <w:right w:w="80" w:type="dxa"/>
            </w:tcMar>
          </w:tcPr>
          <w:p>
            <w:pPr>
              <w:spacing w:after="0" w:line="240" w:lineRule="auto"/>
            </w:pPr>
            <w:r>
              <w:rPr>
                <w:b w:val="0"/>
                <w:i w:val="0"/>
                <w:sz w:val="20"/>
              </w:rPr>
              <w:t>Obstruction of payment method</w:t>
            </w:r>
          </w:p>
        </w:tc>
        <w:tc>
          <w:tcPr>
            <w:tcW w:type="dxa" w:w="1914"/>
            <w:tcMar>
              <w:top w:w="30" w:type="dxa"/>
              <w:bottom w:w="30" w:type="dxa"/>
              <w:left w:w="80" w:type="dxa"/>
              <w:right w:w="80" w:type="dxa"/>
            </w:tcMar>
          </w:tcPr>
          <w:p>
            <w:pPr>
              <w:spacing w:after="0" w:line="240" w:lineRule="auto"/>
            </w:pPr>
            <w:r>
              <w:rPr>
                <w:b w:val="0"/>
                <w:i w:val="0"/>
                <w:sz w:val="20"/>
              </w:rPr>
              <w:t>—</w:t>
            </w:r>
          </w:p>
        </w:tc>
        <w:tc>
          <w:tcPr>
            <w:tcW w:type="dxa" w:w="3254"/>
            <w:tcMar>
              <w:top w:w="30" w:type="dxa"/>
              <w:bottom w:w="30" w:type="dxa"/>
              <w:left w:w="80" w:type="dxa"/>
              <w:right w:w="80" w:type="dxa"/>
            </w:tcMar>
          </w:tcPr>
          <w:p>
            <w:pPr>
              <w:spacing w:after="0" w:line="240" w:lineRule="auto"/>
            </w:pPr>
            <w:r>
              <w:rPr>
                <w:b/>
                <w:i w:val="0"/>
                <w:sz w:val="20"/>
              </w:rPr>
              <w:t>§ 2-614(2)</w:t>
            </w:r>
          </w:p>
        </w:tc>
      </w:tr>
      <w:tr>
        <w:trPr>
          <w:cantSplit w:val="true"/>
        </w:trPr>
        <w:tc>
          <w:tcPr>
            <w:tcW w:type="dxa" w:w="5344"/>
            <w:tcMar>
              <w:top w:w="30" w:type="dxa"/>
              <w:bottom w:w="30" w:type="dxa"/>
              <w:left w:w="80" w:type="dxa"/>
              <w:right w:w="80" w:type="dxa"/>
            </w:tcMar>
            <w:shd w:val="clear" w:color="auto" w:fill="F2F6FB"/>
          </w:tcPr>
          <w:p>
            <w:pPr>
              <w:spacing w:after="0" w:line="240" w:lineRule="auto"/>
            </w:pPr>
            <w:r>
              <w:rPr>
                <w:b w:val="0"/>
                <w:i w:val="0"/>
                <w:sz w:val="20"/>
              </w:rPr>
              <w:t>Damage to production facilities / interference with tender</w:t>
            </w:r>
          </w:p>
        </w:tc>
        <w:tc>
          <w:tcPr>
            <w:tcW w:type="dxa" w:w="1914"/>
            <w:tcMar>
              <w:top w:w="30" w:type="dxa"/>
              <w:bottom w:w="30" w:type="dxa"/>
              <w:left w:w="80" w:type="dxa"/>
              <w:right w:w="80" w:type="dxa"/>
            </w:tcMar>
            <w:shd w:val="clear" w:color="auto" w:fill="F2F6FB"/>
          </w:tcPr>
          <w:p>
            <w:pPr>
              <w:spacing w:after="0" w:line="240" w:lineRule="auto"/>
            </w:pPr>
            <w:r>
              <w:rPr>
                <w:b w:val="0"/>
                <w:i w:val="0"/>
                <w:sz w:val="20"/>
              </w:rPr>
              <w:t>§ 261</w:t>
            </w:r>
          </w:p>
        </w:tc>
        <w:tc>
          <w:tcPr>
            <w:tcW w:type="dxa" w:w="3254"/>
            <w:tcMar>
              <w:top w:w="30" w:type="dxa"/>
              <w:bottom w:w="30" w:type="dxa"/>
              <w:left w:w="80" w:type="dxa"/>
              <w:right w:w="80" w:type="dxa"/>
            </w:tcMar>
            <w:shd w:val="clear" w:color="auto" w:fill="F2F6FB"/>
          </w:tcPr>
          <w:p>
            <w:pPr>
              <w:spacing w:after="0" w:line="240" w:lineRule="auto"/>
            </w:pPr>
            <w:r>
              <w:rPr>
                <w:b/>
                <w:i w:val="0"/>
                <w:sz w:val="20"/>
              </w:rPr>
              <w:t>§ 2-615</w:t>
            </w:r>
            <w:r>
              <w:rPr>
                <w:b w:val="0"/>
                <w:i w:val="0"/>
                <w:sz w:val="20"/>
              </w:rPr>
              <w:t xml:space="preserve"> (seller) · </w:t>
            </w:r>
            <w:r>
              <w:rPr>
                <w:b/>
                <w:i w:val="0"/>
                <w:sz w:val="20"/>
              </w:rPr>
              <w:t>§ 2-616</w:t>
            </w:r>
            <w:r>
              <w:rPr>
                <w:b w:val="0"/>
                <w:i w:val="0"/>
                <w:sz w:val="20"/>
              </w:rPr>
              <w:t xml:space="preserve"> (buyer)</w:t>
            </w:r>
          </w:p>
        </w:tc>
      </w:tr>
      <w:tr>
        <w:trPr>
          <w:cantSplit w:val="true"/>
        </w:trPr>
        <w:tc>
          <w:tcPr>
            <w:tcW w:type="dxa" w:w="5344"/>
            <w:tcMar>
              <w:top w:w="30" w:type="dxa"/>
              <w:bottom w:w="30" w:type="dxa"/>
              <w:left w:w="80" w:type="dxa"/>
              <w:right w:w="80" w:type="dxa"/>
            </w:tcMar>
          </w:tcPr>
          <w:p>
            <w:pPr>
              <w:spacing w:after="0" w:line="240" w:lineRule="auto"/>
            </w:pPr>
            <w:r>
              <w:rPr>
                <w:b w:val="0"/>
                <w:i w:val="0"/>
                <w:sz w:val="20"/>
              </w:rPr>
              <w:t>Death of a party</w:t>
            </w:r>
          </w:p>
        </w:tc>
        <w:tc>
          <w:tcPr>
            <w:tcW w:type="dxa" w:w="1914"/>
            <w:tcMar>
              <w:top w:w="30" w:type="dxa"/>
              <w:bottom w:w="30" w:type="dxa"/>
              <w:left w:w="80" w:type="dxa"/>
              <w:right w:w="80" w:type="dxa"/>
            </w:tcMar>
          </w:tcPr>
          <w:p>
            <w:pPr>
              <w:spacing w:after="0" w:line="240" w:lineRule="auto"/>
            </w:pPr>
            <w:r>
              <w:rPr>
                <w:b w:val="0"/>
                <w:i w:val="0"/>
                <w:sz w:val="20"/>
              </w:rPr>
              <w:t>§ 262</w:t>
            </w:r>
          </w:p>
        </w:tc>
        <w:tc>
          <w:tcPr>
            <w:tcW w:type="dxa" w:w="3254"/>
            <w:tcMar>
              <w:top w:w="30" w:type="dxa"/>
              <w:bottom w:w="30" w:type="dxa"/>
              <w:left w:w="80" w:type="dxa"/>
              <w:right w:w="80" w:type="dxa"/>
            </w:tcMar>
          </w:tcPr>
          <w:p>
            <w:pPr>
              <w:spacing w:after="0" w:line="240" w:lineRule="auto"/>
            </w:pPr>
            <w:r>
              <w:rPr>
                <w:b w:val="0"/>
                <w:i w:val="0"/>
                <w:sz w:val="20"/>
              </w:rPr>
              <w:t>No rule</w:t>
            </w:r>
          </w:p>
        </w:tc>
      </w:tr>
      <w:tr>
        <w:trPr>
          <w:cantSplit w:val="true"/>
        </w:trPr>
        <w:tc>
          <w:tcPr>
            <w:tcW w:type="dxa" w:w="5344"/>
            <w:tcMar>
              <w:top w:w="30" w:type="dxa"/>
              <w:bottom w:w="30" w:type="dxa"/>
              <w:left w:w="80" w:type="dxa"/>
              <w:right w:w="80" w:type="dxa"/>
            </w:tcMar>
            <w:shd w:val="clear" w:color="auto" w:fill="F2F6FB"/>
          </w:tcPr>
          <w:p>
            <w:pPr>
              <w:spacing w:after="0" w:line="240" w:lineRule="auto"/>
            </w:pPr>
            <w:r>
              <w:rPr>
                <w:b w:val="0"/>
                <w:i w:val="0"/>
                <w:sz w:val="20"/>
              </w:rPr>
              <w:t>Intervening illegality</w:t>
            </w:r>
          </w:p>
        </w:tc>
        <w:tc>
          <w:tcPr>
            <w:tcW w:type="dxa" w:w="1914"/>
            <w:tcMar>
              <w:top w:w="30" w:type="dxa"/>
              <w:bottom w:w="30" w:type="dxa"/>
              <w:left w:w="80" w:type="dxa"/>
              <w:right w:w="80" w:type="dxa"/>
            </w:tcMar>
            <w:shd w:val="clear" w:color="auto" w:fill="F2F6FB"/>
          </w:tcPr>
          <w:p>
            <w:pPr>
              <w:spacing w:after="0" w:line="240" w:lineRule="auto"/>
            </w:pPr>
            <w:r>
              <w:rPr>
                <w:b w:val="0"/>
                <w:i w:val="0"/>
                <w:sz w:val="20"/>
              </w:rPr>
              <w:t>§ 264</w:t>
            </w:r>
          </w:p>
        </w:tc>
        <w:tc>
          <w:tcPr>
            <w:tcW w:type="dxa" w:w="3254"/>
            <w:tcMar>
              <w:top w:w="30" w:type="dxa"/>
              <w:bottom w:w="30" w:type="dxa"/>
              <w:left w:w="80" w:type="dxa"/>
              <w:right w:w="80" w:type="dxa"/>
            </w:tcMar>
            <w:shd w:val="clear" w:color="auto" w:fill="F2F6FB"/>
          </w:tcPr>
          <w:p>
            <w:pPr>
              <w:spacing w:after="0" w:line="240" w:lineRule="auto"/>
            </w:pPr>
            <w:r>
              <w:rPr>
                <w:b w:val="0"/>
                <w:i w:val="0"/>
                <w:sz w:val="20"/>
              </w:rPr>
              <w:t>No rule</w:t>
            </w:r>
          </w:p>
        </w:tc>
      </w:tr>
    </w:tbl>
    <w:p>
      <w:pPr>
        <w:spacing w:after="0" w:line="120" w:lineRule="exact"/>
      </w:pPr>
    </w:p>
    <w:p>
      <w:pPr>
        <w:pStyle w:val="ListBullet"/>
      </w:pPr>
      <w:r>
        <w:rPr>
          <w:b w:val="0"/>
          <w:i w:val="0"/>
        </w:rPr>
        <w:t xml:space="preserve">Contracts </w:t>
      </w:r>
      <w:r>
        <w:rPr>
          <w:b/>
          <w:i w:val="0"/>
        </w:rPr>
        <w:t>allocate risk</w:t>
      </w:r>
      <w:r>
        <w:rPr>
          <w:b w:val="0"/>
          <w:i w:val="0"/>
        </w:rPr>
        <w:t xml:space="preserve">; excuse is applied </w:t>
      </w:r>
      <w:r>
        <w:rPr>
          <w:b/>
          <w:i w:val="0"/>
        </w:rPr>
        <w:t>sparingly</w:t>
      </w:r>
      <w:r>
        <w:rPr>
          <w:b w:val="0"/>
          <w:i w:val="0"/>
        </w:rPr>
        <w:t xml:space="preserve">. Foreseeability matters most but isn't decisive. All of these yield to </w:t>
      </w:r>
      <w:r>
        <w:rPr>
          <w:b/>
          <w:i w:val="0"/>
        </w:rPr>
        <w:t>contrary agreement</w:t>
      </w:r>
      <w:r>
        <w:rPr>
          <w:b w:val="0"/>
          <w:i w:val="0"/>
        </w:rPr>
        <w:t xml:space="preserve"> (e.g., force majeure clauses). Excuse decides who pays </w:t>
      </w:r>
      <w:r>
        <w:rPr>
          <w:b/>
          <w:i w:val="0"/>
        </w:rPr>
        <w:t>damages</w:t>
      </w:r>
      <w:r>
        <w:rPr>
          <w:b w:val="0"/>
          <w:i w:val="0"/>
        </w:rPr>
        <w:t xml:space="preserve">; risk of loss decides who absorbs the </w:t>
      </w:r>
      <w:r>
        <w:rPr>
          <w:b/>
          <w:i w:val="0"/>
        </w:rPr>
        <w:t>goods' value</w:t>
      </w:r>
      <w:r>
        <w:rPr>
          <w:b w:val="0"/>
          <w:i w:val="0"/>
        </w:rPr>
        <w:t>.</w:t>
      </w: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 2-613 — casualty to identified goods:</w:t>
            </w:r>
            <w:r>
              <w:rPr>
                <w:b w:val="0"/>
                <w:i w:val="0"/>
                <w:sz w:val="21"/>
              </w:rPr>
              <w:t xml:space="preserve"> goods </w:t>
            </w:r>
            <w:r>
              <w:rPr>
                <w:b/>
                <w:i w:val="0"/>
                <w:sz w:val="21"/>
              </w:rPr>
              <w:t>identified when the contract was made</w:t>
            </w:r>
            <w:r>
              <w:rPr>
                <w:b w:val="0"/>
                <w:i w:val="0"/>
                <w:sz w:val="21"/>
              </w:rPr>
              <w:t xml:space="preserve">, destroyed </w:t>
            </w:r>
            <w:r>
              <w:rPr>
                <w:b/>
                <w:i w:val="0"/>
                <w:sz w:val="21"/>
              </w:rPr>
              <w:t>without fault of either party</w:t>
            </w:r>
            <w:r>
              <w:rPr>
                <w:b w:val="0"/>
                <w:i w:val="0"/>
                <w:sz w:val="21"/>
              </w:rPr>
              <w:t xml:space="preserve"> (negligence counts as fault) </w:t>
            </w:r>
            <w:r>
              <w:rPr>
                <w:b/>
                <w:i w:val="0"/>
                <w:sz w:val="21"/>
              </w:rPr>
              <w:t>before risk passes</w:t>
            </w:r>
            <w:r>
              <w:rPr>
                <w:b w:val="0"/>
                <w:i w:val="0"/>
                <w:sz w:val="21"/>
              </w:rPr>
              <w:t xml:space="preserve"> → </w:t>
            </w:r>
            <w:r>
              <w:rPr>
                <w:b/>
                <w:i w:val="0"/>
                <w:sz w:val="21"/>
              </w:rPr>
              <w:t>total loss: contract avoided</w:t>
            </w:r>
            <w:r>
              <w:rPr>
                <w:b w:val="0"/>
                <w:i w:val="0"/>
                <w:sz w:val="21"/>
              </w:rPr>
              <w:t xml:space="preserve">; </w:t>
            </w:r>
            <w:r>
              <w:rPr>
                <w:b/>
                <w:i w:val="0"/>
                <w:sz w:val="21"/>
              </w:rPr>
              <w:t>partial loss/deterioration:</w:t>
            </w:r>
            <w:r>
              <w:rPr>
                <w:b w:val="0"/>
                <w:i w:val="0"/>
                <w:sz w:val="21"/>
              </w:rPr>
              <w:t xml:space="preserve"> buyer may </w:t>
            </w:r>
            <w:r>
              <w:rPr>
                <w:b/>
                <w:i w:val="0"/>
                <w:sz w:val="21"/>
              </w:rPr>
              <w:t>inspect</w:t>
            </w:r>
            <w:r>
              <w:rPr>
                <w:b w:val="0"/>
                <w:i w:val="0"/>
                <w:sz w:val="21"/>
              </w:rPr>
              <w:t xml:space="preserve"> and either </w:t>
            </w:r>
            <w:r>
              <w:rPr>
                <w:b/>
                <w:i w:val="0"/>
                <w:sz w:val="21"/>
              </w:rPr>
              <w:t>avoid</w:t>
            </w:r>
            <w:r>
              <w:rPr>
                <w:b w:val="0"/>
                <w:i w:val="0"/>
                <w:sz w:val="21"/>
              </w:rPr>
              <w:t xml:space="preserve"> or </w:t>
            </w:r>
            <w:r>
              <w:rPr>
                <w:b/>
                <w:i w:val="0"/>
                <w:sz w:val="21"/>
              </w:rPr>
              <w:t>accept with a price allowance</w:t>
            </w:r>
            <w:r>
              <w:rPr>
                <w:b w:val="0"/>
                <w:i w:val="0"/>
                <w:sz w:val="21"/>
              </w:rPr>
              <w:t xml:space="preserve"> (no further claim). </w:t>
            </w:r>
            <w:r>
              <w:rPr>
                <w:b/>
                <w:i w:val="0"/>
                <w:sz w:val="21"/>
              </w:rPr>
              <w:t>Fungible</w:t>
            </w:r>
            <w:r>
              <w:rPr>
                <w:b w:val="0"/>
                <w:i w:val="0"/>
                <w:sz w:val="21"/>
              </w:rPr>
              <w:t xml:space="preserve"> goods → </w:t>
            </w:r>
            <w:r>
              <w:rPr>
                <w:b/>
                <w:i w:val="0"/>
                <w:sz w:val="21"/>
              </w:rPr>
              <w:t>no excuse</w:t>
            </w:r>
            <w:r>
              <w:rPr>
                <w:b w:val="0"/>
                <w:i w:val="0"/>
                <w:sz w:val="21"/>
              </w:rPr>
              <w:t>.</w:t>
            </w:r>
          </w:p>
        </w:tc>
      </w:tr>
    </w:tbl>
    <w:p>
      <w:pPr>
        <w:spacing w:after="0" w:line="10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 2-614 — substituted performance:</w:t>
            </w:r>
            <w:r>
              <w:rPr>
                <w:b w:val="0"/>
                <w:i w:val="0"/>
                <w:sz w:val="21"/>
              </w:rPr>
              <w:t xml:space="preserve"> if agreed loading/berthing facilities, carrier type, or manner of delivery becomes </w:t>
            </w:r>
            <w:r>
              <w:rPr>
                <w:b/>
                <w:i w:val="0"/>
                <w:sz w:val="21"/>
              </w:rPr>
              <w:t>commercially impracticable</w:t>
            </w:r>
            <w:r>
              <w:rPr>
                <w:b w:val="0"/>
                <w:i w:val="0"/>
                <w:sz w:val="21"/>
              </w:rPr>
              <w:t xml:space="preserve"> without fault, a </w:t>
            </w:r>
            <w:r>
              <w:rPr>
                <w:b/>
                <w:i w:val="0"/>
                <w:sz w:val="21"/>
              </w:rPr>
              <w:t>commercially reasonable substitute must be tendered and accepted</w:t>
            </w:r>
            <w:r>
              <w:rPr>
                <w:b w:val="0"/>
                <w:i w:val="0"/>
                <w:sz w:val="21"/>
              </w:rPr>
              <w:t xml:space="preserve">. If the agreed </w:t>
            </w:r>
            <w:r>
              <w:rPr>
                <w:b/>
                <w:i w:val="0"/>
                <w:sz w:val="21"/>
              </w:rPr>
              <w:t>payment method fails due to governmental regulation</w:t>
            </w:r>
            <w:r>
              <w:rPr>
                <w:b w:val="0"/>
                <w:i w:val="0"/>
                <w:sz w:val="21"/>
              </w:rPr>
              <w:t xml:space="preserve">, seller may </w:t>
            </w:r>
            <w:r>
              <w:rPr>
                <w:b/>
                <w:i w:val="0"/>
                <w:sz w:val="21"/>
              </w:rPr>
              <w:t>withhold delivery</w:t>
            </w:r>
            <w:r>
              <w:rPr>
                <w:b w:val="0"/>
                <w:i w:val="0"/>
                <w:sz w:val="21"/>
              </w:rPr>
              <w:t xml:space="preserve"> unless buyer offers a </w:t>
            </w:r>
            <w:r>
              <w:rPr>
                <w:b/>
                <w:i w:val="0"/>
                <w:sz w:val="21"/>
              </w:rPr>
              <w:t>substantially equivalent</w:t>
            </w:r>
            <w:r>
              <w:rPr>
                <w:b w:val="0"/>
                <w:i w:val="0"/>
                <w:sz w:val="21"/>
              </w:rPr>
              <w:t xml:space="preserve"> payment method.</w:t>
            </w:r>
          </w:p>
        </w:tc>
      </w:tr>
    </w:tbl>
    <w:p>
      <w:pPr>
        <w:spacing w:after="0" w:line="10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EAF1FB"/>
            <w:tcMar>
              <w:top w:w="70" w:type="dxa"/>
              <w:bottom w:w="70" w:type="dxa"/>
              <w:left w:w="140" w:type="dxa"/>
              <w:right w:w="120" w:type="dxa"/>
            </w:tcMar>
            <w:tcBorders>
              <w:left w:val="single" w:sz="30" w:space="0" w:color="2E74B5"/>
            </w:tcBorders>
          </w:tcPr>
          <w:p>
            <w:pPr>
              <w:spacing w:after="30" w:line="240" w:lineRule="auto"/>
            </w:pPr>
            <w:r>
              <w:rPr>
                <w:b/>
                <w:color w:val="2E74B5"/>
                <w:sz w:val="15"/>
              </w:rPr>
              <w:t xml:space="preserve">RULE   </w:t>
            </w:r>
            <w:r>
              <w:rPr>
                <w:b/>
                <w:i w:val="0"/>
                <w:sz w:val="21"/>
              </w:rPr>
              <w:t>§ 2-615 — impracticability (seller):</w:t>
            </w:r>
            <w:r>
              <w:rPr>
                <w:b w:val="0"/>
                <w:i w:val="0"/>
                <w:sz w:val="21"/>
              </w:rPr>
              <w:t xml:space="preserve"> delay or non-delivery isn't a breach if performance became </w:t>
            </w:r>
            <w:r>
              <w:rPr>
                <w:b/>
                <w:i w:val="0"/>
                <w:sz w:val="21"/>
              </w:rPr>
              <w:t>impracticable</w:t>
            </w:r>
            <w:r>
              <w:rPr>
                <w:b w:val="0"/>
                <w:i w:val="0"/>
                <w:sz w:val="21"/>
              </w:rPr>
              <w:t xml:space="preserve"> due to a contingency whose </w:t>
            </w:r>
            <w:r>
              <w:rPr>
                <w:b/>
                <w:i w:val="0"/>
                <w:sz w:val="21"/>
              </w:rPr>
              <w:t>non-occurrence was a basic assumption</w:t>
            </w:r>
            <w:r>
              <w:rPr>
                <w:b w:val="0"/>
                <w:i w:val="0"/>
                <w:sz w:val="21"/>
              </w:rPr>
              <w:t xml:space="preserve"> (or good-faith compliance with government regulation) — </w:t>
            </w:r>
            <w:r>
              <w:rPr>
                <w:b/>
                <w:i w:val="0"/>
                <w:sz w:val="21"/>
              </w:rPr>
              <w:t>but</w:t>
            </w:r>
            <w:r>
              <w:rPr>
                <w:b w:val="0"/>
                <w:i w:val="0"/>
                <w:sz w:val="21"/>
              </w:rPr>
              <w:t xml:space="preserve"> seller must </w:t>
            </w:r>
            <w:r>
              <w:rPr>
                <w:b/>
                <w:i w:val="0"/>
                <w:sz w:val="21"/>
              </w:rPr>
              <w:t>allocate fairly</w:t>
            </w:r>
            <w:r>
              <w:rPr>
                <w:b w:val="0"/>
                <w:i w:val="0"/>
                <w:sz w:val="21"/>
              </w:rPr>
              <w:t xml:space="preserve"> among customers if capacity is partly affected and </w:t>
            </w:r>
            <w:r>
              <w:rPr>
                <w:b/>
                <w:i w:val="0"/>
                <w:sz w:val="21"/>
              </w:rPr>
              <w:t>seasonably notify</w:t>
            </w:r>
            <w:r>
              <w:rPr>
                <w:b w:val="0"/>
                <w:i w:val="0"/>
                <w:sz w:val="21"/>
              </w:rPr>
              <w:t xml:space="preserve"> buyers. </w:t>
            </w:r>
            <w:r>
              <w:rPr>
                <w:b/>
                <w:i w:val="0"/>
                <w:sz w:val="21"/>
              </w:rPr>
              <w:t>Increased cost or market swings alone don't excuse</w:t>
            </w:r>
            <w:r>
              <w:rPr>
                <w:b w:val="0"/>
                <w:i w:val="0"/>
                <w:sz w:val="21"/>
              </w:rPr>
              <w:t xml:space="preserve"> (cmt. 4); </w:t>
            </w:r>
            <w:r>
              <w:rPr>
                <w:b/>
                <w:i w:val="0"/>
                <w:sz w:val="21"/>
              </w:rPr>
              <w:t>war, embargo, crop failure, shutdown of major supply sources</w:t>
            </w:r>
            <w:r>
              <w:rPr>
                <w:b w:val="0"/>
                <w:i w:val="0"/>
                <w:sz w:val="21"/>
              </w:rPr>
              <w:t xml:space="preserve"> can. </w:t>
            </w:r>
            <w:r>
              <w:rPr>
                <w:b/>
                <w:i w:val="0"/>
                <w:sz w:val="21"/>
              </w:rPr>
              <w:t>§ 2-616:</w:t>
            </w:r>
            <w:r>
              <w:rPr>
                <w:b w:val="0"/>
                <w:i w:val="0"/>
                <w:sz w:val="21"/>
              </w:rPr>
              <w:t xml:space="preserve"> buyer may </w:t>
            </w:r>
            <w:r>
              <w:rPr>
                <w:b/>
                <w:i w:val="0"/>
                <w:sz w:val="21"/>
              </w:rPr>
              <w:t>terminate</w:t>
            </w:r>
            <w:r>
              <w:rPr>
                <w:b w:val="0"/>
                <w:i w:val="0"/>
                <w:sz w:val="21"/>
              </w:rPr>
              <w:t xml:space="preserve"> or </w:t>
            </w:r>
            <w:r>
              <w:rPr>
                <w:b/>
                <w:i w:val="0"/>
                <w:sz w:val="21"/>
              </w:rPr>
              <w:t>take its quota</w:t>
            </w:r>
            <w:r>
              <w:rPr>
                <w:b w:val="0"/>
                <w:i w:val="0"/>
                <w:sz w:val="21"/>
              </w:rPr>
              <w:t xml:space="preserve">; silence for </w:t>
            </w:r>
            <w:r>
              <w:rPr>
                <w:b/>
                <w:i w:val="0"/>
                <w:sz w:val="21"/>
              </w:rPr>
              <w:t>30 days</w:t>
            </w:r>
            <w:r>
              <w:rPr>
                <w:b w:val="0"/>
                <w:i w:val="0"/>
                <w:sz w:val="21"/>
              </w:rPr>
              <w:t xml:space="preserve"> = contract lapses as to affected deliveries.</w:t>
            </w:r>
          </w:p>
        </w:tc>
      </w:tr>
    </w:tbl>
    <w:p>
      <w:pPr>
        <w:spacing w:after="0" w:line="100" w:lineRule="exact"/>
      </w:pPr>
    </w:p>
    <w:p>
      <w:pPr>
        <w:pStyle w:val="ListBullet"/>
      </w:pPr>
      <w:r>
        <w:rPr>
          <w:b w:val="0"/>
          <w:i w:val="0"/>
        </w:rPr>
        <w:t xml:space="preserve">Buyer's excuse: common-law frustration of purpose (§ 1-103(b); R2d § 265); § 2-615 cmt. 9 — a supply contract tied to a specific construction venture may excuse the buyer. </w:t>
      </w:r>
      <w:r>
        <w:rPr>
          <w:b/>
          <w:i w:val="0"/>
        </w:rPr>
        <w:t xml:space="preserve">NIPSCO v. Carbon County Coal (7th Cir. 1986, Posner)</w:t>
      </w:r>
      <w:r>
        <w:rPr>
          <w:b w:val="0"/>
          <w:i w:val="0"/>
        </w:rPr>
        <w:t xml:space="preserve"> (note case; the casebook quotes it, p. 256): a </w:t>
      </w:r>
      <w:r>
        <w:rPr>
          <w:b/>
          <w:i w:val="0"/>
        </w:rPr>
        <w:t xml:space="preserve">fixed-price</w:t>
      </w:r>
      <w:r>
        <w:rPr>
          <w:b w:val="0"/>
          <w:i w:val="0"/>
        </w:rPr>
        <w:t xml:space="preserve"> contract (there, with a price floor and escalation) assigns the risk of market </w:t>
      </w:r>
      <w:r>
        <w:rPr>
          <w:b/>
          <w:i w:val="0"/>
        </w:rPr>
        <w:t xml:space="preserve">increases to the seller</w:t>
      </w:r>
      <w:r>
        <w:rPr>
          <w:b w:val="0"/>
          <w:i w:val="0"/>
        </w:rPr>
        <w:t xml:space="preserve"> and </w:t>
      </w:r>
      <w:r>
        <w:rPr>
          <w:b/>
          <w:i w:val="0"/>
        </w:rPr>
        <w:t xml:space="preserve">decreases to the buyer</w:t>
      </w:r>
      <w:r>
        <w:rPr>
          <w:b w:val="0"/>
          <w:i w:val="0"/>
        </w:rPr>
        <w:t xml:space="preserve">; a buyer that misforecasts the market "has only himself to blame" and can't walk away when costs drop steeply. </w:t>
      </w:r>
      <w:r>
        <w:rPr>
          <w:b w:val="0"/>
          <w:i/>
          <w:color w:val="64748B"/>
        </w:rPr>
        <w:t xml:space="preserve">Outside class materials: NIPSCO was an Indiana electric utility locked into a 20-year coal contract; regulators wouldn't let it pass fuel costs through when cheaper power was available.</w:t>
      </w: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4369"/>
        <w:gridCol w:w="6142"/>
      </w:tblGrid>
      <w:tr>
        <w:trPr>
          <w:tblHeader w:val="true"/>
        </w:trPr>
        <w:tc>
          <w:tcPr>
            <w:tcW w:type="dxa" w:w="4370"/>
            <w:shd w:val="clear" w:color="auto" w:fill="1F3A5F"/>
            <w:tcMar>
              <w:top w:w="40" w:type="dxa"/>
              <w:bottom w:w="40" w:type="dxa"/>
              <w:left w:w="80" w:type="dxa"/>
              <w:right w:w="80" w:type="dxa"/>
            </w:tcMar>
          </w:tcPr>
          <w:p>
            <w:pPr>
              <w:spacing w:after="0"/>
            </w:pPr>
            <w:r>
              <w:rPr>
                <w:b/>
                <w:i w:val="0"/>
                <w:color w:val="FFFFFF"/>
                <w:sz w:val="20"/>
              </w:rPr>
              <w:t>Problem</w:t>
            </w:r>
          </w:p>
        </w:tc>
        <w:tc>
          <w:tcPr>
            <w:tcW w:type="dxa" w:w="6142"/>
            <w:shd w:val="clear" w:color="auto" w:fill="1F3A5F"/>
            <w:tcMar>
              <w:top w:w="40" w:type="dxa"/>
              <w:bottom w:w="40" w:type="dxa"/>
              <w:left w:w="80" w:type="dxa"/>
              <w:right w:w="80" w:type="dxa"/>
            </w:tcMar>
          </w:tcPr>
          <w:p>
            <w:pPr>
              <w:spacing w:after="0"/>
            </w:pPr>
            <w:r>
              <w:rPr>
                <w:b/>
                <w:i w:val="0"/>
                <w:color w:val="FFFFFF"/>
                <w:sz w:val="20"/>
              </w:rPr>
              <w:t>Answer</w:t>
            </w:r>
          </w:p>
        </w:tc>
      </w:tr>
      <w:tr>
        <w:trPr>
          <w:cantSplit w:val="true"/>
        </w:trPr>
        <w:tc>
          <w:tcPr>
            <w:tcW w:type="dxa" w:w="4370"/>
            <w:tcMar>
              <w:top w:w="30" w:type="dxa"/>
              <w:bottom w:w="30" w:type="dxa"/>
              <w:left w:w="80" w:type="dxa"/>
              <w:right w:w="80" w:type="dxa"/>
            </w:tcMar>
          </w:tcPr>
          <w:p>
            <w:pPr>
              <w:spacing w:after="0" w:line="240" w:lineRule="auto"/>
            </w:pPr>
            <w:r>
              <w:rPr>
                <w:b/>
                <w:i w:val="0"/>
                <w:sz w:val="20"/>
              </w:rPr>
              <w:t>6-6(a)</w:t>
            </w:r>
            <w:r>
              <w:rPr>
                <w:b w:val="0"/>
                <w:i w:val="0"/>
                <w:sz w:val="20"/>
              </w:rPr>
              <w:t xml:space="preserve"> Art dealer's Picasso etching burns overnight before buyer's pickup</w:t>
            </w:r>
          </w:p>
        </w:tc>
        <w:tc>
          <w:tcPr>
            <w:tcW w:type="dxa" w:w="6142"/>
            <w:tcMar>
              <w:top w:w="30" w:type="dxa"/>
              <w:bottom w:w="30" w:type="dxa"/>
              <w:left w:w="80" w:type="dxa"/>
              <w:right w:w="80" w:type="dxa"/>
            </w:tcMar>
          </w:tcPr>
          <w:p>
            <w:pPr>
              <w:spacing w:after="0" w:line="240" w:lineRule="auto"/>
            </w:pPr>
            <w:r>
              <w:rPr>
                <w:b w:val="0"/>
                <w:i w:val="0"/>
                <w:sz w:val="20"/>
              </w:rPr>
              <w:t xml:space="preserve">Merchant seller → risk not passed (no receipt) → identified goods, total loss → </w:t>
            </w:r>
            <w:r>
              <w:rPr>
                <w:b/>
                <w:i w:val="0"/>
                <w:sz w:val="20"/>
              </w:rPr>
              <w:t>avoided</w:t>
            </w:r>
            <w:r>
              <w:rPr>
                <w:b w:val="0"/>
                <w:i w:val="0"/>
                <w:sz w:val="20"/>
              </w:rPr>
              <w:t xml:space="preserve"> — </w:t>
            </w:r>
            <w:r>
              <w:rPr>
                <w:b/>
                <w:i w:val="0"/>
                <w:sz w:val="20"/>
              </w:rPr>
              <w:t>if no fault</w:t>
            </w:r>
            <w:r>
              <w:rPr>
                <w:b w:val="0"/>
                <w:i w:val="0"/>
                <w:sz w:val="20"/>
              </w:rPr>
              <w:t xml:space="preserve">: a neglected coffee pot (negligence) = </w:t>
            </w:r>
            <w:r>
              <w:rPr>
                <w:b/>
                <w:i w:val="0"/>
                <w:sz w:val="20"/>
              </w:rPr>
              <w:t>seller breaches</w:t>
            </w:r>
            <w:r>
              <w:rPr>
                <w:b w:val="0"/>
                <w:i w:val="0"/>
                <w:sz w:val="20"/>
              </w:rPr>
              <w:t>; lightning = excused</w:t>
            </w:r>
          </w:p>
        </w:tc>
      </w:tr>
      <w:tr>
        <w:trPr>
          <w:cantSplit w:val="true"/>
        </w:trPr>
        <w:tc>
          <w:tcPr>
            <w:tcW w:type="dxa" w:w="4370"/>
            <w:tcMar>
              <w:top w:w="30" w:type="dxa"/>
              <w:bottom w:w="30" w:type="dxa"/>
              <w:left w:w="80" w:type="dxa"/>
              <w:right w:w="80" w:type="dxa"/>
            </w:tcMar>
            <w:shd w:val="clear" w:color="auto" w:fill="F2F6FB"/>
          </w:tcPr>
          <w:p>
            <w:pPr>
              <w:spacing w:after="0" w:line="240" w:lineRule="auto"/>
            </w:pPr>
            <w:r>
              <w:rPr>
                <w:b/>
                <w:i w:val="0"/>
                <w:sz w:val="20"/>
              </w:rPr>
              <w:t>6-6(b)</w:t>
            </w:r>
            <w:r>
              <w:rPr>
                <w:b w:val="0"/>
                <w:i w:val="0"/>
                <w:sz w:val="20"/>
              </w:rPr>
              <w:t xml:space="preserve"> Etching was stolen; true owner reclaims it</w:t>
            </w:r>
          </w:p>
        </w:tc>
        <w:tc>
          <w:tcPr>
            <w:tcW w:type="dxa" w:w="6142"/>
            <w:tcMar>
              <w:top w:w="30" w:type="dxa"/>
              <w:bottom w:w="30" w:type="dxa"/>
              <w:left w:w="80" w:type="dxa"/>
              <w:right w:w="80" w:type="dxa"/>
            </w:tcMar>
            <w:shd w:val="clear" w:color="auto" w:fill="F2F6FB"/>
          </w:tcPr>
          <w:p>
            <w:pPr>
              <w:spacing w:after="0" w:line="240" w:lineRule="auto"/>
            </w:pPr>
            <w:r>
              <w:rPr>
                <w:b/>
                <w:i w:val="0"/>
                <w:sz w:val="20"/>
              </w:rPr>
              <w:t>Not a casualty</w:t>
            </w:r>
            <w:r>
              <w:rPr>
                <w:b w:val="0"/>
                <w:i w:val="0"/>
                <w:sz w:val="20"/>
              </w:rPr>
              <w:t xml:space="preserve"> — a </w:t>
            </w:r>
            <w:r>
              <w:rPr>
                <w:b/>
                <w:i w:val="0"/>
                <w:sz w:val="20"/>
              </w:rPr>
              <w:t>title</w:t>
            </w:r>
            <w:r>
              <w:rPr>
                <w:b w:val="0"/>
                <w:i w:val="0"/>
                <w:sz w:val="20"/>
              </w:rPr>
              <w:t xml:space="preserve"> failure → seller </w:t>
            </w:r>
            <w:r>
              <w:rPr>
                <w:b/>
                <w:i w:val="0"/>
                <w:sz w:val="20"/>
              </w:rPr>
              <w:t>breaches</w:t>
            </w:r>
            <w:r>
              <w:rPr>
                <w:b w:val="0"/>
                <w:i w:val="0"/>
                <w:sz w:val="20"/>
              </w:rPr>
              <w:t xml:space="preserve"> (no § 2-613 excuse)</w:t>
            </w:r>
          </w:p>
        </w:tc>
      </w:tr>
      <w:tr>
        <w:trPr>
          <w:cantSplit w:val="true"/>
        </w:trPr>
        <w:tc>
          <w:tcPr>
            <w:tcW w:type="dxa" w:w="4370"/>
            <w:tcMar>
              <w:top w:w="30" w:type="dxa"/>
              <w:bottom w:w="30" w:type="dxa"/>
              <w:left w:w="80" w:type="dxa"/>
              <w:right w:w="80" w:type="dxa"/>
            </w:tcMar>
          </w:tcPr>
          <w:p>
            <w:pPr>
              <w:spacing w:after="0" w:line="240" w:lineRule="auto"/>
            </w:pPr>
            <w:r>
              <w:rPr>
                <w:b/>
                <w:i w:val="0"/>
                <w:sz w:val="20"/>
              </w:rPr>
              <w:t>6-6(c)</w:t>
            </w:r>
            <w:r>
              <w:rPr>
                <w:b w:val="0"/>
                <w:i w:val="0"/>
                <w:sz w:val="20"/>
              </w:rPr>
              <w:t xml:space="preserve"> Print #10 water-damaged; seller has #12</w:t>
            </w:r>
          </w:p>
        </w:tc>
        <w:tc>
          <w:tcPr>
            <w:tcW w:type="dxa" w:w="6142"/>
            <w:tcMar>
              <w:top w:w="30" w:type="dxa"/>
              <w:bottom w:w="30" w:type="dxa"/>
              <w:left w:w="80" w:type="dxa"/>
              <w:right w:w="80" w:type="dxa"/>
            </w:tcMar>
          </w:tcPr>
          <w:p>
            <w:pPr>
              <w:spacing w:after="0" w:line="240" w:lineRule="auto"/>
            </w:pPr>
            <w:r>
              <w:rPr>
                <w:b w:val="0"/>
                <w:i w:val="0"/>
                <w:sz w:val="20"/>
              </w:rPr>
              <w:t xml:space="preserve">If #10 specifically → § 2-613(b): buyer </w:t>
            </w:r>
            <w:r>
              <w:rPr>
                <w:b/>
                <w:i w:val="0"/>
                <w:sz w:val="20"/>
              </w:rPr>
              <w:t>avoids or accepts with allowance</w:t>
            </w:r>
            <w:r>
              <w:rPr>
                <w:b w:val="0"/>
                <w:i w:val="0"/>
                <w:sz w:val="20"/>
              </w:rPr>
              <w:t xml:space="preserve">; if prints are interchangeable → </w:t>
            </w:r>
            <w:r>
              <w:rPr>
                <w:b/>
                <w:i w:val="0"/>
                <w:sz w:val="20"/>
              </w:rPr>
              <w:t>must deliver #12</w:t>
            </w:r>
          </w:p>
        </w:tc>
      </w:tr>
      <w:tr>
        <w:trPr>
          <w:cantSplit w:val="true"/>
        </w:trPr>
        <w:tc>
          <w:tcPr>
            <w:tcW w:type="dxa" w:w="4370"/>
            <w:tcMar>
              <w:top w:w="30" w:type="dxa"/>
              <w:bottom w:w="30" w:type="dxa"/>
              <w:left w:w="80" w:type="dxa"/>
              <w:right w:w="80" w:type="dxa"/>
            </w:tcMar>
            <w:shd w:val="clear" w:color="auto" w:fill="F2F6FB"/>
          </w:tcPr>
          <w:p>
            <w:pPr>
              <w:spacing w:after="0" w:line="240" w:lineRule="auto"/>
            </w:pPr>
            <w:r>
              <w:rPr>
                <w:b/>
                <w:i w:val="0"/>
                <w:sz w:val="20"/>
              </w:rPr>
              <w:t>6-6(d)</w:t>
            </w:r>
            <w:r>
              <w:rPr>
                <w:b w:val="0"/>
                <w:i w:val="0"/>
                <w:sz w:val="20"/>
              </w:rPr>
              <w:t xml:space="preserve"> Buyer's options under § 2-613</w:t>
            </w:r>
          </w:p>
        </w:tc>
        <w:tc>
          <w:tcPr>
            <w:tcW w:type="dxa" w:w="6142"/>
            <w:tcMar>
              <w:top w:w="30" w:type="dxa"/>
              <w:bottom w:w="30" w:type="dxa"/>
              <w:left w:w="80" w:type="dxa"/>
              <w:right w:w="80" w:type="dxa"/>
            </w:tcMar>
            <w:shd w:val="clear" w:color="auto" w:fill="F2F6FB"/>
          </w:tcPr>
          <w:p>
            <w:pPr>
              <w:spacing w:after="0" w:line="240" w:lineRule="auto"/>
            </w:pPr>
            <w:r>
              <w:rPr>
                <w:b w:val="0"/>
                <w:i w:val="0"/>
                <w:sz w:val="20"/>
              </w:rPr>
              <w:t>Total loss → avoided (refund); partial → inspect, then avoid or accept with allowance</w:t>
            </w:r>
          </w:p>
        </w:tc>
      </w:tr>
      <w:tr>
        <w:trPr>
          <w:cantSplit w:val="true"/>
        </w:trPr>
        <w:tc>
          <w:tcPr>
            <w:tcW w:type="dxa" w:w="4370"/>
            <w:tcMar>
              <w:top w:w="30" w:type="dxa"/>
              <w:bottom w:w="30" w:type="dxa"/>
              <w:left w:w="80" w:type="dxa"/>
              <w:right w:w="80" w:type="dxa"/>
            </w:tcMar>
          </w:tcPr>
          <w:p>
            <w:pPr>
              <w:spacing w:after="0" w:line="240" w:lineRule="auto"/>
            </w:pPr>
            <w:r>
              <w:rPr>
                <w:b/>
                <w:i w:val="0"/>
                <w:sz w:val="20"/>
              </w:rPr>
              <w:t>6-8(a)</w:t>
            </w:r>
            <w:r>
              <w:rPr>
                <w:b w:val="0"/>
                <w:i w:val="0"/>
                <w:sz w:val="20"/>
              </w:rPr>
              <w:t xml:space="preserve"> Town cancels the sewer project; fittings have no other use</w:t>
            </w:r>
          </w:p>
        </w:tc>
        <w:tc>
          <w:tcPr>
            <w:tcW w:type="dxa" w:w="6142"/>
            <w:tcMar>
              <w:top w:w="30" w:type="dxa"/>
              <w:bottom w:w="30" w:type="dxa"/>
              <w:left w:w="80" w:type="dxa"/>
              <w:right w:w="80" w:type="dxa"/>
            </w:tcMar>
          </w:tcPr>
          <w:p>
            <w:pPr>
              <w:spacing w:after="0" w:line="240" w:lineRule="auto"/>
            </w:pPr>
            <w:r>
              <w:rPr>
                <w:b/>
                <w:i w:val="0"/>
                <w:sz w:val="20"/>
              </w:rPr>
              <w:t>Frustration of purpose</w:t>
            </w:r>
            <w:r>
              <w:rPr>
                <w:b w:val="0"/>
                <w:i w:val="0"/>
                <w:sz w:val="20"/>
              </w:rPr>
              <w:t xml:space="preserve"> likely (shared basic assumption; § 2-615 cmt. 9)</w:t>
            </w:r>
          </w:p>
        </w:tc>
      </w:tr>
      <w:tr>
        <w:trPr>
          <w:cantSplit w:val="true"/>
        </w:trPr>
        <w:tc>
          <w:tcPr>
            <w:tcW w:type="dxa" w:w="4370"/>
            <w:tcMar>
              <w:top w:w="30" w:type="dxa"/>
              <w:bottom w:w="30" w:type="dxa"/>
              <w:left w:w="80" w:type="dxa"/>
              <w:right w:w="80" w:type="dxa"/>
            </w:tcMar>
            <w:shd w:val="clear" w:color="auto" w:fill="F2F6FB"/>
          </w:tcPr>
          <w:p>
            <w:pPr>
              <w:spacing w:after="0" w:line="240" w:lineRule="auto"/>
            </w:pPr>
            <w:r>
              <w:rPr>
                <w:b/>
                <w:i w:val="0"/>
                <w:sz w:val="20"/>
              </w:rPr>
              <w:t>6-8(b)</w:t>
            </w:r>
            <w:r>
              <w:rPr>
                <w:b w:val="0"/>
                <w:i w:val="0"/>
                <w:sz w:val="20"/>
              </w:rPr>
              <w:t xml:space="preserve"> Buyer's bank seized, account frozen</w:t>
            </w:r>
          </w:p>
        </w:tc>
        <w:tc>
          <w:tcPr>
            <w:tcW w:type="dxa" w:w="6142"/>
            <w:tcMar>
              <w:top w:w="30" w:type="dxa"/>
              <w:bottom w:w="30" w:type="dxa"/>
              <w:left w:w="80" w:type="dxa"/>
              <w:right w:w="80" w:type="dxa"/>
            </w:tcMar>
            <w:shd w:val="clear" w:color="auto" w:fill="F2F6FB"/>
          </w:tcPr>
          <w:p>
            <w:pPr>
              <w:spacing w:after="0" w:line="240" w:lineRule="auto"/>
            </w:pPr>
            <w:r>
              <w:rPr>
                <w:b/>
                <w:i w:val="0"/>
                <w:sz w:val="20"/>
              </w:rPr>
              <w:t>Not excused</w:t>
            </w:r>
            <w:r>
              <w:rPr>
                <w:b w:val="0"/>
                <w:i w:val="0"/>
                <w:sz w:val="20"/>
              </w:rPr>
              <w:t xml:space="preserve"> — § 2-614(2): buyer must provide a </w:t>
            </w:r>
            <w:r>
              <w:rPr>
                <w:b/>
                <w:i w:val="0"/>
                <w:sz w:val="20"/>
              </w:rPr>
              <w:t>substantially equivalent</w:t>
            </w:r>
            <w:r>
              <w:rPr>
                <w:b w:val="0"/>
                <w:i w:val="0"/>
                <w:sz w:val="20"/>
              </w:rPr>
              <w:t xml:space="preserve"> payment method</w:t>
            </w:r>
          </w:p>
        </w:tc>
      </w:tr>
    </w:tbl>
    <w:p>
      <w:pPr>
        <w:spacing w:after="0" w:line="12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rPr>
          <w:cantSplit w:val="true"/>
        </w:trPr>
        <w:tc>
          <w:tcPr>
            <w:tcW w:type="dxa" w:w="10512"/>
            <w:shd w:val="clear" w:color="auto" w:fill="1F3A5F"/>
            <w:tcMar>
              <w:top w:w="70" w:type="dxa"/>
              <w:bottom w:w="70" w:type="dxa"/>
              <w:left w:w="140" w:type="dxa"/>
              <w:right w:w="140" w:type="dxa"/>
            </w:tcMar>
            <w:tcBorders>
              <w:left w:val="single" w:sz="36" w:space="0" w:color="C9A227"/>
            </w:tcBorders>
          </w:tcPr>
          <w:p>
            <w:pPr>
              <w:keepNext/>
              <w:spacing w:after="0"/>
            </w:pPr>
            <w:r>
              <w:rPr>
                <w:b/>
                <w:i w:val="0"/>
                <w:color w:val="FFFFFF"/>
                <w:sz w:val="26"/>
              </w:rPr>
              <w:t>XVII. Rapid Review</w:t>
            </w:r>
          </w:p>
        </w:tc>
      </w:tr>
    </w:tbl>
    <w:p>
      <w:pPr>
        <w:keepNext/>
        <w:spacing w:after="0" w:line="8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1854"/>
        <w:gridCol w:w="8657"/>
      </w:tblGrid>
      <w:tr>
        <w:trPr>
          <w:tblHeader w:val="true"/>
        </w:trPr>
        <w:tc>
          <w:tcPr>
            <w:tcW w:type="dxa" w:w="1855"/>
            <w:shd w:val="clear" w:color="auto" w:fill="1F3A5F"/>
            <w:tcMar>
              <w:top w:w="40" w:type="dxa"/>
              <w:bottom w:w="40" w:type="dxa"/>
              <w:left w:w="80" w:type="dxa"/>
              <w:right w:w="80" w:type="dxa"/>
            </w:tcMar>
          </w:tcPr>
          <w:p>
            <w:pPr>
              <w:spacing w:after="0"/>
            </w:pPr>
            <w:r>
              <w:rPr>
                <w:b/>
                <w:i w:val="0"/>
                <w:color w:val="FFFFFF"/>
                <w:sz w:val="20"/>
              </w:rPr>
              <w:t>Number to know</w:t>
            </w:r>
          </w:p>
        </w:tc>
        <w:tc>
          <w:tcPr>
            <w:tcW w:type="dxa" w:w="8657"/>
            <w:shd w:val="clear" w:color="auto" w:fill="1F3A5F"/>
            <w:tcMar>
              <w:top w:w="40" w:type="dxa"/>
              <w:bottom w:w="40" w:type="dxa"/>
              <w:left w:w="80" w:type="dxa"/>
              <w:right w:w="80" w:type="dxa"/>
            </w:tcMar>
          </w:tcPr>
          <w:p>
            <w:pPr>
              <w:spacing w:after="0"/>
            </w:pPr>
            <w:r>
              <w:rPr>
                <w:b/>
                <w:i w:val="0"/>
                <w:color w:val="FFFFFF"/>
                <w:sz w:val="20"/>
              </w:rPr>
              <w:t>Rule</w:t>
            </w:r>
          </w:p>
        </w:tc>
      </w:tr>
      <w:tr>
        <w:trPr>
          <w:cantSplit w:val="true"/>
        </w:trPr>
        <w:tc>
          <w:tcPr>
            <w:tcW w:type="dxa" w:w="1855"/>
            <w:tcMar>
              <w:top w:w="30" w:type="dxa"/>
              <w:bottom w:w="30" w:type="dxa"/>
              <w:left w:w="80" w:type="dxa"/>
              <w:right w:w="80" w:type="dxa"/>
            </w:tcMar>
          </w:tcPr>
          <w:p>
            <w:pPr>
              <w:spacing w:after="0" w:line="240" w:lineRule="auto"/>
            </w:pPr>
            <w:r>
              <w:rPr>
                <w:b/>
                <w:i w:val="0"/>
                <w:sz w:val="20"/>
              </w:rPr>
              <w:t>$500+</w:t>
            </w:r>
          </w:p>
        </w:tc>
        <w:tc>
          <w:tcPr>
            <w:tcW w:type="dxa" w:w="8657"/>
            <w:tcMar>
              <w:top w:w="30" w:type="dxa"/>
              <w:bottom w:w="30" w:type="dxa"/>
              <w:left w:w="80" w:type="dxa"/>
              <w:right w:w="80" w:type="dxa"/>
            </w:tcMar>
          </w:tcPr>
          <w:p>
            <w:pPr>
              <w:spacing w:after="0" w:line="240" w:lineRule="auto"/>
            </w:pPr>
            <w:r>
              <w:rPr>
                <w:b w:val="0"/>
                <w:i w:val="0"/>
                <w:sz w:val="20"/>
              </w:rPr>
              <w:t>Statute of frauds applies (§ 2-201)</w:t>
            </w:r>
          </w:p>
        </w:tc>
      </w:tr>
      <w:tr>
        <w:trPr>
          <w:cantSplit w:val="true"/>
        </w:trPr>
        <w:tc>
          <w:tcPr>
            <w:tcW w:type="dxa" w:w="1855"/>
            <w:tcMar>
              <w:top w:w="30" w:type="dxa"/>
              <w:bottom w:w="30" w:type="dxa"/>
              <w:left w:w="80" w:type="dxa"/>
              <w:right w:w="80" w:type="dxa"/>
            </w:tcMar>
            <w:shd w:val="clear" w:color="auto" w:fill="F2F6FB"/>
          </w:tcPr>
          <w:p>
            <w:pPr>
              <w:spacing w:after="0" w:line="240" w:lineRule="auto"/>
            </w:pPr>
            <w:r>
              <w:rPr>
                <w:b/>
                <w:i w:val="0"/>
                <w:sz w:val="20"/>
              </w:rPr>
              <w:t>10 days</w:t>
            </w:r>
          </w:p>
        </w:tc>
        <w:tc>
          <w:tcPr>
            <w:tcW w:type="dxa" w:w="8657"/>
            <w:tcMar>
              <w:top w:w="30" w:type="dxa"/>
              <w:bottom w:w="30" w:type="dxa"/>
              <w:left w:w="80" w:type="dxa"/>
              <w:right w:w="80" w:type="dxa"/>
            </w:tcMar>
            <w:shd w:val="clear" w:color="auto" w:fill="F2F6FB"/>
          </w:tcPr>
          <w:p>
            <w:pPr>
              <w:spacing w:after="0" w:line="240" w:lineRule="auto"/>
            </w:pPr>
            <w:r>
              <w:rPr>
                <w:b w:val="0"/>
                <w:i w:val="0"/>
                <w:sz w:val="20"/>
              </w:rPr>
              <w:t>Merchant must object in writing to a confirmation (§ 2-201(2)); seller's reclamation demand after insolvent buyer receives goods (§ 2-702(2))</w:t>
            </w:r>
          </w:p>
        </w:tc>
      </w:tr>
      <w:tr>
        <w:trPr>
          <w:cantSplit w:val="true"/>
        </w:trPr>
        <w:tc>
          <w:tcPr>
            <w:tcW w:type="dxa" w:w="1855"/>
            <w:tcMar>
              <w:top w:w="30" w:type="dxa"/>
              <w:bottom w:w="30" w:type="dxa"/>
              <w:left w:w="80" w:type="dxa"/>
              <w:right w:w="80" w:type="dxa"/>
            </w:tcMar>
          </w:tcPr>
          <w:p>
            <w:pPr>
              <w:spacing w:after="0" w:line="240" w:lineRule="auto"/>
            </w:pPr>
            <w:r>
              <w:rPr>
                <w:b/>
                <w:i w:val="0"/>
                <w:sz w:val="20"/>
              </w:rPr>
              <w:t>3 months</w:t>
            </w:r>
          </w:p>
        </w:tc>
        <w:tc>
          <w:tcPr>
            <w:tcW w:type="dxa" w:w="8657"/>
            <w:tcMar>
              <w:top w:w="30" w:type="dxa"/>
              <w:bottom w:w="30" w:type="dxa"/>
              <w:left w:w="80" w:type="dxa"/>
              <w:right w:w="80" w:type="dxa"/>
            </w:tcMar>
          </w:tcPr>
          <w:p>
            <w:pPr>
              <w:spacing w:after="0" w:line="240" w:lineRule="auto"/>
            </w:pPr>
            <w:r>
              <w:rPr>
                <w:b w:val="0"/>
                <w:i w:val="0"/>
                <w:sz w:val="20"/>
              </w:rPr>
              <w:t>Maximum life of a firm offer without consideration (§ 2-205)</w:t>
            </w:r>
          </w:p>
        </w:tc>
      </w:tr>
      <w:tr>
        <w:trPr>
          <w:cantSplit w:val="true"/>
        </w:trPr>
        <w:tc>
          <w:tcPr>
            <w:tcW w:type="dxa" w:w="1855"/>
            <w:tcMar>
              <w:top w:w="30" w:type="dxa"/>
              <w:bottom w:w="30" w:type="dxa"/>
              <w:left w:w="80" w:type="dxa"/>
              <w:right w:w="80" w:type="dxa"/>
            </w:tcMar>
            <w:shd w:val="clear" w:color="auto" w:fill="F2F6FB"/>
          </w:tcPr>
          <w:p>
            <w:pPr>
              <w:spacing w:after="0" w:line="240" w:lineRule="auto"/>
            </w:pPr>
            <w:r>
              <w:rPr>
                <w:b/>
                <w:i w:val="0"/>
                <w:sz w:val="20"/>
              </w:rPr>
              <w:t>30 days</w:t>
            </w:r>
          </w:p>
        </w:tc>
        <w:tc>
          <w:tcPr>
            <w:tcW w:type="dxa" w:w="8657"/>
            <w:tcMar>
              <w:top w:w="30" w:type="dxa"/>
              <w:bottom w:w="30" w:type="dxa"/>
              <w:left w:w="80" w:type="dxa"/>
              <w:right w:w="80" w:type="dxa"/>
            </w:tcMar>
            <w:shd w:val="clear" w:color="auto" w:fill="F2F6FB"/>
          </w:tcPr>
          <w:p>
            <w:pPr>
              <w:spacing w:after="0" w:line="240" w:lineRule="auto"/>
            </w:pPr>
            <w:r>
              <w:rPr>
                <w:b w:val="0"/>
                <w:i w:val="0"/>
                <w:sz w:val="20"/>
              </w:rPr>
              <w:t>Max time to give adequate assurance (§ 2-609(4)); buyer's time to respond to an excuse notice (§ 2-616(2))</w:t>
            </w:r>
          </w:p>
        </w:tc>
      </w:tr>
      <w:tr>
        <w:trPr>
          <w:cantSplit w:val="true"/>
        </w:trPr>
        <w:tc>
          <w:tcPr>
            <w:tcW w:type="dxa" w:w="1855"/>
            <w:tcMar>
              <w:top w:w="30" w:type="dxa"/>
              <w:bottom w:w="30" w:type="dxa"/>
              <w:left w:w="80" w:type="dxa"/>
              <w:right w:w="80" w:type="dxa"/>
            </w:tcMar>
          </w:tcPr>
          <w:p>
            <w:pPr>
              <w:spacing w:after="0" w:line="240" w:lineRule="auto"/>
            </w:pPr>
            <w:r>
              <w:rPr>
                <w:b/>
                <w:i w:val="0"/>
                <w:sz w:val="20"/>
              </w:rPr>
              <w:t>4 years</w:t>
            </w:r>
          </w:p>
        </w:tc>
        <w:tc>
          <w:tcPr>
            <w:tcW w:type="dxa" w:w="8657"/>
            <w:tcMar>
              <w:top w:w="30" w:type="dxa"/>
              <w:bottom w:w="30" w:type="dxa"/>
              <w:left w:w="80" w:type="dxa"/>
              <w:right w:w="80" w:type="dxa"/>
            </w:tcMar>
          </w:tcPr>
          <w:p>
            <w:pPr>
              <w:spacing w:after="0" w:line="240" w:lineRule="auto"/>
            </w:pPr>
            <w:r>
              <w:rPr>
                <w:b w:val="0"/>
                <w:i w:val="0"/>
                <w:sz w:val="20"/>
              </w:rPr>
              <w:t xml:space="preserve">Statute of limitations; can shorten to </w:t>
            </w:r>
            <w:r>
              <w:rPr>
                <w:b/>
                <w:i w:val="0"/>
                <w:sz w:val="20"/>
              </w:rPr>
              <w:t>1 year</w:t>
            </w:r>
            <w:r>
              <w:rPr>
                <w:b w:val="0"/>
                <w:i w:val="0"/>
                <w:sz w:val="20"/>
              </w:rPr>
              <w:t xml:space="preserve">, never extend; warranty breach accrues on </w:t>
            </w:r>
            <w:r>
              <w:rPr>
                <w:b/>
                <w:i w:val="0"/>
                <w:sz w:val="20"/>
              </w:rPr>
              <w:t>tender</w:t>
            </w:r>
            <w:r>
              <w:rPr>
                <w:b w:val="0"/>
                <w:i w:val="0"/>
                <w:sz w:val="20"/>
              </w:rPr>
              <w:t xml:space="preserve"> (§ 2-725)</w:t>
            </w:r>
          </w:p>
        </w:tc>
      </w:tr>
      <w:tr>
        <w:trPr>
          <w:cantSplit w:val="true"/>
        </w:trPr>
        <w:tc>
          <w:tcPr>
            <w:tcW w:type="dxa" w:w="1855"/>
            <w:tcMar>
              <w:top w:w="30" w:type="dxa"/>
              <w:bottom w:w="30" w:type="dxa"/>
              <w:left w:w="80" w:type="dxa"/>
              <w:right w:w="80" w:type="dxa"/>
            </w:tcMar>
            <w:shd w:val="clear" w:color="auto" w:fill="F2F6FB"/>
          </w:tcPr>
          <w:p>
            <w:pPr>
              <w:spacing w:after="0" w:line="240" w:lineRule="auto"/>
            </w:pPr>
            <w:r>
              <w:rPr>
                <w:b/>
                <w:i w:val="0"/>
                <w:sz w:val="20"/>
              </w:rPr>
              <w:t>20% or $500</w:t>
            </w:r>
          </w:p>
        </w:tc>
        <w:tc>
          <w:tcPr>
            <w:tcW w:type="dxa" w:w="8657"/>
            <w:tcMar>
              <w:top w:w="30" w:type="dxa"/>
              <w:bottom w:w="30" w:type="dxa"/>
              <w:left w:w="80" w:type="dxa"/>
              <w:right w:w="80" w:type="dxa"/>
            </w:tcMar>
            <w:shd w:val="clear" w:color="auto" w:fill="F2F6FB"/>
          </w:tcPr>
          <w:p>
            <w:pPr>
              <w:spacing w:after="0" w:line="240" w:lineRule="auto"/>
            </w:pPr>
            <w:r>
              <w:rPr>
                <w:b w:val="0"/>
                <w:i w:val="0"/>
                <w:sz w:val="20"/>
              </w:rPr>
              <w:t>Smaller of the two is what a seller may keep from a breaching buyer's deposit absent LD (§ 2-718(2))</w:t>
            </w:r>
          </w:p>
        </w:tc>
      </w:tr>
    </w:tbl>
    <w:p>
      <w:pPr>
        <w:spacing w:after="0" w:line="120" w:lineRule="exact"/>
      </w:pPr>
    </w:p>
    <w:tbl>
      <w:tblPr>
        <w:tblStyle w:val="TableGrid"/>
        <w:tblW w:type="auto" w:w="0"/>
        <w:jc w:val="center"/>
        <w:tblLayout w:type="fixed"/>
        <w:tblLook w:firstColumn="1" w:firstRow="1" w:lastColumn="0" w:lastRow="0" w:noHBand="0" w:noVBand="1" w:val="04A0"/>
        <w:tblW w:w="5000" w:type="pct"/>
        <w:tblBorders>
          <w:top w:val="single" w:sz="4" w:space="0" w:color="BFCCDD"/>
          <w:left w:val="single" w:sz="4" w:space="0" w:color="BFCCDD"/>
          <w:bottom w:val="single" w:sz="4" w:space="0" w:color="BFCCDD"/>
          <w:right w:val="single" w:sz="4" w:space="0" w:color="BFCCDD"/>
          <w:insideH w:val="single" w:sz="4" w:space="0" w:color="BFCCDD"/>
          <w:insideV w:val="single" w:sz="4" w:space="0" w:color="BFCCDD"/>
        </w:tblBorders>
        <w:tblLayout w:type="fixed"/>
      </w:tblPr>
      <w:tblGrid>
        <w:gridCol w:w="6064"/>
        <w:gridCol w:w="4447"/>
      </w:tblGrid>
      <w:tr>
        <w:trPr>
          <w:tblHeader w:val="true"/>
        </w:trPr>
        <w:tc>
          <w:tcPr>
            <w:tcW w:type="dxa" w:w="6064"/>
            <w:shd w:val="clear" w:color="auto" w:fill="1F3A5F"/>
            <w:tcMar>
              <w:top w:w="40" w:type="dxa"/>
              <w:bottom w:w="40" w:type="dxa"/>
              <w:left w:w="80" w:type="dxa"/>
              <w:right w:w="80" w:type="dxa"/>
            </w:tcMar>
          </w:tcPr>
          <w:p>
            <w:pPr>
              <w:spacing w:after="0"/>
            </w:pPr>
            <w:r>
              <w:rPr>
                <w:b/>
                <w:i w:val="0"/>
                <w:color w:val="FFFFFF"/>
                <w:sz w:val="20"/>
              </w:rPr>
              <w:t>Rule</w:t>
            </w:r>
          </w:p>
        </w:tc>
        <w:tc>
          <w:tcPr>
            <w:tcW w:type="dxa" w:w="4448"/>
            <w:shd w:val="clear" w:color="auto" w:fill="1F3A5F"/>
            <w:tcMar>
              <w:top w:w="40" w:type="dxa"/>
              <w:bottom w:w="40" w:type="dxa"/>
              <w:left w:w="80" w:type="dxa"/>
              <w:right w:w="80" w:type="dxa"/>
            </w:tcMar>
          </w:tcPr>
          <w:p>
            <w:pPr>
              <w:spacing w:after="0"/>
            </w:pPr>
            <w:r>
              <w:rPr>
                <w:b/>
                <w:i w:val="0"/>
                <w:color w:val="FFFFFF"/>
                <w:sz w:val="20"/>
              </w:rPr>
              <w:t>Who must be a merchant</w:t>
            </w:r>
          </w:p>
        </w:tc>
      </w:tr>
      <w:tr>
        <w:trPr>
          <w:cantSplit w:val="true"/>
        </w:trPr>
        <w:tc>
          <w:tcPr>
            <w:tcW w:type="dxa" w:w="6064"/>
            <w:tcMar>
              <w:top w:w="30" w:type="dxa"/>
              <w:bottom w:w="30" w:type="dxa"/>
              <w:left w:w="80" w:type="dxa"/>
              <w:right w:w="80" w:type="dxa"/>
            </w:tcMar>
          </w:tcPr>
          <w:p>
            <w:pPr>
              <w:spacing w:after="0" w:line="240" w:lineRule="auto"/>
            </w:pPr>
            <w:r>
              <w:rPr>
                <w:b w:val="0"/>
                <w:i w:val="0"/>
                <w:sz w:val="20"/>
              </w:rPr>
              <w:t>Firm offer (§ 2-205)</w:t>
            </w:r>
          </w:p>
        </w:tc>
        <w:tc>
          <w:tcPr>
            <w:tcW w:type="dxa" w:w="4448"/>
            <w:tcMar>
              <w:top w:w="30" w:type="dxa"/>
              <w:bottom w:w="30" w:type="dxa"/>
              <w:left w:w="80" w:type="dxa"/>
              <w:right w:w="80" w:type="dxa"/>
            </w:tcMar>
          </w:tcPr>
          <w:p>
            <w:pPr>
              <w:spacing w:after="0" w:line="240" w:lineRule="auto"/>
            </w:pPr>
            <w:r>
              <w:rPr>
                <w:b/>
                <w:i w:val="0"/>
                <w:sz w:val="20"/>
              </w:rPr>
              <w:t>Offeror</w:t>
            </w:r>
            <w:r>
              <w:rPr>
                <w:b w:val="0"/>
                <w:i w:val="0"/>
                <w:sz w:val="20"/>
              </w:rPr>
              <w:t xml:space="preserve"> (any business person)</w:t>
            </w:r>
          </w:p>
        </w:tc>
      </w:tr>
      <w:tr>
        <w:trPr>
          <w:cantSplit w:val="true"/>
        </w:trPr>
        <w:tc>
          <w:tcPr>
            <w:tcW w:type="dxa" w:w="6064"/>
            <w:tcMar>
              <w:top w:w="30" w:type="dxa"/>
              <w:bottom w:w="30" w:type="dxa"/>
              <w:left w:w="80" w:type="dxa"/>
              <w:right w:w="80" w:type="dxa"/>
            </w:tcMar>
            <w:shd w:val="clear" w:color="auto" w:fill="F2F6FB"/>
          </w:tcPr>
          <w:p>
            <w:pPr>
              <w:spacing w:after="0" w:line="240" w:lineRule="auto"/>
            </w:pPr>
            <w:r>
              <w:rPr>
                <w:b w:val="0"/>
                <w:i w:val="0"/>
                <w:sz w:val="20"/>
              </w:rPr>
              <w:t>§ 2-207(2) added terms; § 2-201(2) confirmation</w:t>
            </w:r>
          </w:p>
        </w:tc>
        <w:tc>
          <w:tcPr>
            <w:tcW w:type="dxa" w:w="4448"/>
            <w:tcMar>
              <w:top w:w="30" w:type="dxa"/>
              <w:bottom w:w="30" w:type="dxa"/>
              <w:left w:w="80" w:type="dxa"/>
              <w:right w:w="80" w:type="dxa"/>
            </w:tcMar>
            <w:shd w:val="clear" w:color="auto" w:fill="F2F6FB"/>
          </w:tcPr>
          <w:p>
            <w:pPr>
              <w:spacing w:after="0" w:line="240" w:lineRule="auto"/>
            </w:pPr>
            <w:r>
              <w:rPr>
                <w:b/>
                <w:i w:val="0"/>
                <w:sz w:val="20"/>
              </w:rPr>
              <w:t>Both</w:t>
            </w:r>
            <w:r>
              <w:rPr>
                <w:b w:val="0"/>
                <w:i w:val="0"/>
                <w:sz w:val="20"/>
              </w:rPr>
              <w:t xml:space="preserve"> parties</w:t>
            </w:r>
          </w:p>
        </w:tc>
      </w:tr>
      <w:tr>
        <w:trPr>
          <w:cantSplit w:val="true"/>
        </w:trPr>
        <w:tc>
          <w:tcPr>
            <w:tcW w:type="dxa" w:w="6064"/>
            <w:tcMar>
              <w:top w:w="30" w:type="dxa"/>
              <w:bottom w:w="30" w:type="dxa"/>
              <w:left w:w="80" w:type="dxa"/>
              <w:right w:w="80" w:type="dxa"/>
            </w:tcMar>
          </w:tcPr>
          <w:p>
            <w:pPr>
              <w:spacing w:after="0" w:line="240" w:lineRule="auto"/>
            </w:pPr>
            <w:r>
              <w:rPr>
                <w:b w:val="0"/>
                <w:i w:val="0"/>
                <w:sz w:val="20"/>
              </w:rPr>
              <w:t>NOM clause separately signed (§ 2-209(2))</w:t>
            </w:r>
          </w:p>
        </w:tc>
        <w:tc>
          <w:tcPr>
            <w:tcW w:type="dxa" w:w="4448"/>
            <w:tcMar>
              <w:top w:w="30" w:type="dxa"/>
              <w:bottom w:w="30" w:type="dxa"/>
              <w:left w:w="80" w:type="dxa"/>
              <w:right w:w="80" w:type="dxa"/>
            </w:tcMar>
          </w:tcPr>
          <w:p>
            <w:pPr>
              <w:spacing w:after="0" w:line="240" w:lineRule="auto"/>
            </w:pPr>
            <w:r>
              <w:rPr>
                <w:b w:val="0"/>
                <w:i w:val="0"/>
                <w:sz w:val="20"/>
              </w:rPr>
              <w:t xml:space="preserve">Required when a merchant's form goes to a </w:t>
            </w:r>
            <w:r>
              <w:rPr>
                <w:b/>
                <w:i w:val="0"/>
                <w:sz w:val="20"/>
              </w:rPr>
              <w:t>non-merchant</w:t>
            </w:r>
          </w:p>
        </w:tc>
      </w:tr>
      <w:tr>
        <w:trPr>
          <w:cantSplit w:val="true"/>
        </w:trPr>
        <w:tc>
          <w:tcPr>
            <w:tcW w:type="dxa" w:w="6064"/>
            <w:tcMar>
              <w:top w:w="30" w:type="dxa"/>
              <w:bottom w:w="30" w:type="dxa"/>
              <w:left w:w="80" w:type="dxa"/>
              <w:right w:w="80" w:type="dxa"/>
            </w:tcMar>
            <w:shd w:val="clear" w:color="auto" w:fill="F2F6FB"/>
          </w:tcPr>
          <w:p>
            <w:pPr>
              <w:spacing w:after="0" w:line="240" w:lineRule="auto"/>
            </w:pPr>
            <w:r>
              <w:rPr>
                <w:b w:val="0"/>
                <w:i w:val="0"/>
                <w:sz w:val="20"/>
              </w:rPr>
              <w:t>Merchantability (§ 2-314) · infringement (§ 2-312(3)) · entrustment (§ 2-403(2))</w:t>
            </w:r>
          </w:p>
        </w:tc>
        <w:tc>
          <w:tcPr>
            <w:tcW w:type="dxa" w:w="4448"/>
            <w:tcMar>
              <w:top w:w="30" w:type="dxa"/>
              <w:bottom w:w="30" w:type="dxa"/>
              <w:left w:w="80" w:type="dxa"/>
              <w:right w:w="80" w:type="dxa"/>
            </w:tcMar>
            <w:shd w:val="clear" w:color="auto" w:fill="F2F6FB"/>
          </w:tcPr>
          <w:p>
            <w:pPr>
              <w:spacing w:after="0" w:line="240" w:lineRule="auto"/>
            </w:pPr>
            <w:r>
              <w:rPr>
                <w:b w:val="0"/>
                <w:i w:val="0"/>
                <w:sz w:val="20"/>
              </w:rPr>
              <w:t xml:space="preserve">Merchant </w:t>
            </w:r>
            <w:r>
              <w:rPr>
                <w:b/>
                <w:i w:val="0"/>
                <w:sz w:val="20"/>
              </w:rPr>
              <w:t>in goods of that kind</w:t>
            </w:r>
          </w:p>
        </w:tc>
      </w:tr>
      <w:tr>
        <w:trPr>
          <w:cantSplit w:val="true"/>
        </w:trPr>
        <w:tc>
          <w:tcPr>
            <w:tcW w:type="dxa" w:w="6064"/>
            <w:tcMar>
              <w:top w:w="30" w:type="dxa"/>
              <w:bottom w:w="30" w:type="dxa"/>
              <w:left w:w="80" w:type="dxa"/>
              <w:right w:w="80" w:type="dxa"/>
            </w:tcMar>
          </w:tcPr>
          <w:p>
            <w:pPr>
              <w:spacing w:after="0" w:line="240" w:lineRule="auto"/>
            </w:pPr>
            <w:r>
              <w:rPr>
                <w:b w:val="0"/>
                <w:i w:val="0"/>
                <w:sz w:val="20"/>
              </w:rPr>
              <w:t>Risk on direct tender (§ 2-509(3))</w:t>
            </w:r>
          </w:p>
        </w:tc>
        <w:tc>
          <w:tcPr>
            <w:tcW w:type="dxa" w:w="4448"/>
            <w:tcMar>
              <w:top w:w="30" w:type="dxa"/>
              <w:bottom w:w="30" w:type="dxa"/>
              <w:left w:w="80" w:type="dxa"/>
              <w:right w:w="80" w:type="dxa"/>
            </w:tcMar>
          </w:tcPr>
          <w:p>
            <w:pPr>
              <w:spacing w:after="0" w:line="240" w:lineRule="auto"/>
            </w:pPr>
            <w:r>
              <w:rPr>
                <w:b w:val="0"/>
                <w:i w:val="0"/>
                <w:sz w:val="20"/>
              </w:rPr>
              <w:t xml:space="preserve">Merchant seller → </w:t>
            </w:r>
            <w:r>
              <w:rPr>
                <w:b/>
                <w:i w:val="0"/>
                <w:sz w:val="20"/>
              </w:rPr>
              <w:t>receipt</w:t>
            </w:r>
            <w:r>
              <w:rPr>
                <w:b w:val="0"/>
                <w:i w:val="0"/>
                <w:sz w:val="20"/>
              </w:rPr>
              <w:t xml:space="preserve">; non-merchant → </w:t>
            </w:r>
            <w:r>
              <w:rPr>
                <w:b/>
                <w:i w:val="0"/>
                <w:sz w:val="20"/>
              </w:rPr>
              <w:t>tender</w:t>
            </w:r>
          </w:p>
        </w:tc>
      </w:tr>
      <w:tr>
        <w:trPr>
          <w:cantSplit w:val="true"/>
        </w:trPr>
        <w:tc>
          <w:tcPr>
            <w:tcW w:type="dxa" w:w="6064"/>
            <w:tcMar>
              <w:top w:w="30" w:type="dxa"/>
              <w:bottom w:w="30" w:type="dxa"/>
              <w:left w:w="80" w:type="dxa"/>
              <w:right w:w="80" w:type="dxa"/>
            </w:tcMar>
            <w:shd w:val="clear" w:color="auto" w:fill="F2F6FB"/>
          </w:tcPr>
          <w:p>
            <w:pPr>
              <w:spacing w:after="0" w:line="240" w:lineRule="auto"/>
            </w:pPr>
            <w:r>
              <w:rPr>
                <w:b/>
                <w:i w:val="0"/>
                <w:sz w:val="20"/>
              </w:rPr>
              <w:t>Not required:</w:t>
            </w:r>
            <w:r>
              <w:rPr>
                <w:b w:val="0"/>
                <w:i w:val="0"/>
                <w:sz w:val="20"/>
              </w:rPr>
              <w:t xml:space="preserve"> Art. 2 scope · title · fitness · express warranties · § 2-209(1)</w:t>
            </w:r>
          </w:p>
        </w:tc>
        <w:tc>
          <w:tcPr>
            <w:tcW w:type="dxa" w:w="4448"/>
            <w:tcMar>
              <w:top w:w="30" w:type="dxa"/>
              <w:bottom w:w="30" w:type="dxa"/>
              <w:left w:w="80" w:type="dxa"/>
              <w:right w:w="80" w:type="dxa"/>
            </w:tcMar>
            <w:shd w:val="clear" w:color="auto" w:fill="F2F6FB"/>
          </w:tcPr>
          <w:p>
            <w:pPr>
              <w:spacing w:after="0" w:line="240" w:lineRule="auto"/>
            </w:pPr>
            <w:r>
              <w:rPr>
                <w:b w:val="0"/>
                <w:i w:val="0"/>
                <w:sz w:val="20"/>
              </w:rPr>
              <w:t>—</w:t>
            </w:r>
          </w:p>
        </w:tc>
      </w:tr>
    </w:tbl>
    <w:p>
      <w:pPr>
        <w:spacing w:after="0" w:line="120" w:lineRule="exact"/>
      </w:pPr>
    </w:p>
    <w:tbl>
      <w:tblPr>
        <w:tblW w:type="auto" w:w="0"/>
        <w:tblLook w:firstColumn="1" w:firstRow="1" w:lastColumn="0" w:lastRow="0" w:noHBand="0" w:noVBand="1" w:val="04A0"/>
        <w:tblW w:w="5000" w:type="pct"/>
        <w:tblBorders>
          <w:top w:val="nil"/>
          <w:left w:val="nil"/>
          <w:bottom w:val="nil"/>
          <w:right w:val="nil"/>
          <w:insideH w:val="nil"/>
          <w:insideV w:val="nil"/>
        </w:tblBorders>
      </w:tblPr>
      <w:tblGrid>
        <w:gridCol w:w="10512"/>
      </w:tblGrid>
      <w:tr>
        <w:tc>
          <w:tcPr>
            <w:tcW w:type="dxa" w:w="10512"/>
            <w:shd w:val="clear" w:color="auto" w:fill="FFF5E1"/>
            <w:tcMar>
              <w:top w:w="70" w:type="dxa"/>
              <w:bottom w:w="70" w:type="dxa"/>
              <w:left w:w="140" w:type="dxa"/>
              <w:right w:w="120" w:type="dxa"/>
            </w:tcMar>
            <w:tcBorders>
              <w:left w:val="single" w:sz="30" w:space="0" w:color="C77700"/>
            </w:tcBorders>
          </w:tcPr>
          <w:p>
            <w:pPr>
              <w:spacing w:after="30" w:line="240" w:lineRule="auto"/>
            </w:pPr>
            <w:r>
              <w:rPr>
                <w:b/>
                <w:color w:val="C77700"/>
                <w:sz w:val="15"/>
              </w:rPr>
              <w:t xml:space="preserve">EXAM TIPS   </w:t>
            </w:r>
            <w:r>
              <w:rPr>
                <w:b/>
                <w:i w:val="0"/>
                <w:sz w:val="21"/>
              </w:rPr>
              <w:t>Top traps</w:t>
            </w:r>
          </w:p>
          <w:p>
            <w:pPr>
              <w:spacing w:after="30" w:line="240" w:lineRule="auto"/>
              <w:ind w:left="288" w:hanging="202"/>
            </w:pPr>
            <w:r>
              <w:rPr>
                <w:color w:val="C77700"/>
                <w:sz w:val="21"/>
              </w:rPr>
              <w:t xml:space="preserve">•  </w:t>
            </w:r>
            <w:r>
              <w:rPr>
                <w:b w:val="0"/>
                <w:i w:val="0"/>
                <w:sz w:val="21"/>
              </w:rPr>
              <w:t xml:space="preserve">Art. 2 covers </w:t>
            </w:r>
            <w:r>
              <w:rPr>
                <w:b/>
                <w:i w:val="0"/>
                <w:sz w:val="21"/>
              </w:rPr>
              <w:t>consumer-to-consumer</w:t>
            </w:r>
            <w:r>
              <w:rPr>
                <w:b w:val="0"/>
                <w:i w:val="0"/>
                <w:sz w:val="21"/>
              </w:rPr>
              <w:t xml:space="preserve"> sales; merchant status matters only for specific rules.</w:t>
            </w:r>
          </w:p>
          <w:p>
            <w:pPr>
              <w:spacing w:after="30" w:line="240" w:lineRule="auto"/>
              <w:ind w:left="288" w:hanging="202"/>
            </w:pPr>
            <w:r>
              <w:rPr>
                <w:color w:val="C77700"/>
                <w:sz w:val="21"/>
              </w:rPr>
              <w:t xml:space="preserve">•  </w:t>
            </w:r>
            <w:r>
              <w:rPr>
                <w:b w:val="0"/>
                <w:i w:val="0"/>
                <w:sz w:val="21"/>
              </w:rPr>
              <w:t xml:space="preserve">Minerals/structures are goods only if the </w:t>
            </w:r>
            <w:r>
              <w:rPr>
                <w:b/>
                <w:i w:val="0"/>
                <w:sz w:val="21"/>
              </w:rPr>
              <w:t>seller</w:t>
            </w:r>
            <w:r>
              <w:rPr>
                <w:b w:val="0"/>
                <w:i w:val="0"/>
                <w:sz w:val="21"/>
              </w:rPr>
              <w:t xml:space="preserve"> severs; timber and crops either way.</w:t>
            </w:r>
          </w:p>
          <w:p>
            <w:pPr>
              <w:spacing w:after="30" w:line="240" w:lineRule="auto"/>
              <w:ind w:left="288" w:hanging="202"/>
            </w:pPr>
            <w:r>
              <w:rPr>
                <w:color w:val="C77700"/>
                <w:sz w:val="21"/>
              </w:rPr>
              <w:t xml:space="preserve">•  </w:t>
            </w:r>
            <w:r>
              <w:rPr>
                <w:b w:val="0"/>
                <w:i w:val="0"/>
                <w:sz w:val="21"/>
              </w:rPr>
              <w:t xml:space="preserve">Firm offer: only the </w:t>
            </w:r>
            <w:r>
              <w:rPr>
                <w:b/>
                <w:i w:val="0"/>
                <w:sz w:val="21"/>
              </w:rPr>
              <w:t>offeror</w:t>
            </w:r>
            <w:r>
              <w:rPr>
                <w:b w:val="0"/>
                <w:i w:val="0"/>
                <w:sz w:val="21"/>
              </w:rPr>
              <w:t xml:space="preserve"> must be a merchant; </w:t>
            </w:r>
            <w:r>
              <w:rPr>
                <w:b/>
                <w:i w:val="0"/>
                <w:sz w:val="21"/>
              </w:rPr>
              <w:t>3-month</w:t>
            </w:r>
            <w:r>
              <w:rPr>
                <w:b w:val="0"/>
                <w:i w:val="0"/>
                <w:sz w:val="21"/>
              </w:rPr>
              <w:t xml:space="preserve"> cap; offeree's form → separately signed.</w:t>
            </w:r>
          </w:p>
          <w:p>
            <w:pPr>
              <w:spacing w:after="30" w:line="240" w:lineRule="auto"/>
              <w:ind w:left="288" w:hanging="202"/>
            </w:pPr>
            <w:r>
              <w:rPr>
                <w:color w:val="C77700"/>
                <w:sz w:val="21"/>
              </w:rPr>
              <w:t xml:space="preserve">•  </w:t>
            </w:r>
            <w:r>
              <w:rPr>
                <w:b w:val="0"/>
                <w:i w:val="0"/>
                <w:sz w:val="21"/>
              </w:rPr>
              <w:t xml:space="preserve">SOF record needs </w:t>
            </w:r>
            <w:r>
              <w:rPr>
                <w:b/>
                <w:i w:val="0"/>
                <w:sz w:val="21"/>
              </w:rPr>
              <w:t>quantity</w:t>
            </w:r>
            <w:r>
              <w:rPr>
                <w:b w:val="0"/>
                <w:i w:val="0"/>
                <w:sz w:val="21"/>
              </w:rPr>
              <w:t xml:space="preserve"> + </w:t>
            </w:r>
            <w:r>
              <w:rPr>
                <w:b/>
                <w:i w:val="0"/>
                <w:sz w:val="21"/>
              </w:rPr>
              <w:t>signature of the party charged</w:t>
            </w:r>
            <w:r>
              <w:rPr>
                <w:b w:val="0"/>
                <w:i w:val="0"/>
                <w:sz w:val="21"/>
              </w:rPr>
              <w:t xml:space="preserve"> — not price.</w:t>
            </w:r>
          </w:p>
          <w:p>
            <w:pPr>
              <w:spacing w:after="30" w:line="240" w:lineRule="auto"/>
              <w:ind w:left="288" w:hanging="202"/>
            </w:pPr>
            <w:r>
              <w:rPr>
                <w:color w:val="C77700"/>
                <w:sz w:val="21"/>
              </w:rPr>
              <w:t xml:space="preserve">•  </w:t>
            </w:r>
            <w:r>
              <w:rPr>
                <w:b w:val="0"/>
                <w:i w:val="0"/>
                <w:sz w:val="21"/>
              </w:rPr>
              <w:t xml:space="preserve">Modification: </w:t>
            </w:r>
            <w:r>
              <w:rPr>
                <w:b/>
                <w:i w:val="0"/>
                <w:sz w:val="21"/>
              </w:rPr>
              <w:t>no consideration</w:t>
            </w:r>
            <w:r>
              <w:rPr>
                <w:b w:val="0"/>
                <w:i w:val="0"/>
                <w:sz w:val="21"/>
              </w:rPr>
              <w:t xml:space="preserve">, but </w:t>
            </w:r>
            <w:r>
              <w:rPr>
                <w:b/>
                <w:i w:val="0"/>
                <w:sz w:val="21"/>
              </w:rPr>
              <w:t>good faith</w:t>
            </w:r>
            <w:r>
              <w:rPr>
                <w:b w:val="0"/>
                <w:i w:val="0"/>
                <w:sz w:val="21"/>
              </w:rPr>
              <w:t xml:space="preserve"> and the </w:t>
            </w:r>
            <w:r>
              <w:rPr>
                <w:b/>
                <w:i w:val="0"/>
                <w:sz w:val="21"/>
              </w:rPr>
              <w:t>SOF if the modified deal is $500+</w:t>
            </w:r>
            <w:r>
              <w:rPr>
                <w:b w:val="0"/>
                <w:i w:val="0"/>
                <w:sz w:val="21"/>
              </w:rPr>
              <w:t>.</w:t>
            </w:r>
          </w:p>
          <w:p>
            <w:pPr>
              <w:spacing w:after="30" w:line="240" w:lineRule="auto"/>
              <w:ind w:left="288" w:hanging="202"/>
            </w:pPr>
            <w:r>
              <w:rPr>
                <w:color w:val="C77700"/>
                <w:sz w:val="21"/>
              </w:rPr>
              <w:t xml:space="preserve">•  </w:t>
            </w:r>
            <w:r>
              <w:rPr>
                <w:b w:val="0"/>
                <w:i w:val="0"/>
                <w:sz w:val="21"/>
              </w:rPr>
              <w:t xml:space="preserve">Accepting a late delivery isn't a waiver of damages, but </w:t>
            </w:r>
            <w:r>
              <w:rPr>
                <w:b/>
                <w:i w:val="0"/>
                <w:sz w:val="21"/>
              </w:rPr>
              <w:t>notice of breach</w:t>
            </w:r>
            <w:r>
              <w:rPr>
                <w:b w:val="0"/>
                <w:i w:val="0"/>
                <w:sz w:val="21"/>
              </w:rPr>
              <w:t xml:space="preserve"> is required (§ 2-607(3)(a)).</w:t>
            </w:r>
          </w:p>
          <w:p>
            <w:pPr>
              <w:spacing w:after="30" w:line="240" w:lineRule="auto"/>
              <w:ind w:left="288" w:hanging="202"/>
            </w:pPr>
            <w:r>
              <w:rPr>
                <w:color w:val="C77700"/>
                <w:sz w:val="21"/>
              </w:rPr>
              <w:t xml:space="preserve">•  </w:t>
            </w:r>
            <w:r>
              <w:rPr>
                <w:b w:val="0"/>
                <w:i w:val="0"/>
                <w:sz w:val="21"/>
              </w:rPr>
              <w:t xml:space="preserve">Good faith </w:t>
            </w:r>
            <w:r>
              <w:rPr>
                <w:b/>
                <w:i w:val="0"/>
                <w:sz w:val="21"/>
              </w:rPr>
              <w:t>can't be disclaimed</w:t>
            </w:r>
            <w:r>
              <w:rPr>
                <w:b w:val="0"/>
                <w:i w:val="0"/>
                <w:sz w:val="21"/>
              </w:rPr>
              <w:t xml:space="preserve"> and isn't a stand-alone claim.</w:t>
            </w:r>
          </w:p>
          <w:p>
            <w:pPr>
              <w:spacing w:after="30" w:line="240" w:lineRule="auto"/>
              <w:ind w:left="288" w:hanging="202"/>
            </w:pPr>
            <w:r>
              <w:rPr>
                <w:color w:val="C77700"/>
                <w:sz w:val="21"/>
              </w:rPr>
              <w:t xml:space="preserve">•  </w:t>
            </w:r>
            <w:r>
              <w:rPr>
                <w:b w:val="0"/>
                <w:i w:val="0"/>
                <w:sz w:val="21"/>
              </w:rPr>
              <w:t xml:space="preserve">Express warranty: no intent or magic words; </w:t>
            </w:r>
            <w:r>
              <w:rPr>
                <w:b/>
                <w:i w:val="0"/>
                <w:sz w:val="21"/>
              </w:rPr>
              <w:t>opinion/value/praise</w:t>
            </w:r>
            <w:r>
              <w:rPr>
                <w:b w:val="0"/>
                <w:i w:val="0"/>
                <w:sz w:val="21"/>
              </w:rPr>
              <w:t xml:space="preserve"> don't count; reliance may not be required.</w:t>
            </w:r>
          </w:p>
          <w:p>
            <w:pPr>
              <w:spacing w:after="30" w:line="240" w:lineRule="auto"/>
              <w:ind w:left="288" w:hanging="202"/>
            </w:pPr>
            <w:r>
              <w:rPr>
                <w:color w:val="C77700"/>
                <w:sz w:val="21"/>
              </w:rPr>
              <w:t xml:space="preserve">•  </w:t>
            </w:r>
            <w:r>
              <w:rPr>
                <w:b w:val="0"/>
                <w:i w:val="0"/>
                <w:sz w:val="21"/>
              </w:rPr>
              <w:t xml:space="preserve">Fitness: </w:t>
            </w:r>
            <w:r>
              <w:rPr>
                <w:b/>
                <w:i w:val="0"/>
                <w:sz w:val="21"/>
              </w:rPr>
              <w:t>any seller</w:t>
            </w:r>
            <w:r>
              <w:rPr>
                <w:b w:val="0"/>
                <w:i w:val="0"/>
                <w:sz w:val="21"/>
              </w:rPr>
              <w:t xml:space="preserve">; </w:t>
            </w:r>
            <w:r>
              <w:rPr>
                <w:b/>
                <w:i w:val="0"/>
                <w:sz w:val="21"/>
              </w:rPr>
              <w:t>particular</w:t>
            </w:r>
            <w:r>
              <w:rPr>
                <w:b w:val="0"/>
                <w:i w:val="0"/>
                <w:sz w:val="21"/>
              </w:rPr>
              <w:t xml:space="preserve"> purpose + </w:t>
            </w:r>
            <w:r>
              <w:rPr>
                <w:b/>
                <w:i w:val="0"/>
                <w:sz w:val="21"/>
              </w:rPr>
              <w:t>actual reliance</w:t>
            </w:r>
            <w:r>
              <w:rPr>
                <w:b w:val="0"/>
                <w:i w:val="0"/>
                <w:sz w:val="21"/>
              </w:rPr>
              <w:t xml:space="preserve">. Title: </w:t>
            </w:r>
            <w:r>
              <w:rPr>
                <w:b/>
                <w:i w:val="0"/>
                <w:sz w:val="21"/>
              </w:rPr>
              <w:t>every seller</w:t>
            </w:r>
            <w:r>
              <w:rPr>
                <w:b w:val="0"/>
                <w:i w:val="0"/>
                <w:sz w:val="21"/>
              </w:rPr>
              <w:t xml:space="preserve">; "as is" </w:t>
            </w:r>
            <w:r>
              <w:rPr>
                <w:b/>
                <w:i w:val="0"/>
                <w:sz w:val="21"/>
              </w:rPr>
              <w:t>doesn't</w:t>
            </w:r>
            <w:r>
              <w:rPr>
                <w:b w:val="0"/>
                <w:i w:val="0"/>
                <w:sz w:val="21"/>
              </w:rPr>
              <w:t xml:space="preserve"> disclaim it.</w:t>
            </w:r>
          </w:p>
          <w:p>
            <w:pPr>
              <w:spacing w:after="30" w:line="240" w:lineRule="auto"/>
              <w:ind w:left="288" w:hanging="202"/>
            </w:pPr>
            <w:r>
              <w:rPr>
                <w:color w:val="C77700"/>
                <w:sz w:val="21"/>
              </w:rPr>
              <w:t xml:space="preserve">•  </w:t>
            </w:r>
            <w:r>
              <w:rPr>
                <w:b w:val="0"/>
                <w:i w:val="0"/>
                <w:sz w:val="21"/>
              </w:rPr>
              <w:t xml:space="preserve">Merchantability disclaimer must </w:t>
            </w:r>
            <w:r>
              <w:rPr>
                <w:b/>
                <w:i w:val="0"/>
                <w:sz w:val="21"/>
              </w:rPr>
              <w:t>say "merchantability"</w:t>
            </w:r>
            <w:r>
              <w:rPr>
                <w:b w:val="0"/>
                <w:i w:val="0"/>
                <w:sz w:val="21"/>
              </w:rPr>
              <w:t xml:space="preserve"> (conspicuous if written); fitness needs a </w:t>
            </w:r>
            <w:r>
              <w:rPr>
                <w:b/>
                <w:i w:val="0"/>
                <w:sz w:val="21"/>
              </w:rPr>
              <w:t>conspicuous writing</w:t>
            </w:r>
            <w:r>
              <w:rPr>
                <w:b w:val="0"/>
                <w:i w:val="0"/>
                <w:sz w:val="21"/>
              </w:rPr>
              <w:t>.</w:t>
            </w:r>
          </w:p>
          <w:p>
            <w:pPr>
              <w:spacing w:after="30" w:line="240" w:lineRule="auto"/>
              <w:ind w:left="288" w:hanging="202"/>
            </w:pPr>
            <w:r>
              <w:rPr>
                <w:color w:val="C77700"/>
                <w:sz w:val="21"/>
              </w:rPr>
              <w:t xml:space="preserve">•  </w:t>
            </w:r>
            <w:r>
              <w:rPr>
                <w:b w:val="0"/>
                <w:i w:val="0"/>
                <w:sz w:val="21"/>
              </w:rPr>
              <w:t xml:space="preserve">Examination exclusion requires an actual exam or </w:t>
            </w:r>
            <w:r>
              <w:rPr>
                <w:b/>
                <w:i w:val="0"/>
                <w:sz w:val="21"/>
              </w:rPr>
              <w:t>refusal after seller's demand</w:t>
            </w:r>
            <w:r>
              <w:rPr>
                <w:b w:val="0"/>
                <w:i w:val="0"/>
                <w:sz w:val="21"/>
              </w:rPr>
              <w:t>.</w:t>
            </w:r>
          </w:p>
          <w:p>
            <w:pPr>
              <w:spacing w:after="30" w:line="240" w:lineRule="auto"/>
              <w:ind w:left="288" w:hanging="202"/>
            </w:pPr>
            <w:r>
              <w:rPr>
                <w:color w:val="C77700"/>
                <w:sz w:val="21"/>
              </w:rPr>
              <w:t xml:space="preserve">•  </w:t>
            </w:r>
            <w:r>
              <w:rPr>
                <w:b w:val="0"/>
                <w:i w:val="0"/>
                <w:sz w:val="21"/>
              </w:rPr>
              <w:t xml:space="preserve">Remedy limits </w:t>
            </w:r>
            <w:r>
              <w:rPr>
                <w:b/>
                <w:i w:val="0"/>
                <w:sz w:val="21"/>
              </w:rPr>
              <w:t>needn't be conspicuous</w:t>
            </w:r>
            <w:r>
              <w:rPr>
                <w:b w:val="0"/>
                <w:i w:val="0"/>
                <w:sz w:val="21"/>
              </w:rPr>
              <w:t xml:space="preserve">; consequential-damage exclusions for </w:t>
            </w:r>
            <w:r>
              <w:rPr>
                <w:b/>
                <w:i w:val="0"/>
                <w:sz w:val="21"/>
              </w:rPr>
              <w:t>consumer personal injury</w:t>
            </w:r>
            <w:r>
              <w:rPr>
                <w:b w:val="0"/>
                <w:i w:val="0"/>
                <w:sz w:val="21"/>
              </w:rPr>
              <w:t xml:space="preserve"> are </w:t>
            </w:r>
            <w:r>
              <w:rPr>
                <w:b/>
                <w:i w:val="0"/>
                <w:sz w:val="21"/>
              </w:rPr>
              <w:t>prima facie unconscionable</w:t>
            </w:r>
            <w:r>
              <w:rPr>
                <w:b w:val="0"/>
                <w:i w:val="0"/>
                <w:sz w:val="21"/>
              </w:rPr>
              <w:t>.</w:t>
            </w:r>
          </w:p>
          <w:p>
            <w:pPr>
              <w:spacing w:after="30" w:line="240" w:lineRule="auto"/>
              <w:ind w:left="288" w:hanging="202"/>
            </w:pPr>
            <w:r>
              <w:rPr>
                <w:color w:val="C77700"/>
                <w:sz w:val="21"/>
              </w:rPr>
              <w:t xml:space="preserve">•  </w:t>
            </w:r>
            <w:r>
              <w:rPr>
                <w:b/>
                <w:i w:val="0"/>
                <w:sz w:val="21"/>
              </w:rPr>
              <w:t>Possession ≠ acceptance; payment ≠ acceptance</w:t>
            </w:r>
            <w:r>
              <w:rPr>
                <w:b w:val="0"/>
                <w:i w:val="0"/>
                <w:sz w:val="21"/>
              </w:rPr>
              <w:t xml:space="preserve">; failing to reject after inspection </w:t>
            </w:r>
            <w:r>
              <w:rPr>
                <w:b/>
                <w:i w:val="0"/>
                <w:sz w:val="21"/>
              </w:rPr>
              <w:t>is</w:t>
            </w:r>
            <w:r>
              <w:rPr>
                <w:b w:val="0"/>
                <w:i w:val="0"/>
                <w:sz w:val="21"/>
              </w:rPr>
              <w:t xml:space="preserve"> acceptance.</w:t>
            </w:r>
          </w:p>
          <w:p>
            <w:pPr>
              <w:spacing w:after="30" w:line="240" w:lineRule="auto"/>
              <w:ind w:left="288" w:hanging="202"/>
            </w:pPr>
            <w:r>
              <w:rPr>
                <w:color w:val="C77700"/>
                <w:sz w:val="21"/>
              </w:rPr>
              <w:t xml:space="preserve">•  </w:t>
            </w:r>
            <w:r>
              <w:rPr>
                <w:b w:val="0"/>
                <w:i w:val="0"/>
                <w:sz w:val="21"/>
              </w:rPr>
              <w:t xml:space="preserve">Risk: </w:t>
            </w:r>
            <w:r>
              <w:rPr>
                <w:b/>
                <w:i w:val="0"/>
                <w:sz w:val="21"/>
              </w:rPr>
              <w:t>merchant seller → buyer's receipt</w:t>
            </w:r>
            <w:r>
              <w:rPr>
                <w:b w:val="0"/>
                <w:i w:val="0"/>
                <w:sz w:val="21"/>
              </w:rPr>
              <w:t xml:space="preserve"> — even if buyer paid; </w:t>
            </w:r>
            <w:r>
              <w:rPr>
                <w:b/>
                <w:i w:val="0"/>
                <w:sz w:val="21"/>
              </w:rPr>
              <w:t>seller's own truck isn't a carrier</w:t>
            </w:r>
            <w:r>
              <w:rPr>
                <w:b w:val="0"/>
                <w:i w:val="0"/>
                <w:sz w:val="21"/>
              </w:rPr>
              <w:t xml:space="preserve">; shipment contract is </w:t>
            </w:r>
            <w:r>
              <w:rPr>
                <w:b/>
                <w:i w:val="0"/>
                <w:sz w:val="21"/>
              </w:rPr>
              <w:t>presumed</w:t>
            </w:r>
            <w:r>
              <w:rPr>
                <w:b w:val="0"/>
                <w:i w:val="0"/>
                <w:sz w:val="21"/>
              </w:rPr>
              <w:t>.</w:t>
            </w:r>
          </w:p>
          <w:p>
            <w:pPr>
              <w:spacing w:after="30" w:line="240" w:lineRule="auto"/>
              <w:ind w:left="288" w:hanging="202"/>
            </w:pPr>
            <w:r>
              <w:rPr>
                <w:color w:val="C77700"/>
                <w:sz w:val="21"/>
              </w:rPr>
              <w:t xml:space="preserve">•  </w:t>
            </w:r>
            <w:r>
              <w:rPr>
                <w:b w:val="0"/>
                <w:i w:val="0"/>
                <w:sz w:val="21"/>
              </w:rPr>
              <w:t xml:space="preserve">PER never bars </w:t>
            </w:r>
            <w:r>
              <w:rPr>
                <w:b/>
                <w:i w:val="0"/>
                <w:sz w:val="21"/>
              </w:rPr>
              <w:t>later</w:t>
            </w:r>
            <w:r>
              <w:rPr>
                <w:b w:val="0"/>
                <w:i w:val="0"/>
                <w:sz w:val="21"/>
              </w:rPr>
              <w:t xml:space="preserve"> agreements or </w:t>
            </w:r>
            <w:r>
              <w:rPr>
                <w:b/>
                <w:i w:val="0"/>
                <w:sz w:val="21"/>
              </w:rPr>
              <w:t>fraud</w:t>
            </w:r>
            <w:r>
              <w:rPr>
                <w:b w:val="0"/>
                <w:i w:val="0"/>
                <w:sz w:val="21"/>
              </w:rPr>
              <w:t xml:space="preserve">; UoT/CoD/CoP can supplement even a </w:t>
            </w:r>
            <w:r>
              <w:rPr>
                <w:b/>
                <w:i w:val="0"/>
                <w:sz w:val="21"/>
              </w:rPr>
              <w:t>complete</w:t>
            </w:r>
            <w:r>
              <w:rPr>
                <w:b w:val="0"/>
                <w:i w:val="0"/>
                <w:sz w:val="21"/>
              </w:rPr>
              <w:t xml:space="preserve"> writing.</w:t>
            </w:r>
          </w:p>
          <w:p>
            <w:pPr>
              <w:spacing w:after="30" w:line="240" w:lineRule="auto"/>
              <w:ind w:left="288" w:hanging="202"/>
            </w:pPr>
            <w:r>
              <w:rPr>
                <w:color w:val="C77700"/>
                <w:sz w:val="21"/>
              </w:rPr>
              <w:t xml:space="preserve">•  </w:t>
            </w:r>
            <w:r>
              <w:rPr>
                <w:b w:val="0"/>
                <w:i w:val="0"/>
                <w:sz w:val="21"/>
              </w:rPr>
              <w:t>A ban on assigning "</w:t>
            </w:r>
            <w:r>
              <w:rPr>
                <w:b/>
                <w:i w:val="0"/>
                <w:sz w:val="21"/>
              </w:rPr>
              <w:t>the contract</w:t>
            </w:r>
            <w:r>
              <w:rPr>
                <w:b w:val="0"/>
                <w:i w:val="0"/>
                <w:sz w:val="21"/>
              </w:rPr>
              <w:t xml:space="preserve">" bars only </w:t>
            </w:r>
            <w:r>
              <w:rPr>
                <w:b/>
                <w:i w:val="0"/>
                <w:sz w:val="21"/>
              </w:rPr>
              <w:t>delegation</w:t>
            </w:r>
            <w:r>
              <w:rPr>
                <w:b w:val="0"/>
                <w:i w:val="0"/>
                <w:sz w:val="21"/>
              </w:rPr>
              <w:t>; the right to payment is assignable despite a "void" clause.</w:t>
            </w:r>
          </w:p>
          <w:p>
            <w:pPr>
              <w:spacing w:after="30" w:line="240" w:lineRule="auto"/>
              <w:ind w:left="288" w:hanging="202"/>
            </w:pPr>
            <w:r>
              <w:rPr>
                <w:color w:val="C77700"/>
                <w:sz w:val="21"/>
              </w:rPr>
              <w:t xml:space="preserve">•  </w:t>
            </w:r>
            <w:r>
              <w:rPr>
                <w:b w:val="0"/>
                <w:i w:val="0"/>
                <w:sz w:val="21"/>
              </w:rPr>
              <w:t xml:space="preserve">§ 2-609 demand must be </w:t>
            </w:r>
            <w:r>
              <w:rPr>
                <w:b/>
                <w:i w:val="0"/>
                <w:sz w:val="21"/>
              </w:rPr>
              <w:t>in writing</w:t>
            </w:r>
            <w:r>
              <w:rPr>
                <w:b w:val="0"/>
                <w:i w:val="0"/>
                <w:sz w:val="21"/>
              </w:rPr>
              <w:t xml:space="preserve">; no adequate assurance within </w:t>
            </w:r>
            <w:r>
              <w:rPr>
                <w:b/>
                <w:i w:val="0"/>
                <w:sz w:val="21"/>
              </w:rPr>
              <w:t>30 days</w:t>
            </w:r>
            <w:r>
              <w:rPr>
                <w:b w:val="0"/>
                <w:i w:val="0"/>
                <w:sz w:val="21"/>
              </w:rPr>
              <w:t xml:space="preserve"> = repudiation.</w:t>
            </w:r>
          </w:p>
          <w:p>
            <w:pPr>
              <w:spacing w:after="30" w:line="240" w:lineRule="auto"/>
              <w:ind w:left="288" w:hanging="202"/>
            </w:pPr>
            <w:r>
              <w:rPr>
                <w:color w:val="C77700"/>
                <w:sz w:val="21"/>
              </w:rPr>
              <w:t xml:space="preserve">•  </w:t>
            </w:r>
            <w:r>
              <w:rPr>
                <w:b/>
                <w:i w:val="0"/>
                <w:sz w:val="21"/>
              </w:rPr>
              <w:t>Cost increases alone never excuse</w:t>
            </w:r>
            <w:r>
              <w:rPr>
                <w:b w:val="0"/>
                <w:i w:val="0"/>
                <w:sz w:val="21"/>
              </w:rPr>
              <w:t xml:space="preserve">; § 2-613 needs </w:t>
            </w:r>
            <w:r>
              <w:rPr>
                <w:b/>
                <w:i w:val="0"/>
                <w:sz w:val="21"/>
              </w:rPr>
              <w:t>identified goods + no fault + risk not yet passed</w:t>
            </w:r>
            <w:r>
              <w:rPr>
                <w:b w:val="0"/>
                <w:i w:val="0"/>
                <w:sz w:val="21"/>
              </w:rPr>
              <w:t>.</w:t>
            </w:r>
          </w:p>
        </w:tc>
      </w:tr>
    </w:tbl>
    <w:p>
      <w:pPr>
        <w:spacing w:after="0" w:line="120" w:lineRule="exact"/>
      </w:pPr>
    </w:p>
    <w:sectPr w:rsidR="00FC693F" w:rsidRPr="0006063C" w:rsidSect="00034616">
      <w:headerReference w:type="default" r:id="rId9"/>
      <w:footerReference w:type="default" r:id="rId10"/>
      <w:pgSz w:w="12240" w:h="15840"/>
      <w:pgMar w:top="792" w:right="864" w:bottom="792"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EA2BF"/>
        <w:sz w:val="16"/>
      </w:rPr>
      <w:fldChar w:fldCharType="begin"/>
    </w:r>
    <w:r>
      <w:rPr>
        <w:color w:val="8EA2BF"/>
        <w:sz w:val="16"/>
      </w:rPr>
      <w:instrText xml:space="preserve">PAGE</w:instrText>
    </w:r>
    <w:r>
      <w:rPr>
        <w:color w:val="8EA2BF"/>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8EA2BF"/>
        <w:sz w:val="15"/>
      </w:rPr>
      <w:t>SALES &amp; LEASES  ·  WEEK 10 CONDENSED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20" w:line="240" w:lineRule="auto"/>
      <w:contextualSpacing/>
    </w:pPr>
    <w:rPr>
      <w:rFonts w:ascii="Calibri" w:hAnsi="Calibri"/>
      <w:sz w:val="21"/>
    </w:rPr>
  </w:style>
  <w:style w:type="paragraph" w:styleId="ListBullet3">
    <w:name w:val="List Bullet 3"/>
    <w:basedOn w:val="Normal"/>
    <w:uiPriority w:val="99"/>
    <w:unhideWhenUsed/>
    <w:rsid w:val="00326F90"/>
    <w:pPr>
      <w:numPr>
        <w:numId w:val="3"/>
      </w:numPr>
      <w:spacing w:after="20" w:line="240" w:lineRule="auto"/>
      <w:contextualSpacing/>
    </w:pPr>
    <w:rPr>
      <w:rFonts w:ascii="Calibri" w:hAnsi="Calibri"/>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