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Evidence Rule Chart — Weeks 1–5</w:t>
      </w:r>
    </w:p>
    <w:p>
      <w:pPr>
        <w:keepNext/>
        <w:keepLines/>
        <w:spacing w:after="100"/>
      </w:pPr>
      <w:r>
        <w:rPr>
          <w:rFonts w:ascii="Calibri" w:cs="Calibri" w:eastAsia="Calibri" w:hAnsi="Calibri"/>
          <w:b/>
          <w:bCs/>
          <w:sz w:val="20"/>
          <w:szCs w:val="20"/>
        </w:rPr>
        <w:t xml:space="preserve">What's tested (Classes 1–10):</w:t>
      </w:r>
      <w:r>
        <w:rPr>
          <w:rFonts w:ascii="Calibri" w:cs="Calibri" w:eastAsia="Calibri" w:hAnsi="Calibri"/>
          <w:sz w:val="20"/>
          <w:szCs w:val="20"/>
        </w:rPr>
        <w:t xml:space="preserve"> Midterm Tue 10/6, 3:00–4:00 pm: 15 multiple-choice questions (30 min) and 1 essay (30 min); worth 25% of the grade. Rows tagged </w:t>
      </w:r>
      <w:r>
        <w:rPr>
          <w:rFonts w:ascii="Calibri" w:cs="Calibri" w:eastAsia="Calibri" w:hAnsi="Calibri"/>
          <w:i/>
          <w:iCs/>
          <w:sz w:val="20"/>
          <w:szCs w:val="20"/>
        </w:rPr>
        <w:t xml:space="preserve">(Class N)</w:t>
      </w:r>
      <w:r>
        <w:rPr>
          <w:rFonts w:ascii="Calibri" w:cs="Calibri" w:eastAsia="Calibri" w:hAnsi="Calibri"/>
          <w:sz w:val="20"/>
          <w:szCs w:val="20"/>
        </w:rPr>
        <w:t xml:space="preserve"> come from the lecture slides.</w:t>
      </w:r>
    </w:p>
    <w:p>
      <w:pPr>
        <w:keepNext/>
        <w:keepLines/>
        <w:spacing w:after="100"/>
      </w:pPr>
      <w:r>
        <w:rPr>
          <w:rFonts w:ascii="Calibri" w:cs="Calibri" w:eastAsia="Calibri" w:hAnsi="Calibri"/>
          <w:b/>
          <w:bCs/>
          <w:sz w:val="20"/>
          <w:szCs w:val="20"/>
        </w:rPr>
        <w:t xml:space="preserve">Readings the professor said to skip</w:t>
      </w:r>
      <w:r>
        <w:rPr>
          <w:rFonts w:ascii="Calibri" w:cs="Calibri" w:eastAsia="Calibri" w:hAnsi="Calibri"/>
          <w:sz w:val="20"/>
          <w:szCs w:val="20"/>
        </w:rPr>
        <w:t xml:space="preserve"> (lower priority unless covered on slides): Myers &amp; Jackson; Tuer, Bankcard, and McMichael et al. (apology laws); Ventura; Méndez &amp; DeGeorge; Uviller; the historical prelude to FRE 609; Wissler &amp; Saks; </w:t>
      </w:r>
      <w:r>
        <w:rPr>
          <w:rFonts w:ascii="Calibri" w:cs="Calibri" w:eastAsia="Calibri" w:hAnsi="Calibri"/>
          <w:i/>
          <w:iCs/>
          <w:sz w:val="20"/>
          <w:szCs w:val="20"/>
        </w:rPr>
        <w:t xml:space="preserve">Abbot</w:t>
      </w:r>
      <w:r>
        <w:rPr>
          <w:rFonts w:ascii="Calibri" w:cs="Calibri" w:eastAsia="Calibri" w:hAnsi="Calibri"/>
          <w:sz w:val="20"/>
          <w:szCs w:val="20"/>
        </w:rPr>
        <w:t xml:space="preserve">; </w:t>
      </w:r>
      <w:r>
        <w:rPr>
          <w:rFonts w:ascii="Calibri" w:cs="Calibri" w:eastAsia="Calibri" w:hAnsi="Calibri"/>
          <w:i/>
          <w:iCs/>
          <w:sz w:val="20"/>
          <w:szCs w:val="20"/>
        </w:rPr>
        <w:t xml:space="preserve">Sibley</w:t>
      </w:r>
      <w:r>
        <w:rPr>
          <w:rFonts w:ascii="Calibri" w:cs="Calibri" w:eastAsia="Calibri" w:hAnsi="Calibri"/>
          <w:sz w:val="20"/>
          <w:szCs w:val="20"/>
        </w:rPr>
        <w:t xml:space="preserve">; </w:t>
      </w:r>
      <w:r>
        <w:rPr>
          <w:rFonts w:ascii="Calibri" w:cs="Calibri" w:eastAsia="Calibri" w:hAnsi="Calibri"/>
          <w:i/>
          <w:iCs/>
          <w:sz w:val="20"/>
          <w:szCs w:val="20"/>
        </w:rPr>
        <w:t xml:space="preserve">Stephens v. Miller</w:t>
      </w:r>
      <w:r>
        <w:rPr>
          <w:rFonts w:ascii="Calibri" w:cs="Calibri" w:eastAsia="Calibri" w:hAnsi="Calibri"/>
          <w:sz w:val="20"/>
          <w:szCs w:val="20"/>
        </w:rPr>
        <w:t xml:space="preserve">; </w:t>
      </w:r>
      <w:r>
        <w:rPr>
          <w:rFonts w:ascii="Calibri" w:cs="Calibri" w:eastAsia="Calibri" w:hAnsi="Calibri"/>
          <w:i/>
          <w:iCs/>
          <w:sz w:val="20"/>
          <w:szCs w:val="20"/>
        </w:rPr>
        <w:t xml:space="preserve">United States v. Knox</w:t>
      </w:r>
      <w:r>
        <w:rPr>
          <w:rFonts w:ascii="Calibri" w:cs="Calibri" w:eastAsia="Calibri" w:hAnsi="Calibri"/>
          <w:sz w:val="20"/>
          <w:szCs w:val="20"/>
        </w:rPr>
        <w:t xml:space="preserve">. Skipped in the reading but covered on slides: </w:t>
      </w:r>
      <w:r>
        <w:rPr>
          <w:rFonts w:ascii="Calibri" w:cs="Calibri" w:eastAsia="Calibri" w:hAnsi="Calibri"/>
          <w:i/>
          <w:iCs/>
          <w:sz w:val="20"/>
          <w:szCs w:val="20"/>
        </w:rPr>
        <w:t xml:space="preserve">Biaggi</w:t>
      </w:r>
      <w:r>
        <w:rPr>
          <w:rFonts w:ascii="Calibri" w:cs="Calibri" w:eastAsia="Calibri" w:hAnsi="Calibri"/>
          <w:sz w:val="20"/>
          <w:szCs w:val="20"/>
        </w:rPr>
        <w:t xml:space="preserve"> (Class 5), </w:t>
      </w:r>
      <w:r>
        <w:rPr>
          <w:rFonts w:ascii="Calibri" w:cs="Calibri" w:eastAsia="Calibri" w:hAnsi="Calibri"/>
          <w:i/>
          <w:iCs/>
          <w:sz w:val="20"/>
          <w:szCs w:val="20"/>
        </w:rPr>
        <w:t xml:space="preserve">Kirsch</w:t>
      </w:r>
      <w:r>
        <w:rPr>
          <w:rFonts w:ascii="Calibri" w:cs="Calibri" w:eastAsia="Calibri" w:hAnsi="Calibri"/>
          <w:sz w:val="20"/>
          <w:szCs w:val="20"/>
        </w:rPr>
        <w:t xml:space="preserve"> (Class 7), </w:t>
      </w:r>
      <w:r>
        <w:rPr>
          <w:rFonts w:ascii="Calibri" w:cs="Calibri" w:eastAsia="Calibri" w:hAnsi="Calibri"/>
          <w:i/>
          <w:iCs/>
          <w:sz w:val="20"/>
          <w:szCs w:val="20"/>
        </w:rPr>
        <w:t xml:space="preserve">Halloran</w:t>
      </w:r>
      <w:r>
        <w:rPr>
          <w:rFonts w:ascii="Calibri" w:cs="Calibri" w:eastAsia="Calibri" w:hAnsi="Calibri"/>
          <w:sz w:val="20"/>
          <w:szCs w:val="20"/>
        </w:rPr>
        <w:t xml:space="preserve"> (Class 8), Wigmore (Class 10).</w:t>
      </w:r>
    </w:p>
    <w:p>
      <w:pPr>
        <w:pStyle w:val="Heading1"/>
        <w:keepNext/>
      </w:pPr>
      <w:r>
        <w:t xml:space="preserve">Background: The Federal Rules of Evidence (Week 1)</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Topic</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Origins and enactment</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An advisory committee appointed in 1965 (reporter Edward Cleary) drafted the rules from the common law, the Model Code of Evidence (1942) and the Uniform Rules of Evidence (1953). Congress enacted them in 1975 after amending many. Forty-five states and Puerto Rico follow them in whole or large part.</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Supreme Court was “merely a conduit” (Douglas, J., dissenting; later acknowledged in </w:t>
            </w:r>
            <w:r>
              <w:rPr>
                <w:rFonts w:ascii="Calibri" w:cs="Calibri" w:eastAsia="Calibri" w:hAnsi="Calibri"/>
                <w:i/>
                <w:iCs/>
                <w:sz w:val="19"/>
                <w:szCs w:val="19"/>
              </w:rPr>
              <w:t xml:space="preserve">Abel</w:t>
            </w:r>
            <w:r>
              <w:rPr>
                <w:rFonts w:ascii="Calibri" w:cs="Calibri" w:eastAsia="Calibri" w:hAnsi="Calibri"/>
                <w:sz w:val="19"/>
                <w:szCs w:val="19"/>
              </w:rPr>
              <w:t xml:space="preserve">). Congress scrapped thirteen proposed privilege rules and replaced them with one, </w:t>
            </w:r>
            <w:r>
              <w:rPr>
                <w:rFonts w:ascii="Calibri" w:cs="Calibri" w:eastAsia="Calibri" w:hAnsi="Calibri"/>
                <w:b/>
                <w:bCs/>
                <w:sz w:val="19"/>
                <w:szCs w:val="19"/>
              </w:rPr>
              <w:t xml:space="preserve">FRE 501</w:t>
            </w:r>
            <w:r>
              <w:rPr>
                <w:rFonts w:ascii="Calibri" w:cs="Calibri" w:eastAsia="Calibri" w:hAnsi="Calibri"/>
                <w:sz w:val="19"/>
                <w:szCs w:val="19"/>
              </w:rPr>
              <w:t xml:space="preserve">, leaving privileges to the courts.</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The 2011 restyling</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Led mainly by Professor Joseph Kimble, the restyled rules took effect December 1, 2011.</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Restyling changed style, not substance. Older cases quote the “unrestyled” text.</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Interpreting the rules</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text is the prime source of meaning, read in light of the legislative history (House, Senate and conference reports) and the Advisory Committee's Notes.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Cleary: legislative history may occasionally override even an apparently plain meaning.</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102</w:t>
            </w:r>
            <w:r>
              <w:rPr>
                <w:rFonts w:ascii="Calibri" w:cs="Calibri" w:eastAsia="Calibri" w:hAnsi="Calibri"/>
                <w:sz w:val="19"/>
                <w:szCs w:val="19"/>
              </w:rPr>
              <w:t xml:space="preserve"> — purpose</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rules are construed to administer every proceeding fairly, eliminate unjustifiable expense and delay, and promote the development of evidence law, to ascertain the truth and secure a just determination.</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readings pair it with </w:t>
            </w:r>
            <w:r>
              <w:rPr>
                <w:rFonts w:ascii="Calibri" w:cs="Calibri" w:eastAsia="Calibri" w:hAnsi="Calibri"/>
                <w:i/>
                <w:iCs/>
                <w:sz w:val="19"/>
                <w:szCs w:val="19"/>
              </w:rPr>
              <w:t xml:space="preserve">Old Chief</w:t>
            </w:r>
            <w:r>
              <w:rPr>
                <w:rFonts w:ascii="Calibri" w:cs="Calibri" w:eastAsia="Calibri" w:hAnsi="Calibri"/>
                <w:sz w:val="19"/>
                <w:szCs w:val="19"/>
              </w:rPr>
              <w:t xml:space="preserve"> (the effect of stipulations).</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Why have evidence rules?</w:t>
            </w:r>
            <w:r>
              <w:rPr>
                <w:rFonts w:ascii="Calibri" w:cs="Calibri" w:eastAsia="Calibri" w:hAnsi="Calibri"/>
                <w:sz w:val="19"/>
                <w:szCs w:val="19"/>
              </w:rPr>
              <w:t xml:space="preserve"> (Class 1)</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To save time, protect constitutional rights, produce truthful outcomes (guarding against bias and emotion), serve public policies such as privileges, and ensure relevance and reliability. In short, the rules control what information reaches the jury and how the jury may use it.</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Evidence law is “the child of the jury”: England abandoned trial by ordeal for juries around 1220. Recording, listening to, or observing federal jury deliberations is a crime (18 U.S.C. § 1508, since 1956; the slide's “§ 1580” is a typo).</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Objections</w:t>
            </w:r>
            <w:r>
              <w:rPr>
                <w:rFonts w:ascii="Calibri" w:cs="Calibri" w:eastAsia="Calibri" w:hAnsi="Calibri"/>
                <w:sz w:val="19"/>
                <w:szCs w:val="19"/>
              </w:rPr>
              <w:t xml:space="preserve"> (Class 1)</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An objection can go to the form of a question (leading, compound: Trial Advocacy) or to the admissibility of the evidence (this course).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Under the FRE, a relevance objection needn't say whether it attacks probativeness or materiality (Class 2).</w:t>
            </w:r>
          </w:p>
        </w:tc>
      </w:tr>
    </w:tbl>
    <w:p>
      <w:pPr>
        <w:pStyle w:val="Heading1"/>
        <w:keepNext/>
      </w:pPr>
      <w:r>
        <w:t xml:space="preserve">1. The Jury's Secrecy (Week 1)</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000"/>
        <w:gridCol w:w="4212"/>
      </w:tblGrid>
      <w:tr>
        <w:trPr>
          <w:cantSplit/>
          <w:tblHeader/>
        </w:trPr>
        <w:tc>
          <w:tcPr>
            <w:tcW w:type="dxa" w:w="29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4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3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Why it exists</w:t>
            </w:r>
          </w:p>
        </w:tc>
        <w:tc>
          <w:tcPr>
            <w:tcW w:type="dxa" w:w="42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606(b)</w:t>
            </w:r>
            <w:r>
              <w:rPr>
                <w:rFonts w:ascii="Calibri" w:cs="Calibri" w:eastAsia="Calibri" w:hAnsi="Calibri"/>
                <w:sz w:val="19"/>
                <w:szCs w:val="19"/>
              </w:rPr>
              <w:t xml:space="preserve"> — the no-impeachment rule</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After a verdict, jurors generally </w:t>
            </w:r>
            <w:r>
              <w:rPr>
                <w:rFonts w:ascii="Calibri" w:cs="Calibri" w:eastAsia="Calibri" w:hAnsi="Calibri"/>
                <w:b/>
                <w:bCs/>
                <w:sz w:val="19"/>
                <w:szCs w:val="19"/>
              </w:rPr>
              <w:t xml:space="preserve">can't testify about what happened during deliberations</w:t>
            </w:r>
            <w:r>
              <w:rPr>
                <w:rFonts w:ascii="Calibri" w:cs="Calibri" w:eastAsia="Calibri" w:hAnsi="Calibri"/>
                <w:sz w:val="19"/>
                <w:szCs w:val="19"/>
              </w:rPr>
              <w:t xml:space="preserve"> to try to overturn it.</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Protects frank debate, finality of verdicts, and jurors from harassment by the losing side.</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Exceptions:</w:t>
            </w:r>
            <w:r>
              <w:rPr>
                <w:rFonts w:ascii="Calibri" w:cs="Calibri" w:eastAsia="Calibri" w:hAnsi="Calibri"/>
                <w:sz w:val="19"/>
                <w:szCs w:val="19"/>
              </w:rPr>
              <w:t xml:space="preserve"> </w:t>
            </w:r>
            <w:r>
              <w:rPr>
                <w:rFonts w:ascii="Calibri" w:cs="Calibri" w:eastAsia="Calibri" w:hAnsi="Calibri"/>
                <w:b/>
                <w:bCs/>
                <w:sz w:val="19"/>
                <w:szCs w:val="19"/>
              </w:rPr>
              <w:t xml:space="preserve">extraneous prejudicial information</w:t>
            </w:r>
            <w:r>
              <w:rPr>
                <w:rFonts w:ascii="Calibri" w:cs="Calibri" w:eastAsia="Calibri" w:hAnsi="Calibri"/>
                <w:sz w:val="19"/>
                <w:szCs w:val="19"/>
              </w:rPr>
              <w:t xml:space="preserve"> (e.g., a newspaper account) and an </w:t>
            </w:r>
            <w:r>
              <w:rPr>
                <w:rFonts w:ascii="Calibri" w:cs="Calibri" w:eastAsia="Calibri" w:hAnsi="Calibri"/>
                <w:b/>
                <w:bCs/>
                <w:sz w:val="19"/>
                <w:szCs w:val="19"/>
              </w:rPr>
              <w:t xml:space="preserve">outside influence</w:t>
            </w:r>
            <w:r>
              <w:rPr>
                <w:rFonts w:ascii="Calibri" w:cs="Calibri" w:eastAsia="Calibri" w:hAnsi="Calibri"/>
                <w:sz w:val="19"/>
                <w:szCs w:val="19"/>
              </w:rPr>
              <w:t xml:space="preserve"> (e.g., a bribe or a threat).</w:t>
            </w:r>
          </w:p>
        </w:tc>
      </w:tr>
      <w:tr>
        <w:trPr>
          <w:cantSplit/>
          <w:tblHeader w:val="false"/>
        </w:trPr>
        <w:tc>
          <w:tcPr>
            <w:tcW w:type="dxa" w:w="29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External vs. internal matters</w:t>
            </w:r>
          </w:p>
        </w:tc>
        <w:tc>
          <w:tcPr>
            <w:tcW w:type="dxa" w:w="4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Whether something is "extraneous" or "outside" depends on the </w:t>
            </w:r>
            <w:r>
              <w:rPr>
                <w:rFonts w:ascii="Calibri" w:cs="Calibri" w:eastAsia="Calibri" w:hAnsi="Calibri"/>
                <w:i/>
                <w:iCs/>
                <w:sz w:val="19"/>
                <w:szCs w:val="19"/>
              </w:rPr>
              <w:t xml:space="preserve">nature</w:t>
            </w:r>
            <w:r>
              <w:rPr>
                <w:rFonts w:ascii="Calibri" w:cs="Calibri" w:eastAsia="Calibri" w:hAnsi="Calibri"/>
                <w:sz w:val="19"/>
                <w:szCs w:val="19"/>
              </w:rPr>
              <w:t xml:space="preserve"> of the allegation, not where it happened.</w:t>
            </w:r>
          </w:p>
        </w:tc>
        <w:tc>
          <w:tcPr>
            <w:tcW w:type="dxa" w:w="3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Keeps the exceptions narrow.</w:t>
            </w:r>
          </w:p>
        </w:tc>
        <w:tc>
          <w:tcPr>
            <w:tcW w:type="dxa" w:w="42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Internal, so barred:</w:t>
            </w:r>
            <w:r>
              <w:rPr>
                <w:rFonts w:ascii="Calibri" w:cs="Calibri" w:eastAsia="Calibri" w:hAnsi="Calibri"/>
                <w:sz w:val="19"/>
                <w:szCs w:val="19"/>
              </w:rPr>
              <w:t xml:space="preserve"> jurors' drug and alcohol use (</w:t>
            </w:r>
            <w:r>
              <w:rPr>
                <w:rFonts w:ascii="Calibri" w:cs="Calibri" w:eastAsia="Calibri" w:hAnsi="Calibri"/>
                <w:i/>
                <w:iCs/>
                <w:sz w:val="19"/>
                <w:szCs w:val="19"/>
              </w:rPr>
              <w:t xml:space="preserve">Tanner</w:t>
            </w:r>
            <w:r>
              <w:rPr>
                <w:rFonts w:ascii="Calibri" w:cs="Calibri" w:eastAsia="Calibri" w:hAnsi="Calibri"/>
                <w:sz w:val="19"/>
                <w:szCs w:val="19"/>
              </w:rPr>
              <w:t xml:space="preserve">); a juror's own past experiences (</w:t>
            </w:r>
            <w:r>
              <w:rPr>
                <w:rFonts w:ascii="Calibri" w:cs="Calibri" w:eastAsia="Calibri" w:hAnsi="Calibri"/>
                <w:i/>
                <w:iCs/>
                <w:sz w:val="19"/>
                <w:szCs w:val="19"/>
              </w:rPr>
              <w:t xml:space="preserve">Warger</w:t>
            </w:r>
            <w:r>
              <w:rPr>
                <w:rFonts w:ascii="Calibri" w:cs="Calibri" w:eastAsia="Calibri" w:hAnsi="Calibri"/>
                <w:sz w:val="19"/>
                <w:szCs w:val="19"/>
              </w:rPr>
              <w:t xml:space="preserve">).</w:t>
            </w:r>
          </w:p>
        </w:tc>
      </w:tr>
      <w:tr>
        <w:trPr>
          <w:cantSplit/>
          <w:tblHeader w:val="false"/>
        </w:trPr>
        <w:tc>
          <w:tcPr>
            <w:tcW w:type="dxa" w:w="29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The racial-bias exception</w:t>
            </w:r>
          </w:p>
        </w:tc>
        <w:tc>
          <w:tcPr>
            <w:tcW w:type="dxa" w:w="4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If a juror clearly relied on racial stereotypes or animus to convict a </w:t>
            </w:r>
            <w:r>
              <w:rPr>
                <w:rFonts w:ascii="Calibri" w:cs="Calibri" w:eastAsia="Calibri" w:hAnsi="Calibri"/>
                <w:b/>
                <w:bCs/>
                <w:sz w:val="19"/>
                <w:szCs w:val="19"/>
              </w:rPr>
              <w:t xml:space="preserve">criminal defendant</w:t>
            </w:r>
            <w:r>
              <w:rPr>
                <w:rFonts w:ascii="Calibri" w:cs="Calibri" w:eastAsia="Calibri" w:hAnsi="Calibri"/>
                <w:sz w:val="19"/>
                <w:szCs w:val="19"/>
              </w:rPr>
              <w:t xml:space="preserve">, the Sixth Amendment overrides the rule.</w:t>
            </w:r>
          </w:p>
        </w:tc>
        <w:tc>
          <w:tcPr>
            <w:tcW w:type="dxa" w:w="3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Racial bias is "a familiar and recurring evil."</w:t>
            </w:r>
          </w:p>
        </w:tc>
        <w:tc>
          <w:tcPr>
            <w:tcW w:type="dxa" w:w="4212"/>
            <w:tcMar>
              <w:top w:type="dxa" w:w="60"/>
              <w:left w:type="dxa" w:w="100"/>
              <w:bottom w:type="dxa" w:w="60"/>
              <w:right w:type="dxa" w:w="100"/>
            </w:tcMar>
          </w:tcPr>
          <w:p>
            <w:pPr>
              <w:keepNext w:val="false"/>
              <w:keepLines/>
              <w:spacing w:after="0" w:before="0" w:line="250"/>
            </w:pPr>
            <w:r>
              <w:rPr>
                <w:rFonts w:ascii="Calibri" w:cs="Calibri" w:eastAsia="Calibri" w:hAnsi="Calibri"/>
                <w:i/>
                <w:iCs/>
                <w:sz w:val="19"/>
                <w:szCs w:val="19"/>
              </w:rPr>
              <w:t xml:space="preserve">Peña-Rodriguez</w:t>
            </w:r>
            <w:r>
              <w:rPr>
                <w:rFonts w:ascii="Calibri" w:cs="Calibri" w:eastAsia="Calibri" w:hAnsi="Calibri"/>
                <w:sz w:val="19"/>
                <w:szCs w:val="19"/>
              </w:rPr>
              <w:t xml:space="preserve"> (2017). Animus must be a significant motivating factor; offhand comments don't qualify. Civil cases are debated (Problem I.1).</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Tanner v. United States</w:t>
            </w:r>
            <w:r>
              <w:rPr>
                <w:rFonts w:ascii="Calibri" w:cs="Calibri" w:eastAsia="Calibri" w:hAnsi="Calibri"/>
                <w:sz w:val="19"/>
                <w:szCs w:val="19"/>
              </w:rPr>
              <w:t xml:space="preserve"> (1987) — the leading case</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Jurors' drug and alcohol use during trial is internal, so juror testimony about it is barred and no further hearing was needed.</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jury deliberates in secret and renders its verdict in a word or two; the system won't look behind it. Rooted in </w:t>
            </w:r>
            <w:r>
              <w:rPr>
                <w:rFonts w:ascii="Calibri" w:cs="Calibri" w:eastAsia="Calibri" w:hAnsi="Calibri"/>
                <w:i/>
                <w:iCs/>
                <w:sz w:val="19"/>
                <w:szCs w:val="19"/>
              </w:rPr>
              <w:t xml:space="preserve">McDonald v. Pless</w:t>
            </w:r>
            <w:r>
              <w:rPr>
                <w:rFonts w:ascii="Calibri" w:cs="Calibri" w:eastAsia="Calibri" w:hAnsi="Calibri"/>
                <w:sz w:val="19"/>
                <w:szCs w:val="19"/>
              </w:rPr>
              <w:t xml:space="preserve"> (frankness and freedom of discussion).</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Other safeguards remain: voir dire, observation by the court and counsel during trial, jurors' reports before the verdict, and nonjuror evidence (e.g., courtroom personnel).</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Warger v. Shauers</w:t>
            </w:r>
            <w:r>
              <w:rPr>
                <w:rFonts w:ascii="Calibri" w:cs="Calibri" w:eastAsia="Calibri" w:hAnsi="Calibri"/>
                <w:sz w:val="19"/>
                <w:szCs w:val="19"/>
              </w:rPr>
              <w:t xml:space="preserve"> (2014)</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606(b) applies even when a party seeks a new trial on the ground that a juror lied during voir dire.</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Court applied the rule's plain meaning.</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juror's own past experiences are not “extraneous prejudicial information” under </w:t>
            </w:r>
            <w:r>
              <w:rPr>
                <w:rFonts w:ascii="Calibri" w:cs="Calibri" w:eastAsia="Calibri" w:hAnsi="Calibri"/>
                <w:b/>
                <w:bCs/>
                <w:sz w:val="19"/>
                <w:szCs w:val="19"/>
              </w:rPr>
              <w:t xml:space="preserve">606(b)(2)(A)</w:t>
            </w:r>
            <w:r>
              <w:rPr>
                <w:rFonts w:ascii="Calibri" w:cs="Calibri" w:eastAsia="Calibri" w:hAnsi="Calibri"/>
                <w:sz w:val="19"/>
                <w:szCs w:val="19"/>
              </w:rPr>
              <w:t xml:space="preserve">. External = publicity and case-specific information from outside; internal = what jurors bring with them and say in deliberations.</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606(b)(2)(C)</w:t>
            </w:r>
            <w:r>
              <w:rPr>
                <w:rFonts w:ascii="Calibri" w:cs="Calibri" w:eastAsia="Calibri" w:hAnsi="Calibri"/>
                <w:sz w:val="19"/>
                <w:szCs w:val="19"/>
              </w:rPr>
              <w:t xml:space="preserve"> — mistake on the verdict form (Class 1)</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juror may testify that a mistake was made in entering the verdict on the verdict form.</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Fixes clerical errors without probing deliberations.</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third textual exception, alongside (A) extraneous prejudicial information and (B) outside influence.</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Tanner</w:t>
            </w:r>
            <w:r>
              <w:rPr>
                <w:rFonts w:ascii="Calibri" w:cs="Calibri" w:eastAsia="Calibri" w:hAnsi="Calibri"/>
                <w:sz w:val="19"/>
                <w:szCs w:val="19"/>
              </w:rPr>
              <w:t xml:space="preserve"> — the tension and history (Class 1)</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606(b) vs. the Sixth Amendment right to a competent jury (“a tribunal both impartial and mentally competent,” </w:t>
            </w:r>
            <w:r>
              <w:rPr>
                <w:rFonts w:ascii="Calibri" w:cs="Calibri" w:eastAsia="Calibri" w:hAnsi="Calibri"/>
                <w:i/>
                <w:iCs/>
                <w:sz w:val="19"/>
                <w:szCs w:val="19"/>
              </w:rPr>
              <w:t xml:space="preserve">Jordan v. Massachusetts</w:t>
            </w:r>
            <w:r>
              <w:rPr>
                <w:rFonts w:ascii="Calibri" w:cs="Calibri" w:eastAsia="Calibri" w:hAnsi="Calibri"/>
                <w:sz w:val="19"/>
                <w:szCs w:val="19"/>
              </w:rPr>
              <w:t xml:space="preserve">). The common law flatly barred juror testimony except for “extraneous influence.” Majority: drugs and alcohol are no more an outside influence than a virus, poorly prepared food, or lack of sleep.</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Finality and protecting jurors. If verdicts could be overturned without external influence, losing parties would hound jurors.</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Legislative history: the House version allowed testimony about objective misconduct; the Senate version barred testimony about anything during deliberations, and the Senate version was enacted. </w:t>
            </w:r>
            <w:r>
              <w:rPr>
                <w:rFonts w:ascii="Calibri" w:cs="Calibri" w:eastAsia="Calibri" w:hAnsi="Calibri"/>
                <w:b/>
                <w:bCs/>
                <w:sz w:val="19"/>
                <w:szCs w:val="19"/>
              </w:rPr>
              <w:t xml:space="preserve">Dissent:</w:t>
            </w:r>
            <w:r>
              <w:rPr>
                <w:rFonts w:ascii="Calibri" w:cs="Calibri" w:eastAsia="Calibri" w:hAnsi="Calibri"/>
                <w:sz w:val="19"/>
                <w:szCs w:val="19"/>
              </w:rPr>
              <w:t xml:space="preserve"> 606(b) doesn't reach matters unrelated to deliberations, and courts can draw lines between minor indispositions and intoxicants.</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Warger</w:t>
            </w:r>
            <w:r>
              <w:rPr>
                <w:rFonts w:ascii="Calibri" w:cs="Calibri" w:eastAsia="Calibri" w:hAnsi="Calibri"/>
                <w:sz w:val="19"/>
                <w:szCs w:val="19"/>
              </w:rPr>
              <w:t xml:space="preserve"> — new trial for voir-dire dishonesty (Class 1)</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Two steps: (1) the juror failed to answer honestly a material voir dire question; (2) a correct answer would have provided a valid basis to challenge and remove the juror.</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Voir dire is the main safeguard of an impartial jury.</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Juror testimony about deliberations can't be used to make that showing. The case is </w:t>
            </w:r>
            <w:r>
              <w:rPr>
                <w:rFonts w:ascii="Calibri" w:cs="Calibri" w:eastAsia="Calibri" w:hAnsi="Calibri"/>
                <w:i/>
                <w:iCs/>
                <w:sz w:val="19"/>
                <w:szCs w:val="19"/>
              </w:rPr>
              <w:t xml:space="preserve">Warger v. Shauers</w:t>
            </w:r>
            <w:r>
              <w:rPr>
                <w:rFonts w:ascii="Calibri" w:cs="Calibri" w:eastAsia="Calibri" w:hAnsi="Calibri"/>
                <w:sz w:val="19"/>
                <w:szCs w:val="19"/>
              </w:rPr>
              <w:t xml:space="preserve">, 574 U.S. 40 (2014); the slide's “547” is a typo.</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Peña-Rodriguez</w:t>
            </w:r>
            <w:r>
              <w:rPr>
                <w:rFonts w:ascii="Calibri" w:cs="Calibri" w:eastAsia="Calibri" w:hAnsi="Calibri"/>
                <w:sz w:val="19"/>
                <w:szCs w:val="19"/>
              </w:rPr>
              <w:t xml:space="preserve"> — Colorado's rule and the dissents (Class 1)</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Colorado limited “extraneous prejudicial information” to legal content and specific factual information from outside the record, so ethnic bias didn't qualify. The Supreme Court reversed: racial discrimination is “especially pernicious in the administration of justice.”</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jury is “a criminal defendant's fundamental protection of life and liberty against race or color prejudice.”</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Thomas, J.:</w:t>
            </w:r>
            <w:r>
              <w:rPr>
                <w:rFonts w:ascii="Calibri" w:cs="Calibri" w:eastAsia="Calibri" w:hAnsi="Calibri"/>
                <w:sz w:val="19"/>
                <w:szCs w:val="19"/>
              </w:rPr>
              <w:t xml:space="preserve"> the no-impeachment rule was entrenched in the common law when the Fourteenth Amendment was ratified. </w:t>
            </w:r>
            <w:r>
              <w:rPr>
                <w:rFonts w:ascii="Calibri" w:cs="Calibri" w:eastAsia="Calibri" w:hAnsi="Calibri"/>
                <w:b/>
                <w:bCs/>
                <w:sz w:val="19"/>
                <w:szCs w:val="19"/>
              </w:rPr>
              <w:t xml:space="preserve">Alito, J.:</w:t>
            </w:r>
            <w:r>
              <w:rPr>
                <w:rFonts w:ascii="Calibri" w:cs="Calibri" w:eastAsia="Calibri" w:hAnsi="Calibri"/>
                <w:sz w:val="19"/>
                <w:szCs w:val="19"/>
              </w:rPr>
              <w:t xml:space="preserve"> the Sixth Amendment's protection doesn't depend on the nature of the jury's bias.</w:t>
            </w:r>
          </w:p>
        </w:tc>
      </w:tr>
    </w:tbl>
    <w:p>
      <w:pPr>
        <w:spacing w:after="120"/>
      </w:pPr>
    </w:p>
    <w:p>
      <w:pPr>
        <w:keepNext/>
        <w:keepLines/>
        <w:spacing w:after="100"/>
      </w:pPr>
      <w:r>
        <w:rPr>
          <w:rFonts w:ascii="Calibri" w:cs="Calibri" w:eastAsia="Calibri" w:hAnsi="Calibri"/>
          <w:b/>
          <w:bCs/>
          <w:sz w:val="20"/>
          <w:szCs w:val="20"/>
        </w:rPr>
        <w:t xml:space="preserve">The lesson:</w:t>
      </w:r>
      <w:r>
        <w:rPr>
          <w:rFonts w:ascii="Calibri" w:cs="Calibri" w:eastAsia="Calibri" w:hAnsi="Calibri"/>
          <w:sz w:val="20"/>
          <w:szCs w:val="20"/>
        </w:rPr>
        <w:t xml:space="preserve"> because the jury room is rarely examined, evidence rules screen what goes </w:t>
      </w:r>
      <w:r>
        <w:rPr>
          <w:rFonts w:ascii="Calibri" w:cs="Calibri" w:eastAsia="Calibri" w:hAnsi="Calibri"/>
          <w:i/>
          <w:iCs/>
          <w:sz w:val="20"/>
          <w:szCs w:val="20"/>
        </w:rPr>
        <w:t xml:space="preserve">into</w:t>
      </w:r>
      <w:r>
        <w:rPr>
          <w:rFonts w:ascii="Calibri" w:cs="Calibri" w:eastAsia="Calibri" w:hAnsi="Calibri"/>
          <w:sz w:val="20"/>
          <w:szCs w:val="20"/>
        </w:rPr>
        <w:t xml:space="preserve"> it.</w:t>
      </w:r>
    </w:p>
    <w:p>
      <w:pPr>
        <w:pStyle w:val="Heading1"/>
        <w:keepNext/>
      </w:pPr>
      <w:r>
        <w:t xml:space="preserve">2. General Principles of Relevance (Weeks 1–2)</w:t>
      </w:r>
    </w:p>
    <w:p>
      <w:pPr>
        <w:pStyle w:val="Heading2"/>
        <w:keepNext/>
      </w:pPr>
      <w:r>
        <w:t xml:space="preserve">Probativeness and Materiality — FRE 401 &amp; 402</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000"/>
        <w:gridCol w:w="4212"/>
      </w:tblGrid>
      <w:tr>
        <w:trPr>
          <w:cantSplit/>
          <w:tblHeader/>
        </w:trPr>
        <w:tc>
          <w:tcPr>
            <w:tcW w:type="dxa" w:w="29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4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3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Why it exists</w:t>
            </w:r>
          </w:p>
        </w:tc>
        <w:tc>
          <w:tcPr>
            <w:tcW w:type="dxa" w:w="42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401</w:t>
            </w:r>
            <w:r>
              <w:rPr>
                <w:rFonts w:ascii="Calibri" w:cs="Calibri" w:eastAsia="Calibri" w:hAnsi="Calibri"/>
                <w:sz w:val="19"/>
                <w:szCs w:val="19"/>
              </w:rPr>
              <w:t xml:space="preserve"> — test for relevant evidence</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Relevant if it (a) has </w:t>
            </w:r>
            <w:r>
              <w:rPr>
                <w:rFonts w:ascii="Calibri" w:cs="Calibri" w:eastAsia="Calibri" w:hAnsi="Calibri"/>
                <w:b/>
                <w:bCs/>
                <w:sz w:val="19"/>
                <w:szCs w:val="19"/>
              </w:rPr>
              <w:t xml:space="preserve">any tendency</w:t>
            </w:r>
            <w:r>
              <w:rPr>
                <w:rFonts w:ascii="Calibri" w:cs="Calibri" w:eastAsia="Calibri" w:hAnsi="Calibri"/>
                <w:sz w:val="19"/>
                <w:szCs w:val="19"/>
              </w:rPr>
              <w:t xml:space="preserve"> to make a fact more or less probable (</w:t>
            </w:r>
            <w:r>
              <w:rPr>
                <w:rFonts w:ascii="Calibri" w:cs="Calibri" w:eastAsia="Calibri" w:hAnsi="Calibri"/>
                <w:b/>
                <w:bCs/>
                <w:sz w:val="19"/>
                <w:szCs w:val="19"/>
              </w:rPr>
              <w:t xml:space="preserve">probativeness</w:t>
            </w:r>
            <w:r>
              <w:rPr>
                <w:rFonts w:ascii="Calibri" w:cs="Calibri" w:eastAsia="Calibri" w:hAnsi="Calibri"/>
                <w:sz w:val="19"/>
                <w:szCs w:val="19"/>
              </w:rPr>
              <w:t xml:space="preserve">) and (b) the fact is </w:t>
            </w:r>
            <w:r>
              <w:rPr>
                <w:rFonts w:ascii="Calibri" w:cs="Calibri" w:eastAsia="Calibri" w:hAnsi="Calibri"/>
                <w:b/>
                <w:bCs/>
                <w:sz w:val="19"/>
                <w:szCs w:val="19"/>
              </w:rPr>
              <w:t xml:space="preserve">of consequence</w:t>
            </w:r>
            <w:r>
              <w:rPr>
                <w:rFonts w:ascii="Calibri" w:cs="Calibri" w:eastAsia="Calibri" w:hAnsi="Calibri"/>
                <w:sz w:val="19"/>
                <w:szCs w:val="19"/>
              </w:rPr>
              <w:t xml:space="preserve"> (</w:t>
            </w:r>
            <w:r>
              <w:rPr>
                <w:rFonts w:ascii="Calibri" w:cs="Calibri" w:eastAsia="Calibri" w:hAnsi="Calibri"/>
                <w:b/>
                <w:bCs/>
                <w:sz w:val="19"/>
                <w:szCs w:val="19"/>
              </w:rPr>
              <w:t xml:space="preserve">materiality</w:t>
            </w:r>
            <w:r>
              <w:rPr>
                <w:rFonts w:ascii="Calibri" w:cs="Calibri" w:eastAsia="Calibri" w:hAnsi="Calibri"/>
                <w:sz w:val="19"/>
                <w:szCs w:val="19"/>
              </w:rPr>
              <w:t xml:space="preserve">).</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Keeps the trial on the real issues.</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very low bar: "a brick is not a wall." Materiality comes from substantive law (</w:t>
            </w:r>
            <w:r>
              <w:rPr>
                <w:rFonts w:ascii="Calibri" w:cs="Calibri" w:eastAsia="Calibri" w:hAnsi="Calibri"/>
                <w:i/>
                <w:iCs/>
                <w:sz w:val="19"/>
                <w:szCs w:val="19"/>
              </w:rPr>
              <w:t xml:space="preserve">Egelhoff</w:t>
            </w:r>
            <w:r>
              <w:rPr>
                <w:rFonts w:ascii="Calibri" w:cs="Calibri" w:eastAsia="Calibri" w:hAnsi="Calibri"/>
                <w:sz w:val="19"/>
                <w:szCs w:val="19"/>
              </w:rPr>
              <w:t xml:space="preserve">).</w:t>
            </w:r>
          </w:p>
        </w:tc>
      </w:tr>
      <w:tr>
        <w:trPr>
          <w:cantSplit/>
          <w:tblHeader w:val="false"/>
        </w:trPr>
        <w:tc>
          <w:tcPr>
            <w:tcW w:type="dxa" w:w="29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402</w:t>
            </w:r>
            <w:r>
              <w:rPr>
                <w:rFonts w:ascii="Calibri" w:cs="Calibri" w:eastAsia="Calibri" w:hAnsi="Calibri"/>
                <w:sz w:val="19"/>
                <w:szCs w:val="19"/>
              </w:rPr>
              <w:t xml:space="preserve"> — general admissibility</w:t>
            </w:r>
          </w:p>
        </w:tc>
        <w:tc>
          <w:tcPr>
            <w:tcW w:type="dxa" w:w="4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Relevant evidence is admissible unless a rule excludes it; irrelevant evidence is not.</w:t>
            </w:r>
          </w:p>
        </w:tc>
        <w:tc>
          <w:tcPr>
            <w:tcW w:type="dxa" w:w="3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The starting point.</w:t>
            </w:r>
          </w:p>
        </w:tc>
        <w:tc>
          <w:tcPr>
            <w:tcW w:type="dxa" w:w="4212"/>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Most of the course is the exceptions.</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Relevance is relational</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Relevance is not a property of evidence itself but a relation between the evidence and a proposition the substantive law makes provable (George F. James).</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Frames the probativeness / materiality split.</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Problems 1.1–1.3: “Show Me the Body,” Passports, Polygraph Consent.</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United States v. James</w:t>
            </w:r>
            <w:r>
              <w:rPr>
                <w:rFonts w:ascii="Calibri" w:cs="Calibri" w:eastAsia="Calibri" w:hAnsi="Calibri"/>
                <w:sz w:val="19"/>
                <w:szCs w:val="19"/>
              </w:rPr>
              <w:t xml:space="preserve"> (9th Cir. 1999, en banc)</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In a self-defense case, court records of the victim's violent acts, which the defendant never saw, were relevant: they corroborated her testimony that he had bragged to her about them.</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material issue was her state of mind, but probativeness can run through corroboration.</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Judge Kleinfeld's dissent saw unfair prejudice to the government (think 403). Compare </w:t>
            </w:r>
            <w:r>
              <w:rPr>
                <w:rFonts w:ascii="Calibri" w:cs="Calibri" w:eastAsia="Calibri" w:hAnsi="Calibri"/>
                <w:i/>
                <w:iCs/>
                <w:sz w:val="19"/>
                <w:szCs w:val="19"/>
              </w:rPr>
              <w:t xml:space="preserve">Knapp v. State</w:t>
            </w:r>
            <w:r>
              <w:rPr>
                <w:rFonts w:ascii="Calibri" w:cs="Calibri" w:eastAsia="Calibri" w:hAnsi="Calibri"/>
                <w:sz w:val="19"/>
                <w:szCs w:val="19"/>
              </w:rPr>
              <w:t xml:space="preserve">: proof that the stories were false discredits the defendant's claim he heard them.</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Probativeness vs. materiality, applied</w:t>
            </w:r>
            <w:r>
              <w:rPr>
                <w:rFonts w:ascii="Calibri" w:cs="Calibri" w:eastAsia="Calibri" w:hAnsi="Calibri"/>
                <w:sz w:val="19"/>
                <w:szCs w:val="19"/>
              </w:rPr>
              <w:t xml:space="preserve"> (Class 2)</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Probative: in a burglary, a prompt history beginning “how to disable a home alarm” or a text saying “I'm getting the jewelry” tends to show intent; library books don't. Material: in a dog-bite negligence case, leash habits and bite history matter; dog-food brand doesn't.</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Separates “does it move the needle?” from “does the needle matter?”</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Lies to police can show consciousness of guilt (Brother's Keeper clips).</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James</w:t>
            </w:r>
            <w:r>
              <w:rPr>
                <w:rFonts w:ascii="Calibri" w:cs="Calibri" w:eastAsia="Calibri" w:hAnsi="Calibri"/>
                <w:sz w:val="19"/>
                <w:szCs w:val="19"/>
              </w:rPr>
              <w:t xml:space="preserve"> — trial vs. appellate framing; 403 dissent (Classes 2–3)</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jury asked for police reports of Ogden's past violence. The trial court asked: relevant to James's </w:t>
            </w:r>
            <w:r>
              <w:rPr>
                <w:rFonts w:ascii="Calibri" w:cs="Calibri" w:eastAsia="Calibri" w:hAnsi="Calibri"/>
                <w:i/>
                <w:iCs/>
                <w:sz w:val="19"/>
                <w:szCs w:val="19"/>
              </w:rPr>
              <w:t xml:space="preserve">state of mind</w:t>
            </w:r>
            <w:r>
              <w:rPr>
                <w:rFonts w:ascii="Calibri" w:cs="Calibri" w:eastAsia="Calibri" w:hAnsi="Calibri"/>
                <w:sz w:val="19"/>
                <w:szCs w:val="19"/>
              </w:rPr>
              <w:t xml:space="preserve">? (No: she never saw them.) The en banc court asked: relevant to her </w:t>
            </w:r>
            <w:r>
              <w:rPr>
                <w:rFonts w:ascii="Calibri" w:cs="Calibri" w:eastAsia="Calibri" w:hAnsi="Calibri"/>
                <w:i/>
                <w:iCs/>
                <w:sz w:val="19"/>
                <w:szCs w:val="19"/>
              </w:rPr>
              <w:t xml:space="preserve">testimony</w:t>
            </w:r>
            <w:r>
              <w:rPr>
                <w:rFonts w:ascii="Calibri" w:cs="Calibri" w:eastAsia="Calibri" w:hAnsi="Calibri"/>
                <w:sz w:val="19"/>
                <w:szCs w:val="19"/>
              </w:rPr>
              <w:t xml:space="preserve"> about her state of mind? (Yes: corroboration.)</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Shows how framing the fact of consequence decides relevance.</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Dissent (403):</w:t>
            </w:r>
            <w:r>
              <w:rPr>
                <w:rFonts w:ascii="Calibri" w:cs="Calibri" w:eastAsia="Calibri" w:hAnsi="Calibri"/>
                <w:sz w:val="19"/>
                <w:szCs w:val="19"/>
              </w:rPr>
              <w:t xml:space="preserve"> Jaylene testified Ogden had his hands up and she didn't fear him. Proof that he really stabbed a man risks jurors thinking he deserved to be shot.</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Flight evidence</w:t>
            </w:r>
            <w:r>
              <w:rPr>
                <w:rFonts w:ascii="Calibri" w:cs="Calibri" w:eastAsia="Calibri" w:hAnsi="Calibri"/>
                <w:sz w:val="19"/>
                <w:szCs w:val="19"/>
              </w:rPr>
              <w:t xml:space="preserve"> (Class 3)</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Four inferences: (1) the behavior was flight; (2) flight → consciousness of guilt; (3) → consciousness of guilt about </w:t>
            </w:r>
            <w:r>
              <w:rPr>
                <w:rFonts w:ascii="Calibri" w:cs="Calibri" w:eastAsia="Calibri" w:hAnsi="Calibri"/>
                <w:i/>
                <w:iCs/>
                <w:sz w:val="19"/>
                <w:szCs w:val="19"/>
              </w:rPr>
              <w:t xml:space="preserve">this</w:t>
            </w:r>
            <w:r>
              <w:rPr>
                <w:rFonts w:ascii="Calibri" w:cs="Calibri" w:eastAsia="Calibri" w:hAnsi="Calibri"/>
                <w:sz w:val="19"/>
                <w:szCs w:val="19"/>
              </w:rPr>
              <w:t xml:space="preserve"> crime; (4) → actual guilt. Each link can break.</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Lawyers should identify the missing links.</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Commonwealth v. Warren</w:t>
            </w:r>
            <w:r>
              <w:rPr>
                <w:rFonts w:ascii="Calibri" w:cs="Calibri" w:eastAsia="Calibri" w:hAnsi="Calibri"/>
                <w:sz w:val="19"/>
                <w:szCs w:val="19"/>
              </w:rPr>
              <w:t xml:space="preserve"> (Mass. 2016): Black men in Boston, repeatedly targeted for police encounters, may flee to avoid racial profiling, not to hide crime; a qualified community witness may testify to that (critical race theory of evidence). Other reasons to flee: fear of false accusation, being made a witness, wasted time, or being seen cooperating.</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Problems 1.9 &amp; 1.10</w:t>
            </w:r>
            <w:r>
              <w:rPr>
                <w:rFonts w:ascii="Calibri" w:cs="Calibri" w:eastAsia="Calibri" w:hAnsi="Calibri"/>
                <w:sz w:val="19"/>
                <w:szCs w:val="19"/>
              </w:rPr>
              <w:t xml:space="preserve"> — flight and unfair prejudice (Class 3)</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1.9: explaining his flight risked revealing Cutchall's old unarmed-robbery prison term. 1.10: Johnson's explanation (he feared discovery of marijuana) risked jurors punishing the uncharged offense.</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Explaining flight can itself prejudice the defendant.</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Prosecution answers: the robbery was 12 years old and dissimilar to murder; the marijuana was trivial.</w:t>
            </w:r>
          </w:p>
        </w:tc>
      </w:tr>
    </w:tbl>
    <w:p>
      <w:pPr>
        <w:spacing w:after="120"/>
      </w:pPr>
    </w:p>
    <w:p>
      <w:pPr>
        <w:pStyle w:val="Heading2"/>
        <w:keepNext/>
      </w:pPr>
      <w:r>
        <w:t xml:space="preserve">Conditional Relevance — FRE 104(b)</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000"/>
        <w:gridCol w:w="4212"/>
      </w:tblGrid>
      <w:tr>
        <w:trPr>
          <w:cantSplit/>
          <w:tblHeader/>
        </w:trPr>
        <w:tc>
          <w:tcPr>
            <w:tcW w:type="dxa" w:w="29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4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3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Why it exists</w:t>
            </w:r>
          </w:p>
        </w:tc>
        <w:tc>
          <w:tcPr>
            <w:tcW w:type="dxa" w:w="42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29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104(b)</w:t>
            </w:r>
            <w:r>
              <w:rPr>
                <w:rFonts w:ascii="Calibri" w:cs="Calibri" w:eastAsia="Calibri" w:hAnsi="Calibri"/>
                <w:sz w:val="19"/>
                <w:szCs w:val="19"/>
              </w:rPr>
              <w:t xml:space="preserve"> — relevance that depends on a fact</w:t>
            </w:r>
          </w:p>
        </w:tc>
        <w:tc>
          <w:tcPr>
            <w:tcW w:type="dxa" w:w="4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When evidence matters only if another fact is true (e.g., the defendant </w:t>
            </w:r>
            <w:r>
              <w:rPr>
                <w:rFonts w:ascii="Calibri" w:cs="Calibri" w:eastAsia="Calibri" w:hAnsi="Calibri"/>
                <w:b/>
                <w:bCs/>
                <w:sz w:val="19"/>
                <w:szCs w:val="19"/>
              </w:rPr>
              <w:t xml:space="preserve">knew</w:t>
            </w:r>
            <w:r>
              <w:rPr>
                <w:rFonts w:ascii="Calibri" w:cs="Calibri" w:eastAsia="Calibri" w:hAnsi="Calibri"/>
                <w:sz w:val="19"/>
                <w:szCs w:val="19"/>
              </w:rPr>
              <w:t xml:space="preserve"> of a motive), there must be proof sufficient for a jury to </w:t>
            </w:r>
            <w:r>
              <w:rPr>
                <w:rFonts w:ascii="Calibri" w:cs="Calibri" w:eastAsia="Calibri" w:hAnsi="Calibri"/>
                <w:b/>
                <w:bCs/>
                <w:sz w:val="19"/>
                <w:szCs w:val="19"/>
              </w:rPr>
              <w:t xml:space="preserve">reasonably find</w:t>
            </w:r>
            <w:r>
              <w:rPr>
                <w:rFonts w:ascii="Calibri" w:cs="Calibri" w:eastAsia="Calibri" w:hAnsi="Calibri"/>
                <w:sz w:val="19"/>
                <w:szCs w:val="19"/>
              </w:rPr>
              <w:t xml:space="preserve"> that fact by a preponderance.</w:t>
            </w:r>
          </w:p>
        </w:tc>
        <w:tc>
          <w:tcPr>
            <w:tcW w:type="dxa" w:w="3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Stops evidence whose logic has a missing link.</w:t>
            </w:r>
          </w:p>
        </w:tc>
        <w:tc>
          <w:tcPr>
            <w:tcW w:type="dxa" w:w="42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Lenient standard (</w:t>
            </w:r>
            <w:r>
              <w:rPr>
                <w:rFonts w:ascii="Calibri" w:cs="Calibri" w:eastAsia="Calibri" w:hAnsi="Calibri"/>
                <w:i/>
                <w:iCs/>
                <w:sz w:val="19"/>
                <w:szCs w:val="19"/>
              </w:rPr>
              <w:t xml:space="preserve">Huddleston</w:t>
            </w:r>
            <w:r>
              <w:rPr>
                <w:rFonts w:ascii="Calibri" w:cs="Calibri" w:eastAsia="Calibri" w:hAnsi="Calibri"/>
                <w:sz w:val="19"/>
                <w:szCs w:val="19"/>
              </w:rPr>
              <w:t xml:space="preserve">); may be admitted on condition of later proof (</w:t>
            </w:r>
            <w:r>
              <w:rPr>
                <w:rFonts w:ascii="Calibri" w:cs="Calibri" w:eastAsia="Calibri" w:hAnsi="Calibri"/>
                <w:i/>
                <w:iCs/>
                <w:sz w:val="19"/>
                <w:szCs w:val="19"/>
              </w:rPr>
              <w:t xml:space="preserve">Cox</w:t>
            </w:r>
            <w:r>
              <w:rPr>
                <w:rFonts w:ascii="Calibri" w:cs="Calibri" w:eastAsia="Calibri" w:hAnsi="Calibri"/>
                <w:sz w:val="19"/>
                <w:szCs w:val="19"/>
              </w:rPr>
              <w:t xml:space="preserve">). Scholars say all relevance is conditional.</w:t>
            </w:r>
          </w:p>
        </w:tc>
      </w:tr>
      <w:tr>
        <w:trPr>
          <w:cantSplit/>
          <w:tblHeader w:val="false"/>
        </w:trPr>
        <w:tc>
          <w:tcPr>
            <w:tcW w:type="dxa" w:w="29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104(a)</w:t>
            </w:r>
            <w:r>
              <w:rPr>
                <w:rFonts w:ascii="Calibri" w:cs="Calibri" w:eastAsia="Calibri" w:hAnsi="Calibri"/>
                <w:sz w:val="19"/>
                <w:szCs w:val="19"/>
              </w:rPr>
              <w:t xml:space="preserve"> — preliminary questions for the judge</w:t>
            </w:r>
          </w:p>
        </w:tc>
        <w:tc>
          <w:tcPr>
            <w:tcW w:type="dxa" w:w="4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The judge decides whether a witness is qualified, a privilege exists, or evidence is admissible, by a preponderance (</w:t>
            </w:r>
            <w:r>
              <w:rPr>
                <w:rFonts w:ascii="Calibri" w:cs="Calibri" w:eastAsia="Calibri" w:hAnsi="Calibri"/>
                <w:i/>
                <w:iCs/>
                <w:sz w:val="19"/>
                <w:szCs w:val="19"/>
              </w:rPr>
              <w:t xml:space="preserve">Bourjaily</w:t>
            </w:r>
            <w:r>
              <w:rPr>
                <w:rFonts w:ascii="Calibri" w:cs="Calibri" w:eastAsia="Calibri" w:hAnsi="Calibri"/>
                <w:sz w:val="19"/>
                <w:szCs w:val="19"/>
              </w:rPr>
              <w:t xml:space="preserve">), and is not bound by the evidence rules except privilege.</w:t>
            </w:r>
          </w:p>
        </w:tc>
        <w:tc>
          <w:tcPr>
            <w:tcW w:type="dxa" w:w="3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Keeps technical admissibility calls with the judge.</w:t>
            </w:r>
          </w:p>
        </w:tc>
        <w:tc>
          <w:tcPr>
            <w:tcW w:type="dxa" w:w="4212"/>
            <w:tcMar>
              <w:top w:type="dxa" w:w="60"/>
              <w:left w:type="dxa" w:w="100"/>
              <w:bottom w:type="dxa" w:w="60"/>
              <w:right w:type="dxa" w:w="100"/>
            </w:tcMar>
          </w:tcPr>
          <w:p>
            <w:pPr>
              <w:keepNext w:val="false"/>
              <w:keepLines/>
              <w:spacing w:after="0" w:before="0" w:line="250"/>
            </w:pPr>
            <w:r>
              <w:rPr>
                <w:rFonts w:ascii="Calibri" w:cs="Calibri" w:eastAsia="Calibri" w:hAnsi="Calibri"/>
                <w:i/>
                <w:iCs/>
                <w:sz w:val="19"/>
                <w:szCs w:val="19"/>
              </w:rPr>
              <w:t xml:space="preserve">Huddleston</w:t>
            </w:r>
            <w:r>
              <w:rPr>
                <w:rFonts w:ascii="Calibri" w:cs="Calibri" w:eastAsia="Calibri" w:hAnsi="Calibri"/>
                <w:sz w:val="19"/>
                <w:szCs w:val="19"/>
              </w:rPr>
              <w:t xml:space="preserve">: proof of a 404(b) other act is a 104(b) jury question, not a 104(a) finding by the judge.</w:t>
            </w:r>
          </w:p>
        </w:tc>
      </w:tr>
      <w:tr>
        <w:trPr>
          <w:cantSplit/>
          <w:tblHeader w:val="false"/>
        </w:trPr>
        <w:tc>
          <w:tcPr>
            <w:tcW w:type="dxa" w:w="29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Cox v. State</w:t>
            </w:r>
            <w:r>
              <w:rPr>
                <w:rFonts w:ascii="Calibri" w:cs="Calibri" w:eastAsia="Calibri" w:hAnsi="Calibri"/>
                <w:sz w:val="19"/>
                <w:szCs w:val="19"/>
              </w:rPr>
              <w:t xml:space="preserve">, 696 N.E.2d 853 (Ind. 1998) (Classes 2–3)</w:t>
            </w:r>
          </w:p>
        </w:tc>
        <w:tc>
          <w:tcPr>
            <w:tcW w:type="dxa" w:w="4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To prove a retaliation motive, the state offered a prosecutor's testimony about Hammer's bond hearing (new felony charges were coming and bond wasn't reduced). That was relevant only if Cox knew what happened there. Evidence that Cox was at the house of Hammer's mother (who attended the hearing) almost every day supported that inference.</w:t>
            </w:r>
          </w:p>
        </w:tc>
        <w:tc>
          <w:tcPr>
            <w:tcW w:type="dxa" w:w="3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Illustrates the missing-link problem.</w:t>
            </w:r>
          </w:p>
        </w:tc>
        <w:tc>
          <w:tcPr>
            <w:tcW w:type="dxa" w:w="42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Sufficient: the court doesn't weigh credibility or make a finding (</w:t>
            </w:r>
            <w:r>
              <w:rPr>
                <w:rFonts w:ascii="Calibri" w:cs="Calibri" w:eastAsia="Calibri" w:hAnsi="Calibri"/>
                <w:i/>
                <w:iCs/>
                <w:sz w:val="19"/>
                <w:szCs w:val="19"/>
              </w:rPr>
              <w:t xml:space="preserve">Huddleston</w:t>
            </w:r>
            <w:r>
              <w:rPr>
                <w:rFonts w:ascii="Calibri" w:cs="Calibri" w:eastAsia="Calibri" w:hAnsi="Calibri"/>
                <w:sz w:val="19"/>
                <w:szCs w:val="19"/>
              </w:rPr>
              <w:t xml:space="preserve">). The Advisory Committee's Note to 104(b) contains an error: the boldfaced “not” should be deleted. If the connection is never made, the judge instructs the jury to disregard.</w:t>
            </w:r>
          </w:p>
        </w:tc>
      </w:tr>
      <w:tr>
        <w:trPr>
          <w:cantSplit/>
          <w:tblHeader w:val="false"/>
        </w:trPr>
        <w:tc>
          <w:tcPr>
            <w:tcW w:type="dxa" w:w="29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All relevance is conditional</w:t>
            </w:r>
            <w:r>
              <w:rPr>
                <w:rFonts w:ascii="Calibri" w:cs="Calibri" w:eastAsia="Calibri" w:hAnsi="Calibri"/>
                <w:sz w:val="19"/>
                <w:szCs w:val="19"/>
              </w:rPr>
              <w:t xml:space="preserve"> (Classes 2–3)</w:t>
            </w:r>
          </w:p>
        </w:tc>
        <w:tc>
          <w:tcPr>
            <w:tcW w:type="dxa" w:w="4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Buying a weapon of the kind used the day before a murder is relevant, but what if it was a candlestick during a blackout, or a hunting rifle when hundreds were sold that day?</w:t>
            </w:r>
          </w:p>
        </w:tc>
        <w:tc>
          <w:tcPr>
            <w:tcW w:type="dxa" w:w="3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Relevance always depends on the other information in the case.</w:t>
            </w:r>
          </w:p>
        </w:tc>
        <w:tc>
          <w:tcPr>
            <w:tcW w:type="dxa" w:w="42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“Sharp lawyers will identify the missing links without which the chain breaks apart.”</w:t>
            </w:r>
          </w:p>
        </w:tc>
      </w:tr>
    </w:tbl>
    <w:p>
      <w:pPr>
        <w:spacing w:after="120"/>
      </w:pPr>
    </w:p>
    <w:p>
      <w:pPr>
        <w:pStyle w:val="Heading2"/>
        <w:keepNext/>
      </w:pPr>
      <w:r>
        <w:t xml:space="preserve">Probativeness versus the Risk of Unfair Prejudice — FRE 403 &amp; 105</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000"/>
        <w:gridCol w:w="4212"/>
      </w:tblGrid>
      <w:tr>
        <w:trPr>
          <w:cantSplit/>
          <w:tblHeader/>
        </w:trPr>
        <w:tc>
          <w:tcPr>
            <w:tcW w:type="dxa" w:w="29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4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3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Why it exists</w:t>
            </w:r>
          </w:p>
        </w:tc>
        <w:tc>
          <w:tcPr>
            <w:tcW w:type="dxa" w:w="42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403</w:t>
            </w:r>
            <w:r>
              <w:rPr>
                <w:rFonts w:ascii="Calibri" w:cs="Calibri" w:eastAsia="Calibri" w:hAnsi="Calibri"/>
                <w:sz w:val="19"/>
                <w:szCs w:val="19"/>
              </w:rPr>
              <w:t xml:space="preserve"> — the balancing test</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court </w:t>
            </w:r>
            <w:r>
              <w:rPr>
                <w:rFonts w:ascii="Calibri" w:cs="Calibri" w:eastAsia="Calibri" w:hAnsi="Calibri"/>
                <w:b/>
                <w:bCs/>
                <w:sz w:val="19"/>
                <w:szCs w:val="19"/>
              </w:rPr>
              <w:t xml:space="preserve">may</w:t>
            </w:r>
            <w:r>
              <w:rPr>
                <w:rFonts w:ascii="Calibri" w:cs="Calibri" w:eastAsia="Calibri" w:hAnsi="Calibri"/>
                <w:sz w:val="19"/>
                <w:szCs w:val="19"/>
              </w:rPr>
              <w:t xml:space="preserve"> exclude relevant evidence if its probative value is </w:t>
            </w:r>
            <w:r>
              <w:rPr>
                <w:rFonts w:ascii="Calibri" w:cs="Calibri" w:eastAsia="Calibri" w:hAnsi="Calibri"/>
                <w:b/>
                <w:bCs/>
                <w:sz w:val="19"/>
                <w:szCs w:val="19"/>
              </w:rPr>
              <w:t xml:space="preserve">substantially outweighed</w:t>
            </w:r>
            <w:r>
              <w:rPr>
                <w:rFonts w:ascii="Calibri" w:cs="Calibri" w:eastAsia="Calibri" w:hAnsi="Calibri"/>
                <w:sz w:val="19"/>
                <w:szCs w:val="19"/>
              </w:rPr>
              <w:t xml:space="preserve"> by unfair prejudice, confusing the issues, misleading the jury, undue delay, wasting time, or cumulative evidence.</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safety valve against inflaming or distracting evidence.</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Favors admission. Only </w:t>
            </w:r>
            <w:r>
              <w:rPr>
                <w:rFonts w:ascii="Calibri" w:cs="Calibri" w:eastAsia="Calibri" w:hAnsi="Calibri"/>
                <w:b/>
                <w:bCs/>
                <w:sz w:val="19"/>
                <w:szCs w:val="19"/>
              </w:rPr>
              <w:t xml:space="preserve">unfair</w:t>
            </w:r>
            <w:r>
              <w:rPr>
                <w:rFonts w:ascii="Calibri" w:cs="Calibri" w:eastAsia="Calibri" w:hAnsi="Calibri"/>
                <w:sz w:val="19"/>
                <w:szCs w:val="19"/>
              </w:rPr>
              <w:t xml:space="preserve"> prejudice counts. Available alternatives can discount probative value (</w:t>
            </w:r>
            <w:r>
              <w:rPr>
                <w:rFonts w:ascii="Calibri" w:cs="Calibri" w:eastAsia="Calibri" w:hAnsi="Calibri"/>
                <w:i/>
                <w:iCs/>
                <w:sz w:val="19"/>
                <w:szCs w:val="19"/>
              </w:rPr>
              <w:t xml:space="preserve">Old Chief</w:t>
            </w:r>
            <w:r>
              <w:rPr>
                <w:rFonts w:ascii="Calibri" w:cs="Calibri" w:eastAsia="Calibri" w:hAnsi="Calibri"/>
                <w:sz w:val="19"/>
                <w:szCs w:val="19"/>
              </w:rPr>
              <w:t xml:space="preserve">).</w:t>
            </w:r>
          </w:p>
        </w:tc>
      </w:tr>
      <w:tr>
        <w:trPr>
          <w:cantSplit/>
          <w:tblHeader w:val="false"/>
        </w:trPr>
        <w:tc>
          <w:tcPr>
            <w:tcW w:type="dxa" w:w="29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105</w:t>
            </w:r>
            <w:r>
              <w:rPr>
                <w:rFonts w:ascii="Calibri" w:cs="Calibri" w:eastAsia="Calibri" w:hAnsi="Calibri"/>
                <w:sz w:val="19"/>
                <w:szCs w:val="19"/>
              </w:rPr>
              <w:t xml:space="preserve"> — limiting instruction</w:t>
            </w:r>
          </w:p>
        </w:tc>
        <w:tc>
          <w:tcPr>
            <w:tcW w:type="dxa" w:w="4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Evidence admissible for one purpose only: on request, the judge tells the jury its proper use.</w:t>
            </w:r>
          </w:p>
        </w:tc>
        <w:tc>
          <w:tcPr>
            <w:tcW w:type="dxa" w:w="3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Lets useful evidence in while guarding against misuse.</w:t>
            </w:r>
          </w:p>
        </w:tc>
        <w:tc>
          <w:tcPr>
            <w:tcW w:type="dxa" w:w="4212"/>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Jurors often can't follow it (Wissler &amp; Saks).</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611(d)</w:t>
            </w:r>
            <w:r>
              <w:rPr>
                <w:rFonts w:ascii="Calibri" w:cs="Calibri" w:eastAsia="Calibri" w:hAnsi="Calibri"/>
                <w:sz w:val="19"/>
                <w:szCs w:val="19"/>
              </w:rPr>
              <w:t xml:space="preserve"> (proposed) — illustrative aids</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Sketches, charts and slides that help jurors understand the evidence may be used but are not admitted, and don't go to the jury room unless all parties consent or the court finds good cause.</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Separates teaching aids (not evidence) from demonstrative evidence such as </w:t>
            </w:r>
            <w:r>
              <w:rPr>
                <w:rFonts w:ascii="Calibri" w:cs="Calibri" w:eastAsia="Calibri" w:hAnsi="Calibri"/>
                <w:i/>
                <w:iCs/>
                <w:sz w:val="19"/>
                <w:szCs w:val="19"/>
              </w:rPr>
              <w:t xml:space="preserve">Serge</w:t>
            </w:r>
            <w:r>
              <w:rPr>
                <w:rFonts w:ascii="Calibri" w:cs="Calibri" w:eastAsia="Calibri" w:hAnsi="Calibri"/>
                <w:sz w:val="19"/>
                <w:szCs w:val="19"/>
              </w:rPr>
              <w:t xml:space="preserve">'s animation (an admitted exhibit).</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Released for comment in August 2022. Demonstrative evidence must be authenticated under </w:t>
            </w:r>
            <w:r>
              <w:rPr>
                <w:rFonts w:ascii="Calibri" w:cs="Calibri" w:eastAsia="Calibri" w:hAnsi="Calibri"/>
                <w:b/>
                <w:bCs/>
                <w:sz w:val="19"/>
                <w:szCs w:val="19"/>
              </w:rPr>
              <w:t xml:space="preserve">FRE 901</w:t>
            </w:r>
            <w:r>
              <w:rPr>
                <w:rFonts w:ascii="Calibri" w:cs="Calibri" w:eastAsia="Calibri" w:hAnsi="Calibri"/>
                <w:sz w:val="19"/>
                <w:szCs w:val="19"/>
              </w:rPr>
              <w:t xml:space="preserve"> (it “is what the proponent claims it is”), be relevant, and pass 403.</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403 line by line</w:t>
            </w:r>
            <w:r>
              <w:rPr>
                <w:rFonts w:ascii="Calibri" w:cs="Calibri" w:eastAsia="Calibri" w:hAnsi="Calibri"/>
                <w:sz w:val="19"/>
                <w:szCs w:val="19"/>
              </w:rPr>
              <w:t xml:space="preserve"> (Classes 2–3)</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court </w:t>
            </w:r>
            <w:r>
              <w:rPr>
                <w:rFonts w:ascii="Calibri" w:cs="Calibri" w:eastAsia="Calibri" w:hAnsi="Calibri"/>
                <w:b/>
                <w:bCs/>
                <w:sz w:val="19"/>
                <w:szCs w:val="19"/>
              </w:rPr>
              <w:t xml:space="preserve">may</w:t>
            </w:r>
            <w:r>
              <w:rPr>
                <w:rFonts w:ascii="Calibri" w:cs="Calibri" w:eastAsia="Calibri" w:hAnsi="Calibri"/>
                <w:sz w:val="19"/>
                <w:szCs w:val="19"/>
              </w:rPr>
              <w:t xml:space="preserve"> exclude” (discretion) · “relevant evidence” · “if its probative value is </w:t>
            </w:r>
            <w:r>
              <w:rPr>
                <w:rFonts w:ascii="Calibri" w:cs="Calibri" w:eastAsia="Calibri" w:hAnsi="Calibri"/>
                <w:b/>
                <w:bCs/>
                <w:sz w:val="19"/>
                <w:szCs w:val="19"/>
              </w:rPr>
              <w:t xml:space="preserve">substantially</w:t>
            </w:r>
            <w:r>
              <w:rPr>
                <w:rFonts w:ascii="Calibri" w:cs="Calibri" w:eastAsia="Calibri" w:hAnsi="Calibri"/>
                <w:sz w:val="19"/>
                <w:szCs w:val="19"/>
              </w:rPr>
              <w:t xml:space="preserve"> outweighed” · by “a </w:t>
            </w:r>
            <w:r>
              <w:rPr>
                <w:rFonts w:ascii="Calibri" w:cs="Calibri" w:eastAsia="Calibri" w:hAnsi="Calibri"/>
                <w:b/>
                <w:bCs/>
                <w:sz w:val="19"/>
                <w:szCs w:val="19"/>
              </w:rPr>
              <w:t xml:space="preserve">danger</w:t>
            </w:r>
            <w:r>
              <w:rPr>
                <w:rFonts w:ascii="Calibri" w:cs="Calibri" w:eastAsia="Calibri" w:hAnsi="Calibri"/>
                <w:sz w:val="19"/>
                <w:szCs w:val="19"/>
              </w:rPr>
              <w:t xml:space="preserve"> of” · “</w:t>
            </w:r>
            <w:r>
              <w:rPr>
                <w:rFonts w:ascii="Calibri" w:cs="Calibri" w:eastAsia="Calibri" w:hAnsi="Calibri"/>
                <w:b/>
                <w:bCs/>
                <w:sz w:val="19"/>
                <w:szCs w:val="19"/>
              </w:rPr>
              <w:t xml:space="preserve">unfair</w:t>
            </w:r>
            <w:r>
              <w:rPr>
                <w:rFonts w:ascii="Calibri" w:cs="Calibri" w:eastAsia="Calibri" w:hAnsi="Calibri"/>
                <w:sz w:val="19"/>
                <w:szCs w:val="19"/>
              </w:rPr>
              <w:t xml:space="preserve"> prejudice,” confusion, misleading, delay, waste, cumulativeness.</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Each phrase tilts the test toward admission.</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ACN to 403: “The availability of other means of proof may also be an appropriate factor” (e.g., an officer describing a scene instead of a photo).</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“Spark-of-life” evidence</w:t>
            </w:r>
            <w:r>
              <w:rPr>
                <w:rFonts w:ascii="Calibri" w:cs="Calibri" w:eastAsia="Calibri" w:hAnsi="Calibri"/>
                <w:sz w:val="19"/>
                <w:szCs w:val="19"/>
              </w:rPr>
              <w:t xml:space="preserve"> (Class 4)</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Minnesota lets prosecutors humanize homicide victims (</w:t>
            </w:r>
            <w:r>
              <w:rPr>
                <w:rFonts w:ascii="Calibri" w:cs="Calibri" w:eastAsia="Calibri" w:hAnsi="Calibri"/>
                <w:i/>
                <w:iCs/>
                <w:sz w:val="19"/>
                <w:szCs w:val="19"/>
              </w:rPr>
              <w:t xml:space="preserve">State v. Graham</w:t>
            </w:r>
            <w:r>
              <w:rPr>
                <w:rFonts w:ascii="Calibri" w:cs="Calibri" w:eastAsia="Calibri" w:hAnsi="Calibri"/>
                <w:sz w:val="19"/>
                <w:szCs w:val="19"/>
              </w:rPr>
              <w:t xml:space="preserve">, Minn. 1985: victims are “not just bones and sinews”). At Chauvin's trial, George Floyd's brother showed a photo.</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Prosecution: it conveys human significance and moral reasonableness (</w:t>
            </w:r>
            <w:r>
              <w:rPr>
                <w:rFonts w:ascii="Calibri" w:cs="Calibri" w:eastAsia="Calibri" w:hAnsi="Calibri"/>
                <w:i/>
                <w:iCs/>
                <w:sz w:val="19"/>
                <w:szCs w:val="19"/>
              </w:rPr>
              <w:t xml:space="preserve">Old Chief</w:t>
            </w:r>
            <w:r>
              <w:rPr>
                <w:rFonts w:ascii="Calibri" w:cs="Calibri" w:eastAsia="Calibri" w:hAnsi="Calibri"/>
                <w:sz w:val="19"/>
                <w:szCs w:val="19"/>
              </w:rPr>
              <w:t xml:space="preserve">).</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Defense: irrelevant or 403 (undisputed fact, unfair sympathy). Judge Cahill: the jury may see he was loved, but propensity for peacefulness or violence becomes character evidence.</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403 in the clips</w:t>
            </w:r>
            <w:r>
              <w:rPr>
                <w:rFonts w:ascii="Calibri" w:cs="Calibri" w:eastAsia="Calibri" w:hAnsi="Calibri"/>
                <w:sz w:val="19"/>
                <w:szCs w:val="19"/>
              </w:rPr>
              <w:t xml:space="preserve"> (Class 2)</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Godfather II</w:t>
            </w:r>
            <w:r>
              <w:rPr>
                <w:rFonts w:ascii="Calibri" w:cs="Calibri" w:eastAsia="Calibri" w:hAnsi="Calibri"/>
                <w:sz w:val="19"/>
                <w:szCs w:val="19"/>
              </w:rPr>
              <w:t xml:space="preserve"> clip offered against Roger Stone (witness tampering); a Chauvin computer-generated animation; a photo of an infant's roadside grave (</w:t>
            </w:r>
            <w:r>
              <w:rPr>
                <w:rFonts w:ascii="Calibri" w:cs="Calibri" w:eastAsia="Calibri" w:hAnsi="Calibri"/>
                <w:i/>
                <w:iCs/>
                <w:sz w:val="19"/>
                <w:szCs w:val="19"/>
              </w:rPr>
              <w:t xml:space="preserve">People v. Jones</w:t>
            </w:r>
            <w:r>
              <w:rPr>
                <w:rFonts w:ascii="Calibri" w:cs="Calibri" w:eastAsia="Calibri" w:hAnsi="Calibri"/>
                <w:sz w:val="19"/>
                <w:szCs w:val="19"/>
              </w:rPr>
              <w:t xml:space="preserve">); semen-stain incest theory (Brother's Keeper).</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Practice weighing probative value vs. unfair prejudice from both sides.</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For the animation, the defense's better objection may be authentication (later in the course).</w:t>
            </w:r>
          </w:p>
        </w:tc>
      </w:tr>
    </w:tbl>
    <w:p>
      <w:pPr>
        <w:spacing w:after="120"/>
      </w:pPr>
    </w:p>
    <w:p>
      <w:pPr>
        <w:pStyle w:val="Heading2"/>
        <w:keepNext/>
      </w:pPr>
      <w:r>
        <w:t xml:space="preserve">Rule 403 in action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Situation</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Key case</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Takeaway</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Probability evidence</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Collins (Classes 3–4)</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math instructor used the product rule to claim a 1-in-12-million chance a random couple matched. Two errors: (1) </w:t>
            </w:r>
            <w:r>
              <w:rPr>
                <w:rFonts w:ascii="Calibri" w:cs="Calibri" w:eastAsia="Calibri" w:hAnsi="Calibri"/>
                <w:b/>
                <w:bCs/>
                <w:sz w:val="19"/>
                <w:szCs w:val="19"/>
              </w:rPr>
              <w:t xml:space="preserve">no foundation</w:t>
            </w:r>
            <w:r>
              <w:rPr>
                <w:rFonts w:ascii="Calibri" w:cs="Calibri" w:eastAsia="Calibri" w:hAnsi="Calibri"/>
                <w:sz w:val="19"/>
                <w:szCs w:val="19"/>
              </w:rPr>
              <w:t xml:space="preserve">: invented probabilities and non-independent traits (a moustache is a subset of a beard); (2) </w:t>
            </w:r>
            <w:r>
              <w:rPr>
                <w:rFonts w:ascii="Calibri" w:cs="Calibri" w:eastAsia="Calibri" w:hAnsi="Calibri"/>
                <w:b/>
                <w:bCs/>
                <w:sz w:val="19"/>
                <w:szCs w:val="19"/>
              </w:rPr>
              <w:t xml:space="preserve">distraction</w:t>
            </w:r>
            <w:r>
              <w:rPr>
                <w:rFonts w:ascii="Calibri" w:cs="Calibri" w:eastAsia="Calibri" w:hAnsi="Calibri"/>
                <w:sz w:val="19"/>
                <w:szCs w:val="19"/>
              </w:rPr>
              <w:t xml:space="preserve">: rarity of such couples says nothing about which couple did it, and it drew attention to a mixed-race couple. Probabilistic evidence is still admissible (DNA, asbestos market-share liability); many jurisdictions require explaining its significance. Blue Bus problem: 80% market share alone feels insufficient, even though people trust a weak eyewitness more.</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Effect of stipulations</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Old Chief (Classes 3–4)</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concession doesn't make evidence irrelevant (ACN 401: the fact need not be in dispute); the problem is 403. Normally each side picks its proof, for three reasons (Souter): descriptive richness, a morally reasonable verdict, and meeting jurors' expectations. </w:t>
            </w:r>
            <w:r>
              <w:rPr>
                <w:rFonts w:ascii="Calibri" w:cs="Calibri" w:eastAsia="Calibri" w:hAnsi="Calibri"/>
                <w:b/>
                <w:bCs/>
                <w:sz w:val="19"/>
                <w:szCs w:val="19"/>
              </w:rPr>
              <w:t xml:space="preserve">Rule:</w:t>
            </w:r>
            <w:r>
              <w:rPr>
                <w:rFonts w:ascii="Calibri" w:cs="Calibri" w:eastAsia="Calibri" w:hAnsi="Calibri"/>
                <w:sz w:val="19"/>
                <w:szCs w:val="19"/>
              </w:rPr>
              <w:t xml:space="preserve"> when only felon status is at issue, accept the admission rather than admit the record. </w:t>
            </w:r>
            <w:r>
              <w:rPr>
                <w:rFonts w:ascii="Calibri" w:cs="Calibri" w:eastAsia="Calibri" w:hAnsi="Calibri"/>
                <w:b/>
                <w:bCs/>
                <w:sz w:val="19"/>
                <w:szCs w:val="19"/>
              </w:rPr>
              <w:t xml:space="preserve">Dissent:</w:t>
            </w:r>
            <w:r>
              <w:rPr>
                <w:rFonts w:ascii="Calibri" w:cs="Calibri" w:eastAsia="Calibri" w:hAnsi="Calibri"/>
                <w:sz w:val="19"/>
                <w:szCs w:val="19"/>
              </w:rPr>
              <w:t xml:space="preserve"> naming the crime isn't </w:t>
            </w:r>
            <w:r>
              <w:rPr>
                <w:rFonts w:ascii="Calibri" w:cs="Calibri" w:eastAsia="Calibri" w:hAnsi="Calibri"/>
                <w:i/>
                <w:iCs/>
                <w:sz w:val="19"/>
                <w:szCs w:val="19"/>
              </w:rPr>
              <w:t xml:space="preserve">unfair</w:t>
            </w:r>
            <w:r>
              <w:rPr>
                <w:rFonts w:ascii="Calibri" w:cs="Calibri" w:eastAsia="Calibri" w:hAnsi="Calibri"/>
                <w:sz w:val="19"/>
                <w:szCs w:val="19"/>
              </w:rPr>
              <w:t xml:space="preserve"> prejudice; use a limiting instruction.</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Photos and other inflammatory evidence</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Bocharski (Classes 2–3)</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Bocharski didn't contest the death, cause, or wounds. Exhibits 42–45 (body and wounds) showed the angle and depth a juror asked about, so admission was no abuse of discretion. Exhibits 46–47 (autopsy) had no testimony tied to them and served mainly to inflame, so admitting them was error. It was harmless: no new trial.</w:t>
            </w:r>
          </w:p>
        </w:tc>
      </w:tr>
      <w:tr>
        <w:trPr>
          <w:cantSplit/>
          <w:tblHeader w:val="false"/>
        </w:trPr>
        <w:tc>
          <w:tcPr>
            <w:tcW w:type="dxa" w:w="36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Demonstrative evidence</w:t>
            </w:r>
          </w:p>
        </w:tc>
        <w:tc>
          <w:tcPr>
            <w:tcW w:type="dxa" w:w="5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i/>
                <w:iCs/>
                <w:sz w:val="19"/>
                <w:szCs w:val="19"/>
              </w:rPr>
              <w:t xml:space="preserve">Serge</w:t>
            </w:r>
          </w:p>
        </w:tc>
        <w:tc>
          <w:tcPr>
            <w:tcW w:type="dxa" w:w="5512"/>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A computer animation is judged like other evidence; being persuasive isn't unfair.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Probability evidence today</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DNA statistics (</w:t>
            </w:r>
            <w:r>
              <w:rPr>
                <w:rFonts w:ascii="Calibri" w:cs="Calibri" w:eastAsia="Calibri" w:hAnsi="Calibri"/>
                <w:i/>
                <w:iCs/>
                <w:sz w:val="19"/>
                <w:szCs w:val="19"/>
              </w:rPr>
              <w:t xml:space="preserve">People v. Turner</w:t>
            </w:r>
            <w:r>
              <w:rPr>
                <w:rFonts w:ascii="Calibri" w:cs="Calibri" w:eastAsia="Calibri" w:hAnsi="Calibri"/>
                <w:sz w:val="19"/>
                <w:szCs w:val="19"/>
              </w:rPr>
              <w:t xml:space="preserv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Same product-rule math as </w:t>
            </w:r>
            <w:r>
              <w:rPr>
                <w:rFonts w:ascii="Calibri" w:cs="Calibri" w:eastAsia="Calibri" w:hAnsi="Calibri"/>
                <w:i/>
                <w:iCs/>
                <w:sz w:val="19"/>
                <w:szCs w:val="19"/>
              </w:rPr>
              <w:t xml:space="preserve">Collins</w:t>
            </w:r>
            <w:r>
              <w:rPr>
                <w:rFonts w:ascii="Calibri" w:cs="Calibri" w:eastAsia="Calibri" w:hAnsi="Calibri"/>
                <w:sz w:val="19"/>
                <w:szCs w:val="19"/>
              </w:rPr>
              <w:t xml:space="preserve">; the difference is the rigor of the math and the quality of the data. </w:t>
            </w:r>
            <w:r>
              <w:rPr>
                <w:rFonts w:ascii="Calibri" w:cs="Calibri" w:eastAsia="Calibri" w:hAnsi="Calibri"/>
                <w:i/>
                <w:iCs/>
                <w:sz w:val="19"/>
                <w:szCs w:val="19"/>
              </w:rPr>
              <w:t xml:space="preserve">Collins</w:t>
            </w:r>
            <w:r>
              <w:rPr>
                <w:rFonts w:ascii="Calibri" w:cs="Calibri" w:eastAsia="Calibri" w:hAnsi="Calibri"/>
                <w:sz w:val="19"/>
                <w:szCs w:val="19"/>
              </w:rPr>
              <w:t xml:space="preserve"> also carried unspoken racial messages.</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Empirical research on gruesome photos</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Grady et al. meta-analysis (2018)</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Gruesome vs. neutral photos: a small effect on convictions (g = 0.077). Photos vs. no photos: larger (g = 0.450). Much of the effect may come from having any photo at all.</w:t>
            </w:r>
          </w:p>
        </w:tc>
      </w:tr>
    </w:tbl>
    <w:p>
      <w:pPr>
        <w:spacing w:after="120"/>
      </w:pPr>
    </w:p>
    <w:p>
      <w:pPr>
        <w:pStyle w:val="Heading1"/>
        <w:keepNext/>
      </w:pPr>
      <w:r>
        <w:t xml:space="preserve">3. The Specialized Relevance Rules (Weeks 2–3)</w:t>
      </w:r>
    </w:p>
    <w:p>
      <w:pPr>
        <w:keepNext/>
        <w:keepLines/>
        <w:spacing w:after="100"/>
      </w:pPr>
      <w:r>
        <w:rPr>
          <w:rFonts w:ascii="Calibri" w:cs="Calibri" w:eastAsia="Calibri" w:hAnsi="Calibri"/>
          <w:sz w:val="20"/>
          <w:szCs w:val="20"/>
        </w:rPr>
        <w:t xml:space="preserve">These rules exclude weakly probative evidence as a matter of law, for relevance and </w:t>
      </w:r>
      <w:r>
        <w:rPr>
          <w:rFonts w:ascii="Calibri" w:cs="Calibri" w:eastAsia="Calibri" w:hAnsi="Calibri"/>
          <w:b/>
          <w:bCs/>
          <w:sz w:val="20"/>
          <w:szCs w:val="20"/>
        </w:rPr>
        <w:t xml:space="preserve">public-policy</w:t>
      </w:r>
      <w:r>
        <w:rPr>
          <w:rFonts w:ascii="Calibri" w:cs="Calibri" w:eastAsia="Calibri" w:hAnsi="Calibri"/>
          <w:sz w:val="20"/>
          <w:szCs w:val="20"/>
        </w:rPr>
        <w:t xml:space="preserve"> reasons. Rules 407, 408, 409 and 411 bar only specified uses. </w:t>
      </w:r>
      <w:r>
        <w:rPr>
          <w:rFonts w:ascii="Calibri" w:cs="Calibri" w:eastAsia="Calibri" w:hAnsi="Calibri"/>
          <w:b/>
          <w:bCs/>
          <w:sz w:val="20"/>
          <w:szCs w:val="20"/>
        </w:rPr>
        <w:t xml:space="preserve">Rule 410 is the outlier:</w:t>
      </w:r>
      <w:r>
        <w:rPr>
          <w:rFonts w:ascii="Calibri" w:cs="Calibri" w:eastAsia="Calibri" w:hAnsi="Calibri"/>
          <w:sz w:val="20"/>
          <w:szCs w:val="20"/>
        </w:rPr>
        <w:t xml:space="preserve"> it bars the evidence for all purposes except narrow windows.</w:t>
      </w:r>
    </w:p>
    <w:p>
      <w:pPr>
        <w:pStyle w:val="Heading2"/>
        <w:keepNext/>
      </w:pPr>
      <w:r>
        <w:t xml:space="preserve">Subsequent Remedial Measures — FRE 407</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000"/>
        <w:gridCol w:w="4212"/>
      </w:tblGrid>
      <w:tr>
        <w:trPr>
          <w:cantSplit/>
          <w:tblHeader/>
        </w:trPr>
        <w:tc>
          <w:tcPr>
            <w:tcW w:type="dxa" w:w="29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4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Why it exists</w:t>
            </w:r>
          </w:p>
        </w:tc>
        <w:tc>
          <w:tcPr>
            <w:tcW w:type="dxa" w:w="3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Other purposes allowed</w:t>
            </w:r>
          </w:p>
        </w:tc>
        <w:tc>
          <w:tcPr>
            <w:tcW w:type="dxa" w:w="42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29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Measures taken </w:t>
            </w:r>
            <w:r>
              <w:rPr>
                <w:rFonts w:ascii="Calibri" w:cs="Calibri" w:eastAsia="Calibri" w:hAnsi="Calibri"/>
                <w:b/>
                <w:bCs/>
                <w:sz w:val="19"/>
                <w:szCs w:val="19"/>
              </w:rPr>
              <w:t xml:space="preserve">after an accident</w:t>
            </w:r>
            <w:r>
              <w:rPr>
                <w:rFonts w:ascii="Calibri" w:cs="Calibri" w:eastAsia="Calibri" w:hAnsi="Calibri"/>
                <w:sz w:val="19"/>
                <w:szCs w:val="19"/>
              </w:rPr>
              <w:t xml:space="preserve"> that would have made it less likely can't prove negligence, culpable conduct, or a defect.</w:t>
            </w:r>
          </w:p>
        </w:tc>
        <w:tc>
          <w:tcPr>
            <w:tcW w:type="dxa" w:w="4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Wiser after isn't foolish before; encourages repairs.</w:t>
            </w:r>
          </w:p>
        </w:tc>
        <w:tc>
          <w:tcPr>
            <w:tcW w:type="dxa" w:w="3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Ownership, control, or feasibility </w:t>
            </w:r>
            <w:r>
              <w:rPr>
                <w:rFonts w:ascii="Calibri" w:cs="Calibri" w:eastAsia="Calibri" w:hAnsi="Calibri"/>
                <w:b/>
                <w:bCs/>
                <w:sz w:val="19"/>
                <w:szCs w:val="19"/>
              </w:rPr>
              <w:t xml:space="preserve">if disputed</w:t>
            </w:r>
            <w:r>
              <w:rPr>
                <w:rFonts w:ascii="Calibri" w:cs="Calibri" w:eastAsia="Calibri" w:hAnsi="Calibri"/>
                <w:sz w:val="19"/>
                <w:szCs w:val="19"/>
              </w:rPr>
              <w:t xml:space="preserve">; impeachment.</w:t>
            </w:r>
          </w:p>
        </w:tc>
        <w:tc>
          <w:tcPr>
            <w:tcW w:type="dxa" w:w="42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Applies in strict liability cases (1997). </w:t>
            </w:r>
            <w:r>
              <w:rPr>
                <w:rFonts w:ascii="Calibri" w:cs="Calibri" w:eastAsia="Calibri" w:hAnsi="Calibri"/>
                <w:b/>
                <w:bCs/>
                <w:sz w:val="19"/>
                <w:szCs w:val="19"/>
              </w:rPr>
              <w:t xml:space="preserve">Third-party repairs</w:t>
            </w:r>
            <w:r>
              <w:rPr>
                <w:rFonts w:ascii="Calibri" w:cs="Calibri" w:eastAsia="Calibri" w:hAnsi="Calibri"/>
                <w:sz w:val="19"/>
                <w:szCs w:val="19"/>
              </w:rPr>
              <w:t xml:space="preserve"> are generally not barred, though Rule 403 may apply.</w:t>
            </w:r>
          </w:p>
        </w:tc>
      </w:tr>
      <w:tr>
        <w:trPr>
          <w:cantSplit/>
          <w:tblHeader w:val="false"/>
        </w:trPr>
        <w:tc>
          <w:tcPr>
            <w:tcW w:type="dxa" w:w="29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Third-party repairs:</w:t>
            </w:r>
            <w:r>
              <w:rPr>
                <w:rFonts w:ascii="Calibri" w:cs="Calibri" w:eastAsia="Calibri" w:hAnsi="Calibri"/>
                <w:sz w:val="19"/>
                <w:szCs w:val="19"/>
              </w:rPr>
              <w:t xml:space="preserve"> most circuits hold 407 doesn't bar a non-party's later repair (</w:t>
            </w:r>
            <w:r>
              <w:rPr>
                <w:rFonts w:ascii="Calibri" w:cs="Calibri" w:eastAsia="Calibri" w:hAnsi="Calibri"/>
                <w:i/>
                <w:iCs/>
                <w:sz w:val="19"/>
                <w:szCs w:val="19"/>
              </w:rPr>
              <w:t xml:space="preserve">Millennium Partners</w:t>
            </w:r>
            <w:r>
              <w:rPr>
                <w:rFonts w:ascii="Calibri" w:cs="Calibri" w:eastAsia="Calibri" w:hAnsi="Calibri"/>
                <w:sz w:val="19"/>
                <w:szCs w:val="19"/>
              </w:rPr>
              <w:t xml:space="preserve">, 11th Cir. 2007, joining seven circuits).</w:t>
            </w:r>
          </w:p>
        </w:tc>
        <w:tc>
          <w:tcPr>
            <w:tcW w:type="dxa" w:w="4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Third parties won't be deterred from repairing, but their repair says little about this defendant.</w:t>
            </w:r>
          </w:p>
        </w:tc>
        <w:tc>
          <w:tcPr>
            <w:tcW w:type="dxa" w:w="3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“If disputed” qualifies ownership, control </w:t>
            </w:r>
            <w:r>
              <w:rPr>
                <w:rFonts w:ascii="Calibri" w:cs="Calibri" w:eastAsia="Calibri" w:hAnsi="Calibri"/>
                <w:b/>
                <w:bCs/>
                <w:sz w:val="19"/>
                <w:szCs w:val="19"/>
              </w:rPr>
              <w:t xml:space="preserve">and</w:t>
            </w:r>
            <w:r>
              <w:rPr>
                <w:rFonts w:ascii="Calibri" w:cs="Calibri" w:eastAsia="Calibri" w:hAnsi="Calibri"/>
                <w:sz w:val="19"/>
                <w:szCs w:val="19"/>
              </w:rPr>
              <w:t xml:space="preserve"> feasibility (the 2011 restyling cleared up the old ambiguity).</w:t>
            </w:r>
          </w:p>
        </w:tc>
        <w:tc>
          <w:tcPr>
            <w:tcW w:type="dxa" w:w="42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“May admit” keeps 403 discretion even for a permitted purpose; some courts exclude third-party repairs under 403 (</w:t>
            </w:r>
            <w:r>
              <w:rPr>
                <w:rFonts w:ascii="Calibri" w:cs="Calibri" w:eastAsia="Calibri" w:hAnsi="Calibri"/>
                <w:i/>
                <w:iCs/>
                <w:sz w:val="19"/>
                <w:szCs w:val="19"/>
              </w:rPr>
              <w:t xml:space="preserve">Werner v. Upjohn</w:t>
            </w:r>
            <w:r>
              <w:rPr>
                <w:rFonts w:ascii="Calibri" w:cs="Calibri" w:eastAsia="Calibri" w:hAnsi="Calibri"/>
                <w:sz w:val="19"/>
                <w:szCs w:val="19"/>
              </w:rPr>
              <w:t xml:space="preserve">; </w:t>
            </w:r>
            <w:r>
              <w:rPr>
                <w:rFonts w:ascii="Calibri" w:cs="Calibri" w:eastAsia="Calibri" w:hAnsi="Calibri"/>
                <w:i/>
                <w:iCs/>
                <w:sz w:val="19"/>
                <w:szCs w:val="19"/>
              </w:rPr>
              <w:t xml:space="preserve">Raymond</w:t>
            </w:r>
            <w:r>
              <w:rPr>
                <w:rFonts w:ascii="Calibri" w:cs="Calibri" w:eastAsia="Calibri" w:hAnsi="Calibri"/>
                <w:sz w:val="19"/>
                <w:szCs w:val="19"/>
              </w:rPr>
              <w:t xml:space="preserve">).</w:t>
            </w:r>
          </w:p>
        </w:tc>
      </w:tr>
      <w:tr>
        <w:trPr>
          <w:cantSplit/>
          <w:tblHeader w:val="false"/>
        </w:trPr>
        <w:tc>
          <w:tcPr>
            <w:tcW w:type="dxa" w:w="29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407 hypo</w:t>
            </w:r>
            <w:r>
              <w:rPr>
                <w:rFonts w:ascii="Calibri" w:cs="Calibri" w:eastAsia="Calibri" w:hAnsi="Calibri"/>
                <w:sz w:val="19"/>
                <w:szCs w:val="19"/>
              </w:rPr>
              <w:t xml:space="preserve"> (Class 4): a diner trips on loose carpet at a restaurant; the next day it pays $55.26 to resecure it. The repair can't prove negligence.</w:t>
            </w:r>
          </w:p>
        </w:tc>
        <w:tc>
          <w:tcPr>
            <w:tcW w:type="dxa" w:w="4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407 aims at conduct outside the courtroom (encouraging repairs), not the jury's search for truth. As a matter of law, the evidence fails 403.</w:t>
            </w:r>
          </w:p>
        </w:tc>
        <w:tc>
          <w:tcPr>
            <w:tcW w:type="dxa" w:w="3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Impeachment: if the restaurant's witness claims the fix would have cost $40,000, the $55.26 receipt comes in.</w:t>
            </w:r>
          </w:p>
        </w:tc>
        <w:tc>
          <w:tcPr>
            <w:tcW w:type="dxa" w:w="4212"/>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Timing (Problem 2.1, Wolf Attack):</w:t>
            </w:r>
            <w:r>
              <w:rPr>
                <w:rFonts w:ascii="Calibri" w:cs="Calibri" w:eastAsia="Calibri" w:hAnsi="Calibri"/>
                <w:sz w:val="19"/>
                <w:szCs w:val="19"/>
              </w:rPr>
              <w:t xml:space="preserve"> the wolf was chained after it attacked a beagle but before it attacked Daniel. 407 bars the chaining in the beagle owner's suit, but not in Daniel's, since it wasn't “subsequent” to his injury.</w:t>
            </w:r>
          </w:p>
        </w:tc>
      </w:tr>
    </w:tbl>
    <w:p>
      <w:pPr>
        <w:spacing w:after="120"/>
      </w:pPr>
    </w:p>
    <w:p>
      <w:pPr>
        <w:pStyle w:val="Heading2"/>
        <w:keepNext/>
      </w:pPr>
      <w:r>
        <w:t xml:space="preserve">Compromise Offers and Payment of Medical Expenses — FRE 408 &amp; 409</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000"/>
        <w:gridCol w:w="4212"/>
      </w:tblGrid>
      <w:tr>
        <w:trPr>
          <w:cantSplit/>
          <w:tblHeader/>
        </w:trPr>
        <w:tc>
          <w:tcPr>
            <w:tcW w:type="dxa" w:w="29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4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3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Why it exists</w:t>
            </w:r>
          </w:p>
        </w:tc>
        <w:tc>
          <w:tcPr>
            <w:tcW w:type="dxa" w:w="42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408</w:t>
            </w:r>
            <w:r>
              <w:rPr>
                <w:rFonts w:ascii="Calibri" w:cs="Calibri" w:eastAsia="Calibri" w:hAnsi="Calibri"/>
                <w:sz w:val="19"/>
                <w:szCs w:val="19"/>
              </w:rPr>
              <w:t xml:space="preserve"> — compromise offers and negotiations</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Offers to compromise a </w:t>
            </w:r>
            <w:r>
              <w:rPr>
                <w:rFonts w:ascii="Calibri" w:cs="Calibri" w:eastAsia="Calibri" w:hAnsi="Calibri"/>
                <w:b/>
                <w:bCs/>
                <w:sz w:val="19"/>
                <w:szCs w:val="19"/>
              </w:rPr>
              <w:t xml:space="preserve">disputed claim</w:t>
            </w:r>
            <w:r>
              <w:rPr>
                <w:rFonts w:ascii="Calibri" w:cs="Calibri" w:eastAsia="Calibri" w:hAnsi="Calibri"/>
                <w:sz w:val="19"/>
                <w:szCs w:val="19"/>
              </w:rPr>
              <w:t xml:space="preserve">, and </w:t>
            </w:r>
            <w:r>
              <w:rPr>
                <w:rFonts w:ascii="Calibri" w:cs="Calibri" w:eastAsia="Calibri" w:hAnsi="Calibri"/>
                <w:b/>
                <w:bCs/>
                <w:sz w:val="19"/>
                <w:szCs w:val="19"/>
              </w:rPr>
              <w:t xml:space="preserve">conduct or statements</w:t>
            </w:r>
            <w:r>
              <w:rPr>
                <w:rFonts w:ascii="Calibri" w:cs="Calibri" w:eastAsia="Calibri" w:hAnsi="Calibri"/>
                <w:sz w:val="19"/>
                <w:szCs w:val="19"/>
              </w:rPr>
              <w:t xml:space="preserve"> in the negotiations, can't prove or disprove validity or amount, or impeach by prior inconsistent statement or contradiction.</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Encourages settlement and candid talks.</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Allowed to prove a witness's </w:t>
            </w:r>
            <w:r>
              <w:rPr>
                <w:rFonts w:ascii="Calibri" w:cs="Calibri" w:eastAsia="Calibri" w:hAnsi="Calibri"/>
                <w:b/>
                <w:bCs/>
                <w:sz w:val="19"/>
                <w:szCs w:val="19"/>
              </w:rPr>
              <w:t xml:space="preserve">bias or prejudice</w:t>
            </w:r>
            <w:r>
              <w:rPr>
                <w:rFonts w:ascii="Calibri" w:cs="Calibri" w:eastAsia="Calibri" w:hAnsi="Calibri"/>
                <w:sz w:val="19"/>
                <w:szCs w:val="19"/>
              </w:rPr>
              <w:t xml:space="preserve">. There must be a claim, disputed as to validity or amount. Talks with a </w:t>
            </w:r>
            <w:r>
              <w:rPr>
                <w:rFonts w:ascii="Calibri" w:cs="Calibri" w:eastAsia="Calibri" w:hAnsi="Calibri"/>
                <w:b/>
                <w:bCs/>
                <w:sz w:val="19"/>
                <w:szCs w:val="19"/>
              </w:rPr>
              <w:t xml:space="preserve">public office</w:t>
            </w:r>
            <w:r>
              <w:rPr>
                <w:rFonts w:ascii="Calibri" w:cs="Calibri" w:eastAsia="Calibri" w:hAnsi="Calibri"/>
                <w:sz w:val="19"/>
                <w:szCs w:val="19"/>
              </w:rPr>
              <w:t xml:space="preserve"> may be used in criminal cases. </w:t>
            </w:r>
            <w:r>
              <w:rPr>
                <w:rFonts w:ascii="Calibri" w:cs="Calibri" w:eastAsia="Calibri" w:hAnsi="Calibri"/>
                <w:b/>
                <w:bCs/>
                <w:sz w:val="19"/>
                <w:szCs w:val="19"/>
              </w:rPr>
              <w:t xml:space="preserve">Compromises with third parties</w:t>
            </w:r>
            <w:r>
              <w:rPr>
                <w:rFonts w:ascii="Calibri" w:cs="Calibri" w:eastAsia="Calibri" w:hAnsi="Calibri"/>
                <w:sz w:val="19"/>
                <w:szCs w:val="19"/>
              </w:rPr>
              <w:t xml:space="preserve"> are often excluded to avoid a "chilling effect."</w:t>
            </w:r>
          </w:p>
        </w:tc>
      </w:tr>
      <w:tr>
        <w:trPr>
          <w:cantSplit/>
          <w:tblHeader w:val="false"/>
        </w:trPr>
        <w:tc>
          <w:tcPr>
            <w:tcW w:type="dxa" w:w="29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409</w:t>
            </w:r>
            <w:r>
              <w:rPr>
                <w:rFonts w:ascii="Calibri" w:cs="Calibri" w:eastAsia="Calibri" w:hAnsi="Calibri"/>
                <w:sz w:val="19"/>
                <w:szCs w:val="19"/>
              </w:rPr>
              <w:t xml:space="preserve"> — offers to pay medical expenses</w:t>
            </w:r>
          </w:p>
        </w:tc>
        <w:tc>
          <w:tcPr>
            <w:tcW w:type="dxa" w:w="4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Offering or paying medical expenses can't prove liability for the injury.</w:t>
            </w:r>
          </w:p>
        </w:tc>
        <w:tc>
          <w:tcPr>
            <w:tcW w:type="dxa" w:w="3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"Humane impulses"; don't punish kindness.</w:t>
            </w:r>
          </w:p>
        </w:tc>
        <w:tc>
          <w:tcPr>
            <w:tcW w:type="dxa" w:w="4212"/>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Only the </w:t>
            </w:r>
            <w:r>
              <w:rPr>
                <w:rFonts w:ascii="Calibri" w:cs="Calibri" w:eastAsia="Calibri" w:hAnsi="Calibri"/>
                <w:b/>
                <w:bCs/>
                <w:sz w:val="19"/>
                <w:szCs w:val="19"/>
              </w:rPr>
              <w:t xml:space="preserve">offer</w:t>
            </w:r>
            <w:r>
              <w:rPr>
                <w:rFonts w:ascii="Calibri" w:cs="Calibri" w:eastAsia="Calibri" w:hAnsi="Calibri"/>
                <w:sz w:val="19"/>
                <w:szCs w:val="19"/>
              </w:rPr>
              <w:t xml:space="preserve"> is excluded, not statements with it.</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408 details</w:t>
            </w:r>
            <w:r>
              <w:rPr>
                <w:rFonts w:ascii="Calibri" w:cs="Calibri" w:eastAsia="Calibri" w:hAnsi="Calibri"/>
                <w:sz w:val="19"/>
                <w:szCs w:val="19"/>
              </w:rPr>
              <w:t xml:space="preserve"> — “claim,” “disputed,” criminal cases</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 protection before some claim exists (informal demands may count). Settling an admittedly due amount for less isn't covered. Statements in civil settlement talks are generally inadmissible in a later criminal case to prove the claim's validity or amount.</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Without protection, parties would refuse to admit fault even when it would settle the matter (2006 ACN).</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408(a)(2)</w:t>
            </w:r>
            <w:r>
              <w:rPr>
                <w:rFonts w:ascii="Calibri" w:cs="Calibri" w:eastAsia="Calibri" w:hAnsi="Calibri"/>
                <w:sz w:val="19"/>
                <w:szCs w:val="19"/>
              </w:rPr>
              <w:t xml:space="preserve"> exception: talks with a public office exercising regulatory, investigative or enforcement authority. Since 2006, compromise evidence can't impeach by prior inconsistent statement or contradiction, but </w:t>
            </w:r>
            <w:r>
              <w:rPr>
                <w:rFonts w:ascii="Calibri" w:cs="Calibri" w:eastAsia="Calibri" w:hAnsi="Calibri"/>
                <w:b/>
                <w:bCs/>
                <w:sz w:val="19"/>
                <w:szCs w:val="19"/>
              </w:rPr>
              <w:t xml:space="preserve">408(b)</w:t>
            </w:r>
            <w:r>
              <w:rPr>
                <w:rFonts w:ascii="Calibri" w:cs="Calibri" w:eastAsia="Calibri" w:hAnsi="Calibri"/>
                <w:sz w:val="19"/>
                <w:szCs w:val="19"/>
              </w:rPr>
              <w:t xml:space="preserve"> allows bias. Third-party compromises: all nine circuits to address it let judges exclude them when that serves settlement policy (</w:t>
            </w:r>
            <w:r>
              <w:rPr>
                <w:rFonts w:ascii="Calibri" w:cs="Calibri" w:eastAsia="Calibri" w:hAnsi="Calibri"/>
                <w:i/>
                <w:iCs/>
                <w:sz w:val="19"/>
                <w:szCs w:val="19"/>
              </w:rPr>
              <w:t xml:space="preserve">Bradbury</w:t>
            </w:r>
            <w:r>
              <w:rPr>
                <w:rFonts w:ascii="Calibri" w:cs="Calibri" w:eastAsia="Calibri" w:hAnsi="Calibri"/>
                <w:sz w:val="19"/>
                <w:szCs w:val="19"/>
              </w:rPr>
              <w:t xml:space="preserve">, 10th Cir.).</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Apology laws</w:t>
            </w:r>
            <w:r>
              <w:rPr>
                <w:rFonts w:ascii="Calibri" w:cs="Calibri" w:eastAsia="Calibri" w:hAnsi="Calibri"/>
                <w:sz w:val="19"/>
                <w:szCs w:val="19"/>
              </w:rPr>
              <w:t xml:space="preserve"> (state)</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Thirty-four states and D.C. have “partial” apology laws protecting expressions of sympathy; only five have “full” laws that also protect admissions of fault. Massachusetts was first.</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Encourage apologies that may head off malpractice claims.</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Why is 409 narrower than 408? A driver offering help doesn't know the rule, so broader protection would be a windfall. After a claim, lawyers know the risks, so 408 must protect statements to keep negotiations open.</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408 applied</w:t>
            </w:r>
            <w:r>
              <w:rPr>
                <w:rFonts w:ascii="Calibri" w:cs="Calibri" w:eastAsia="Calibri" w:hAnsi="Calibri"/>
                <w:sz w:val="19"/>
                <w:szCs w:val="19"/>
              </w:rPr>
              <w:t xml:space="preserve"> (Class 4)</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408 bars evidence “on behalf of any party.” In </w:t>
            </w:r>
            <w:r>
              <w:rPr>
                <w:rFonts w:ascii="Calibri" w:cs="Calibri" w:eastAsia="Calibri" w:hAnsi="Calibri"/>
                <w:i/>
                <w:iCs/>
                <w:sz w:val="19"/>
                <w:szCs w:val="19"/>
              </w:rPr>
              <w:t xml:space="preserve">The Verdict</w:t>
            </w:r>
            <w:r>
              <w:rPr>
                <w:rFonts w:ascii="Calibri" w:cs="Calibri" w:eastAsia="Calibri" w:hAnsi="Calibri"/>
                <w:sz w:val="19"/>
                <w:szCs w:val="19"/>
              </w:rPr>
              <w:t xml:space="preserve"> clip, the diocese's offer is excluded (it may reflect a desire for peace), and “tragic accident” is likely excluded as a statement during negotiations. It can't impeach the bishop's later “act of God” testimony, since 408 bars prior-inconsistent-statement impeachment.</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Settlement talks need candor.</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Problem 2.4 (Hotel Inspection):</w:t>
            </w:r>
            <w:r>
              <w:rPr>
                <w:rFonts w:ascii="Calibri" w:cs="Calibri" w:eastAsia="Calibri" w:hAnsi="Calibri"/>
                <w:sz w:val="19"/>
                <w:szCs w:val="19"/>
              </w:rPr>
              <w:t xml:space="preserve"> a consultant's (Goldsmith's) report prepared for the hotel during the settlement process counts as a statement “during compromise negotiations”; otherwise parties wouldn't hire such agents.</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409 applied</w:t>
            </w:r>
            <w:r>
              <w:rPr>
                <w:rFonts w:ascii="Calibri" w:cs="Calibri" w:eastAsia="Calibri" w:hAnsi="Calibri"/>
                <w:sz w:val="19"/>
                <w:szCs w:val="19"/>
              </w:rPr>
              <w:t xml:space="preserve"> (Class 4)</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“Oh my gosh, let me give you a bandaid” at the scene is barred (409); “I'm so sorry” is not (an admission, though maybe covered by a state apology law). The same apology made two weeks later at a settlement meeting is barred by 408.</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Policy (both encourage avoiding lawsuits) or relevance (humane impulses aren't probative)?</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But the relevance rationale “technically could be true of 408 as well.”</w:t>
            </w:r>
          </w:p>
        </w:tc>
      </w:tr>
    </w:tbl>
    <w:p>
      <w:pPr>
        <w:spacing w:after="120"/>
      </w:pPr>
    </w:p>
    <w:p>
      <w:pPr>
        <w:pStyle w:val="Heading2"/>
        <w:keepNext/>
      </w:pPr>
      <w:r>
        <w:t xml:space="preserve">Pleas in Criminal Cases — FRE 410; Liability Insurance — FRE 411</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000"/>
        <w:gridCol w:w="4212"/>
      </w:tblGrid>
      <w:tr>
        <w:trPr>
          <w:cantSplit/>
          <w:tblHeader/>
        </w:trPr>
        <w:tc>
          <w:tcPr>
            <w:tcW w:type="dxa" w:w="29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4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3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Why it exists</w:t>
            </w:r>
          </w:p>
        </w:tc>
        <w:tc>
          <w:tcPr>
            <w:tcW w:type="dxa" w:w="42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410</w:t>
            </w:r>
            <w:r>
              <w:rPr>
                <w:rFonts w:ascii="Calibri" w:cs="Calibri" w:eastAsia="Calibri" w:hAnsi="Calibri"/>
                <w:sz w:val="19"/>
                <w:szCs w:val="19"/>
              </w:rPr>
              <w:t xml:space="preserve"> — pleas and plea discussions</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Withdrawn guilty pleas, nolo contendere pleas, and </w:t>
            </w:r>
            <w:r>
              <w:rPr>
                <w:rFonts w:ascii="Calibri" w:cs="Calibri" w:eastAsia="Calibri" w:hAnsi="Calibri"/>
                <w:b/>
                <w:bCs/>
                <w:sz w:val="19"/>
                <w:szCs w:val="19"/>
              </w:rPr>
              <w:t xml:space="preserve">statements during plea discussions with a prosecutor</w:t>
            </w:r>
            <w:r>
              <w:rPr>
                <w:rFonts w:ascii="Calibri" w:cs="Calibri" w:eastAsia="Calibri" w:hAnsi="Calibri"/>
                <w:sz w:val="19"/>
                <w:szCs w:val="19"/>
              </w:rPr>
              <w:t xml:space="preserve"> are inadmissible </w:t>
            </w:r>
            <w:r>
              <w:rPr>
                <w:rFonts w:ascii="Calibri" w:cs="Calibri" w:eastAsia="Calibri" w:hAnsi="Calibri"/>
                <w:b/>
                <w:bCs/>
                <w:sz w:val="19"/>
                <w:szCs w:val="19"/>
              </w:rPr>
              <w:t xml:space="preserve">against the defendant</w:t>
            </w:r>
            <w:r>
              <w:rPr>
                <w:rFonts w:ascii="Calibri" w:cs="Calibri" w:eastAsia="Calibri" w:hAnsi="Calibri"/>
                <w:sz w:val="19"/>
                <w:szCs w:val="19"/>
              </w:rPr>
              <w:t xml:space="preserve">.</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Plea bargaining is essential; defendants won't negotiate without protection.</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Always barred except narrow exceptions (completeness; perjury). Protection is </w:t>
            </w:r>
            <w:r>
              <w:rPr>
                <w:rFonts w:ascii="Calibri" w:cs="Calibri" w:eastAsia="Calibri" w:hAnsi="Calibri"/>
                <w:b/>
                <w:bCs/>
                <w:sz w:val="19"/>
                <w:szCs w:val="19"/>
              </w:rPr>
              <w:t xml:space="preserve">waivable</w:t>
            </w:r>
            <w:r>
              <w:rPr>
                <w:rFonts w:ascii="Calibri" w:cs="Calibri" w:eastAsia="Calibri" w:hAnsi="Calibri"/>
                <w:sz w:val="19"/>
                <w:szCs w:val="19"/>
              </w:rPr>
              <w:t xml:space="preserve"> (</w:t>
            </w:r>
            <w:r>
              <w:rPr>
                <w:rFonts w:ascii="Calibri" w:cs="Calibri" w:eastAsia="Calibri" w:hAnsi="Calibri"/>
                <w:i/>
                <w:iCs/>
                <w:sz w:val="19"/>
                <w:szCs w:val="19"/>
              </w:rPr>
              <w:t xml:space="preserve">Mezzanatto</w:t>
            </w:r>
            <w:r>
              <w:rPr>
                <w:rFonts w:ascii="Calibri" w:cs="Calibri" w:eastAsia="Calibri" w:hAnsi="Calibri"/>
                <w:sz w:val="19"/>
                <w:szCs w:val="19"/>
              </w:rPr>
              <w:t xml:space="preserve">). Statements to police without authority aren't covered (</w:t>
            </w:r>
            <w:r>
              <w:rPr>
                <w:rFonts w:ascii="Calibri" w:cs="Calibri" w:eastAsia="Calibri" w:hAnsi="Calibri"/>
                <w:i/>
                <w:iCs/>
                <w:sz w:val="19"/>
                <w:szCs w:val="19"/>
              </w:rPr>
              <w:t xml:space="preserve">Greene</w:t>
            </w:r>
            <w:r>
              <w:rPr>
                <w:rFonts w:ascii="Calibri" w:cs="Calibri" w:eastAsia="Calibri" w:hAnsi="Calibri"/>
                <w:sz w:val="19"/>
                <w:szCs w:val="19"/>
              </w:rPr>
              <w:t xml:space="preserve">).</w:t>
            </w:r>
          </w:p>
        </w:tc>
      </w:tr>
      <w:tr>
        <w:trPr>
          <w:cantSplit/>
          <w:tblHeader w:val="false"/>
        </w:trPr>
        <w:tc>
          <w:tcPr>
            <w:tcW w:type="dxa" w:w="29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411</w:t>
            </w:r>
            <w:r>
              <w:rPr>
                <w:rFonts w:ascii="Calibri" w:cs="Calibri" w:eastAsia="Calibri" w:hAnsi="Calibri"/>
                <w:sz w:val="19"/>
                <w:szCs w:val="19"/>
              </w:rPr>
              <w:t xml:space="preserve"> — liability insurance</w:t>
            </w:r>
          </w:p>
        </w:tc>
        <w:tc>
          <w:tcPr>
            <w:tcW w:type="dxa" w:w="4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Having insurance (or not) can't prove negligence or wrongful conduct.</w:t>
            </w:r>
          </w:p>
        </w:tc>
        <w:tc>
          <w:tcPr>
            <w:tcW w:type="dxa" w:w="3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Little probative value; risk jurors award damages to whoever can pay.</w:t>
            </w:r>
          </w:p>
        </w:tc>
        <w:tc>
          <w:tcPr>
            <w:tcW w:type="dxa" w:w="4212"/>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Allowed for another purpose, such as a witness's </w:t>
            </w:r>
            <w:r>
              <w:rPr>
                <w:rFonts w:ascii="Calibri" w:cs="Calibri" w:eastAsia="Calibri" w:hAnsi="Calibri"/>
                <w:b/>
                <w:bCs/>
                <w:sz w:val="19"/>
                <w:szCs w:val="19"/>
              </w:rPr>
              <w:t xml:space="preserve">bias</w:t>
            </w:r>
            <w:r>
              <w:rPr>
                <w:rFonts w:ascii="Calibri" w:cs="Calibri" w:eastAsia="Calibri" w:hAnsi="Calibri"/>
                <w:sz w:val="19"/>
                <w:szCs w:val="19"/>
              </w:rPr>
              <w:t xml:space="preserve">. Jurors discuss insurance anyway (Diamond &amp; Vidmar).</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410 scope details</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Covers only statements in plea discussions with an attorney for the prosecuting authority; unilateral statements before any plea discussion may be admissible. Agents count only with actual authority (</w:t>
            </w:r>
            <w:r>
              <w:rPr>
                <w:rFonts w:ascii="Calibri" w:cs="Calibri" w:eastAsia="Calibri" w:hAnsi="Calibri"/>
                <w:i/>
                <w:iCs/>
                <w:sz w:val="19"/>
                <w:szCs w:val="19"/>
              </w:rPr>
              <w:t xml:space="preserve">Greene</w:t>
            </w:r>
            <w:r>
              <w:rPr>
                <w:rFonts w:ascii="Calibri" w:cs="Calibri" w:eastAsia="Calibri" w:hAnsi="Calibri"/>
                <w:sz w:val="19"/>
                <w:szCs w:val="19"/>
              </w:rPr>
              <w:t xml:space="preserve">). Some courts ask whether the defendant had a reasonable, subjective expectation of negotiating a plea (</w:t>
            </w:r>
            <w:r>
              <w:rPr>
                <w:rFonts w:ascii="Calibri" w:cs="Calibri" w:eastAsia="Calibri" w:hAnsi="Calibri"/>
                <w:i/>
                <w:iCs/>
                <w:sz w:val="19"/>
                <w:szCs w:val="19"/>
              </w:rPr>
              <w:t xml:space="preserve">Robertson</w:t>
            </w:r>
            <w:r>
              <w:rPr>
                <w:rFonts w:ascii="Calibri" w:cs="Calibri" w:eastAsia="Calibri" w:hAnsi="Calibri"/>
                <w:sz w:val="19"/>
                <w:szCs w:val="19"/>
              </w:rPr>
              <w:t xml:space="preserve">, 5th Cir.).</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Defendants negotiate with their liberty and are especially vulnerable, and plea bargaining is essential to case management.</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Congress removed an early provision allowing impeachment use. Prosecutors may demand waivers for impeachment (</w:t>
            </w:r>
            <w:r>
              <w:rPr>
                <w:rFonts w:ascii="Calibri" w:cs="Calibri" w:eastAsia="Calibri" w:hAnsi="Calibri"/>
                <w:i/>
                <w:iCs/>
                <w:sz w:val="19"/>
                <w:szCs w:val="19"/>
              </w:rPr>
              <w:t xml:space="preserve">Mezzanatto</w:t>
            </w:r>
            <w:r>
              <w:rPr>
                <w:rFonts w:ascii="Calibri" w:cs="Calibri" w:eastAsia="Calibri" w:hAnsi="Calibri"/>
                <w:sz w:val="19"/>
                <w:szCs w:val="19"/>
              </w:rPr>
              <w:t xml:space="preserve">) and even case-in-chief use (</w:t>
            </w:r>
            <w:r>
              <w:rPr>
                <w:rFonts w:ascii="Calibri" w:cs="Calibri" w:eastAsia="Calibri" w:hAnsi="Calibri"/>
                <w:i/>
                <w:iCs/>
                <w:sz w:val="19"/>
                <w:szCs w:val="19"/>
              </w:rPr>
              <w:t xml:space="preserve">Washburn</w:t>
            </w:r>
            <w:r>
              <w:rPr>
                <w:rFonts w:ascii="Calibri" w:cs="Calibri" w:eastAsia="Calibri" w:hAnsi="Calibri"/>
                <w:sz w:val="19"/>
                <w:szCs w:val="19"/>
              </w:rPr>
              <w:t xml:space="preserve">; </w:t>
            </w:r>
            <w:r>
              <w:rPr>
                <w:rFonts w:ascii="Calibri" w:cs="Calibri" w:eastAsia="Calibri" w:hAnsi="Calibri"/>
                <w:i/>
                <w:iCs/>
                <w:sz w:val="19"/>
                <w:szCs w:val="19"/>
              </w:rPr>
              <w:t xml:space="preserve">Mitchell</w:t>
            </w:r>
            <w:r>
              <w:rPr>
                <w:rFonts w:ascii="Calibri" w:cs="Calibri" w:eastAsia="Calibri" w:hAnsi="Calibri"/>
                <w:sz w:val="19"/>
                <w:szCs w:val="19"/>
              </w:rPr>
              <w:t xml:space="preserve">). The text bars only evidence “against the defendant,” but courts also bar a defendant's proof of a prosecutor's plea offer (</w:t>
            </w:r>
            <w:r>
              <w:rPr>
                <w:rFonts w:ascii="Calibri" w:cs="Calibri" w:eastAsia="Calibri" w:hAnsi="Calibri"/>
                <w:i/>
                <w:iCs/>
                <w:sz w:val="19"/>
                <w:szCs w:val="19"/>
              </w:rPr>
              <w:t xml:space="preserve">Verdoorn</w:t>
            </w:r>
            <w:r>
              <w:rPr>
                <w:rFonts w:ascii="Calibri" w:cs="Calibri" w:eastAsia="Calibri" w:hAnsi="Calibri"/>
                <w:sz w:val="19"/>
                <w:szCs w:val="19"/>
              </w:rPr>
              <w:t xml:space="preserve">; Problem 2.8).</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411 rationale &amp; Problem 2.5</w:t>
            </w:r>
            <w:r>
              <w:rPr>
                <w:rFonts w:ascii="Calibri" w:cs="Calibri" w:eastAsia="Calibri" w:hAnsi="Calibri"/>
                <w:sz w:val="19"/>
                <w:szCs w:val="19"/>
              </w:rPr>
              <w:t xml:space="preserve"> (Class 4)</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1970s fear: jurors find against insured defendants. In reality, jurors mostly worry about giving a windfall to a plaintiff already covered by insurance. </w:t>
            </w:r>
            <w:r>
              <w:rPr>
                <w:rFonts w:ascii="Calibri" w:cs="Calibri" w:eastAsia="Calibri" w:hAnsi="Calibri"/>
                <w:i/>
                <w:iCs/>
                <w:sz w:val="19"/>
                <w:szCs w:val="19"/>
              </w:rPr>
              <w:t xml:space="preserve">Lacher v. Anderson</w:t>
            </w:r>
            <w:r>
              <w:rPr>
                <w:rFonts w:ascii="Calibri" w:cs="Calibri" w:eastAsia="Calibri" w:hAnsi="Calibri"/>
                <w:sz w:val="19"/>
                <w:szCs w:val="19"/>
              </w:rPr>
              <w:t xml:space="preserve">: excluding evidence that the adjuster who took the plaintiff's statement worked for the defendants' insurer was probably right.</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Bias is a permitted purpose, but here it had little probative value.</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Even if not barred by 411, it stays out under 403: tiny probative value vs. revealing insurance.</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Blindfolding &amp; the Arizona Jury Project</w:t>
            </w:r>
            <w:r>
              <w:rPr>
                <w:rFonts w:ascii="Calibri" w:cs="Calibri" w:eastAsia="Calibri" w:hAnsi="Calibri"/>
                <w:sz w:val="19"/>
                <w:szCs w:val="19"/>
              </w:rPr>
              <w:t xml:space="preserve"> (Classes 5–6)</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Three failures of blindfolding: (1) limiting instructions are hard to follow; (2) objecting to a prohibited mention can draw attention to it; (3) jurors' prior experiences can't be erased, and instructions may bring the topic to mind. Videotaped Arizona deliberations: insurance came up in 85% of trials, about 4 times per deliberation, mostly about whether the </w:t>
            </w:r>
            <w:r>
              <w:rPr>
                <w:rFonts w:ascii="Calibri" w:cs="Calibri" w:eastAsia="Calibri" w:hAnsi="Calibri"/>
                <w:i/>
                <w:iCs/>
                <w:sz w:val="19"/>
                <w:szCs w:val="19"/>
              </w:rPr>
              <w:t xml:space="preserve">plaintiff</w:t>
            </w:r>
            <w:r>
              <w:rPr>
                <w:rFonts w:ascii="Calibri" w:cs="Calibri" w:eastAsia="Calibri" w:hAnsi="Calibri"/>
                <w:sz w:val="19"/>
                <w:szCs w:val="19"/>
              </w:rPr>
              <w:t xml:space="preserve"> was insured; in 40%, substantially enough to possibly affect the verdict.</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Suggests educating jurors may beat blindfolding them.</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better instruction: admonish jurors not to speculate and tell them their information may be inaccurate or incomplete.</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410 full text</w:t>
            </w:r>
            <w:r>
              <w:rPr>
                <w:rFonts w:ascii="Calibri" w:cs="Calibri" w:eastAsia="Calibri" w:hAnsi="Calibri"/>
                <w:sz w:val="19"/>
                <w:szCs w:val="19"/>
              </w:rPr>
              <w:t xml:space="preserve"> (Class 5)</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Inadmissible against the defendant in a civil or criminal case: (1) a withdrawn guilty plea; (2) a nolo contendere plea; (3) statements during Fed. R. Crim. P. 11 (or state) proceedings on those pleas; (4) statements in plea discussions with an attorney for the prosecuting authority that didn't produce a guilty plea, or produced a withdrawn one.</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Encourage plea bargaining. Barred evidence is always barred unless specifically permitted.</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Exceptions for (a)(3)–(4) statements: (b)(1) completeness, when another statement from the same plea or talks is in; (b)(2) a perjury or false-statement prosecution, if made under oath, on the record, with counsel present.</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United States v. Biaggi</w:t>
            </w:r>
            <w:r>
              <w:rPr>
                <w:rFonts w:ascii="Calibri" w:cs="Calibri" w:eastAsia="Calibri" w:hAnsi="Calibri"/>
                <w:sz w:val="19"/>
                <w:szCs w:val="19"/>
              </w:rPr>
              <w:t xml:space="preserve"> (2d Cir. 1990) (Class 5)</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Wedtech defendant Mariotta rejected an immunity offer, claiming he knew of no wrongdoing. Excluding that “consciousness of innocence” evidence was error, especially since the government offered consciousness-of-guilt evidence (buying gold bars after cooperators pleaded).</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410 bars evidence only “against the defendant.”</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Rejecting immunity is strongly probative of innocence; rejecting a plea for a reduced sentence is weaker. </w:t>
            </w:r>
            <w:r>
              <w:rPr>
                <w:rFonts w:ascii="Calibri" w:cs="Calibri" w:eastAsia="Calibri" w:hAnsi="Calibri"/>
                <w:b/>
                <w:bCs/>
                <w:sz w:val="19"/>
                <w:szCs w:val="19"/>
              </w:rPr>
              <w:t xml:space="preserve">Problem 2.8:</w:t>
            </w:r>
            <w:r>
              <w:rPr>
                <w:rFonts w:ascii="Calibri" w:cs="Calibri" w:eastAsia="Calibri" w:hAnsi="Calibri"/>
                <w:sz w:val="19"/>
                <w:szCs w:val="19"/>
              </w:rPr>
              <w:t xml:space="preserve"> a prosecutor's offer to reduce first- to second-degree murder isn't necessarily a concession of weakness (it may avoid the cost of trial), and courts usually exclude it to protect plea bargaining.</w:t>
            </w:r>
          </w:p>
        </w:tc>
      </w:tr>
    </w:tbl>
    <w:p>
      <w:pPr>
        <w:keepNext/>
        <w:keepLines/>
        <w:spacing w:after="100"/>
      </w:pPr>
      <w:r>
        <w:rPr>
          <w:rFonts w:ascii="Calibri" w:cs="Calibri" w:eastAsia="Calibri" w:hAnsi="Calibri"/>
          <w:b/>
          <w:bCs/>
          <w:sz w:val="20"/>
          <w:szCs w:val="20"/>
        </w:rPr>
        <w:t xml:space="preserve">Why specific rules instead of case-by-case 403?</w:t>
      </w:r>
      <w:r>
        <w:rPr>
          <w:rFonts w:ascii="Calibri" w:cs="Calibri" w:eastAsia="Calibri" w:hAnsi="Calibri"/>
          <w:sz w:val="20"/>
          <w:szCs w:val="20"/>
        </w:rPr>
        <w:t xml:space="preserve"> The advisory committee warned that pure discretion would (1) expand judicial discretion and invite bias and forum shopping, (2) reduce predictability, undercutting the repairs and settlements 407–410 aim to encourage, (3) complicate trial preparation, (4) multiply motions in limine, and (5) likely require separate criminal and civil rules.</w:t>
      </w:r>
    </w:p>
    <w:p>
      <w:pPr>
        <w:spacing w:after="120"/>
      </w:pPr>
    </w:p>
    <w:p>
      <w:pPr>
        <w:pStyle w:val="Heading1"/>
        <w:keepNext/>
      </w:pPr>
      <w:r>
        <w:t xml:space="preserve">4. Character Evidence (Weeks 3–4)</w:t>
      </w:r>
    </w:p>
    <w:p>
      <w:pPr>
        <w:keepNext/>
        <w:keepLines/>
        <w:spacing w:after="100"/>
      </w:pPr>
      <w:r>
        <w:rPr>
          <w:rFonts w:ascii="Calibri" w:cs="Calibri" w:eastAsia="Calibri" w:hAnsi="Calibri"/>
          <w:b/>
          <w:bCs/>
          <w:sz w:val="20"/>
          <w:szCs w:val="20"/>
        </w:rPr>
        <w:t xml:space="preserve">The propensity box:</w:t>
      </w:r>
      <w:r>
        <w:rPr>
          <w:rFonts w:ascii="Calibri" w:cs="Calibri" w:eastAsia="Calibri" w:hAnsi="Calibri"/>
          <w:sz w:val="20"/>
          <w:szCs w:val="20"/>
        </w:rPr>
        <w:t xml:space="preserve"> the forbidden inference runs from a person's character trait to action in accordance with that trait on a particular occasion ("he's that type, so he did it"). The rules give </w:t>
      </w:r>
      <w:r>
        <w:rPr>
          <w:rFonts w:ascii="Calibri" w:cs="Calibri" w:eastAsia="Calibri" w:hAnsi="Calibri"/>
          <w:b/>
          <w:bCs/>
          <w:sz w:val="20"/>
          <w:szCs w:val="20"/>
        </w:rPr>
        <w:t xml:space="preserve">routes around the box</w:t>
      </w:r>
      <w:r>
        <w:rPr>
          <w:rFonts w:ascii="Calibri" w:cs="Calibri" w:eastAsia="Calibri" w:hAnsi="Calibri"/>
          <w:sz w:val="20"/>
          <w:szCs w:val="20"/>
        </w:rPr>
        <w:t xml:space="preserve"> and a few genuine </w:t>
      </w:r>
      <w:r>
        <w:rPr>
          <w:rFonts w:ascii="Calibri" w:cs="Calibri" w:eastAsia="Calibri" w:hAnsi="Calibri"/>
          <w:b/>
          <w:bCs/>
          <w:sz w:val="20"/>
          <w:szCs w:val="20"/>
        </w:rPr>
        <w:t xml:space="preserve">exceptions</w:t>
      </w:r>
      <w:r>
        <w:rPr>
          <w:rFonts w:ascii="Calibri" w:cs="Calibri" w:eastAsia="Calibri" w:hAnsi="Calibri"/>
          <w:sz w:val="20"/>
          <w:szCs w:val="20"/>
        </w:rPr>
        <w:t xml:space="preserve"> that go through it.</w:t>
      </w:r>
    </w:p>
    <w:p>
      <w:pPr>
        <w:pStyle w:val="Heading2"/>
        <w:keepNext/>
      </w:pPr>
      <w:r>
        <w:t xml:space="preserve">The Character-Propensity Rule — FRE 404(a)(1) &amp; 404(b)</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3000"/>
        <w:gridCol w:w="4212"/>
      </w:tblGrid>
      <w:tr>
        <w:trPr>
          <w:cantSplit/>
          <w:tblHeader/>
        </w:trPr>
        <w:tc>
          <w:tcPr>
            <w:tcW w:type="dxa" w:w="29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4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3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Why it exists</w:t>
            </w:r>
          </w:p>
        </w:tc>
        <w:tc>
          <w:tcPr>
            <w:tcW w:type="dxa" w:w="42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404(a)(1)</w:t>
            </w:r>
            <w:r>
              <w:rPr>
                <w:rFonts w:ascii="Calibri" w:cs="Calibri" w:eastAsia="Calibri" w:hAnsi="Calibri"/>
                <w:sz w:val="19"/>
                <w:szCs w:val="19"/>
              </w:rPr>
              <w:t xml:space="preserve"> — the propensity evidence ban</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Character can't prove a person acted in accordance with it on a particular occasion.</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Juries give it </w:t>
            </w:r>
            <w:r>
              <w:rPr>
                <w:rFonts w:ascii="Calibri" w:cs="Calibri" w:eastAsia="Calibri" w:hAnsi="Calibri"/>
                <w:b/>
                <w:bCs/>
                <w:sz w:val="19"/>
                <w:szCs w:val="19"/>
              </w:rPr>
              <w:t xml:space="preserve">excessive weight</w:t>
            </w:r>
            <w:r>
              <w:rPr>
                <w:rFonts w:ascii="Calibri" w:cs="Calibri" w:eastAsia="Calibri" w:hAnsi="Calibri"/>
                <w:sz w:val="19"/>
                <w:szCs w:val="19"/>
              </w:rPr>
              <w:t xml:space="preserve"> and may </w:t>
            </w:r>
            <w:r>
              <w:rPr>
                <w:rFonts w:ascii="Calibri" w:cs="Calibri" w:eastAsia="Calibri" w:hAnsi="Calibri"/>
                <w:b/>
                <w:bCs/>
                <w:sz w:val="19"/>
                <w:szCs w:val="19"/>
              </w:rPr>
              <w:t xml:space="preserve">punish the person</w:t>
            </w:r>
            <w:r>
              <w:rPr>
                <w:rFonts w:ascii="Calibri" w:cs="Calibri" w:eastAsia="Calibri" w:hAnsi="Calibri"/>
                <w:sz w:val="19"/>
                <w:szCs w:val="19"/>
              </w:rPr>
              <w:t xml:space="preserve"> regardless of guilt (</w:t>
            </w:r>
            <w:r>
              <w:rPr>
                <w:rFonts w:ascii="Calibri" w:cs="Calibri" w:eastAsia="Calibri" w:hAnsi="Calibri"/>
                <w:i/>
                <w:iCs/>
                <w:sz w:val="19"/>
                <w:szCs w:val="19"/>
              </w:rPr>
              <w:t xml:space="preserve">Zackowitz</w:t>
            </w:r>
            <w:r>
              <w:rPr>
                <w:rFonts w:ascii="Calibri" w:cs="Calibri" w:eastAsia="Calibri" w:hAnsi="Calibri"/>
                <w:sz w:val="19"/>
                <w:szCs w:val="19"/>
              </w:rPr>
              <w:t xml:space="preserve">).</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Applies to anyone, in civil and criminal cases.</w:t>
            </w:r>
          </w:p>
        </w:tc>
      </w:tr>
      <w:tr>
        <w:trPr>
          <w:cantSplit/>
          <w:tblHeader w:val="false"/>
        </w:trPr>
        <w:tc>
          <w:tcPr>
            <w:tcW w:type="dxa" w:w="29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404(b)</w:t>
            </w:r>
            <w:r>
              <w:rPr>
                <w:rFonts w:ascii="Calibri" w:cs="Calibri" w:eastAsia="Calibri" w:hAnsi="Calibri"/>
                <w:sz w:val="19"/>
                <w:szCs w:val="19"/>
              </w:rPr>
              <w:t xml:space="preserve"> — other crimes, wrongs, or acts</w:t>
            </w:r>
          </w:p>
        </w:tc>
        <w:tc>
          <w:tcPr>
            <w:tcW w:type="dxa" w:w="4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Other-act evidence can't prove character, but </w:t>
            </w:r>
            <w:r>
              <w:rPr>
                <w:rFonts w:ascii="Calibri" w:cs="Calibri" w:eastAsia="Calibri" w:hAnsi="Calibri"/>
                <w:b/>
                <w:bCs/>
                <w:sz w:val="19"/>
                <w:szCs w:val="19"/>
              </w:rPr>
              <w:t xml:space="preserve">may</w:t>
            </w:r>
            <w:r>
              <w:rPr>
                <w:rFonts w:ascii="Calibri" w:cs="Calibri" w:eastAsia="Calibri" w:hAnsi="Calibri"/>
                <w:sz w:val="19"/>
                <w:szCs w:val="19"/>
              </w:rPr>
              <w:t xml:space="preserve"> be admitted for another purpose: motive, opportunity, intent, preparation, plan, knowledge, identity, absence of mistake, or lack of accident.</w:t>
            </w:r>
          </w:p>
        </w:tc>
        <w:tc>
          <w:tcPr>
            <w:tcW w:type="dxa" w:w="3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Other acts can prove something without the propensity inference.</w:t>
            </w:r>
          </w:p>
        </w:tc>
        <w:tc>
          <w:tcPr>
            <w:tcW w:type="dxa" w:w="42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listed purposes are </w:t>
            </w:r>
            <w:r>
              <w:rPr>
                <w:rFonts w:ascii="Calibri" w:cs="Calibri" w:eastAsia="Calibri" w:hAnsi="Calibri"/>
                <w:b/>
                <w:bCs/>
                <w:sz w:val="19"/>
                <w:szCs w:val="19"/>
              </w:rPr>
              <w:t xml:space="preserve">not "exceptions"</w:t>
            </w:r>
            <w:r>
              <w:rPr>
                <w:rFonts w:ascii="Calibri" w:cs="Calibri" w:eastAsia="Calibri" w:hAnsi="Calibri"/>
                <w:sz w:val="19"/>
                <w:szCs w:val="19"/>
              </w:rPr>
              <w:t xml:space="preserve">: a chain running through the box is still barred. Rule 403 applies; notice is required (404(b)(3)).</w:t>
            </w:r>
          </w:p>
        </w:tc>
      </w:tr>
      <w:tr>
        <w:trPr>
          <w:cantSplit/>
          <w:tblHeader w:val="false"/>
        </w:trPr>
        <w:tc>
          <w:tcPr>
            <w:tcW w:type="dxa" w:w="29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Proving the other act</w:t>
            </w:r>
          </w:p>
        </w:tc>
        <w:tc>
          <w:tcPr>
            <w:tcW w:type="dxa" w:w="4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Admit if a jury could reasonably find the act occurred and the defendant did it.</w:t>
            </w:r>
          </w:p>
        </w:tc>
        <w:tc>
          <w:tcPr>
            <w:tcW w:type="dxa" w:w="3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Conditional relevance, FRE 104(b).</w:t>
            </w:r>
          </w:p>
        </w:tc>
        <w:tc>
          <w:tcPr>
            <w:tcW w:type="dxa" w:w="4212"/>
            <w:tcMar>
              <w:top w:type="dxa" w:w="60"/>
              <w:left w:type="dxa" w:w="100"/>
              <w:bottom w:type="dxa" w:w="60"/>
              <w:right w:type="dxa" w:w="100"/>
            </w:tcMar>
          </w:tcPr>
          <w:p>
            <w:pPr>
              <w:keepNext w:val="false"/>
              <w:keepLines/>
              <w:spacing w:after="0" w:before="0" w:line="250"/>
            </w:pPr>
            <w:r>
              <w:rPr>
                <w:rFonts w:ascii="Calibri" w:cs="Calibri" w:eastAsia="Calibri" w:hAnsi="Calibri"/>
                <w:i/>
                <w:iCs/>
                <w:sz w:val="19"/>
                <w:szCs w:val="19"/>
              </w:rPr>
              <w:t xml:space="preserve">Huddleston</w:t>
            </w:r>
            <w:r>
              <w:rPr>
                <w:rFonts w:ascii="Calibri" w:cs="Calibri" w:eastAsia="Calibri" w:hAnsi="Calibri"/>
                <w:sz w:val="19"/>
                <w:szCs w:val="19"/>
              </w:rPr>
              <w:t xml:space="preserve">; an acquittal isn't a bar (</w:t>
            </w:r>
            <w:r>
              <w:rPr>
                <w:rFonts w:ascii="Calibri" w:cs="Calibri" w:eastAsia="Calibri" w:hAnsi="Calibri"/>
                <w:i/>
                <w:iCs/>
                <w:sz w:val="19"/>
                <w:szCs w:val="19"/>
              </w:rPr>
              <w:t xml:space="preserve">Dowling</w:t>
            </w:r>
            <w:r>
              <w:rPr>
                <w:rFonts w:ascii="Calibri" w:cs="Calibri" w:eastAsia="Calibri" w:hAnsi="Calibri"/>
                <w:sz w:val="19"/>
                <w:szCs w:val="19"/>
              </w:rPr>
              <w:t xml:space="preserve">).</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People v. Zackowitz</w:t>
            </w:r>
            <w:r>
              <w:rPr>
                <w:rFonts w:ascii="Calibri" w:cs="Calibri" w:eastAsia="Calibri" w:hAnsi="Calibri"/>
                <w:sz w:val="19"/>
                <w:szCs w:val="19"/>
              </w:rPr>
              <w:t xml:space="preserve"> (N.Y. 1930) (Classes 5–6)</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Coppola insulted Zackowitz's wife; Zackowitz threatened to “bump them off,” returned with a gun, and fired one fatal shot (possibly after Coppola attacked with a wrench). The DA displayed three other pistols and a tear-gas gun he didn't use, to show “a desperate type of criminal.” Cardozo reversed: no “bluffing of the issues” with an appeal to prejudice.</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Two policy concerns: excessive weight, and convicting for who you are. As a matter of law, propensity fails 403. Character evidence may be relevant yet inadmissible.</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If he had bought the guns </w:t>
            </w:r>
            <w:r>
              <w:rPr>
                <w:rFonts w:ascii="Calibri" w:cs="Calibri" w:eastAsia="Calibri" w:hAnsi="Calibri"/>
                <w:i/>
                <w:iCs/>
                <w:sz w:val="19"/>
                <w:szCs w:val="19"/>
              </w:rPr>
              <w:t xml:space="preserve">after</w:t>
            </w:r>
            <w:r>
              <w:rPr>
                <w:rFonts w:ascii="Calibri" w:cs="Calibri" w:eastAsia="Calibri" w:hAnsi="Calibri"/>
                <w:sz w:val="19"/>
                <w:szCs w:val="19"/>
              </w:rPr>
              <w:t xml:space="preserve"> the insult, that would be preparation. </w:t>
            </w:r>
            <w:r>
              <w:rPr>
                <w:rFonts w:ascii="Calibri" w:cs="Calibri" w:eastAsia="Calibri" w:hAnsi="Calibri"/>
                <w:b/>
                <w:bCs/>
                <w:sz w:val="19"/>
                <w:szCs w:val="19"/>
              </w:rPr>
              <w:t xml:space="preserve">Dissent:</w:t>
            </w:r>
            <w:r>
              <w:rPr>
                <w:rFonts w:ascii="Calibri" w:cs="Calibri" w:eastAsia="Calibri" w:hAnsi="Calibri"/>
                <w:sz w:val="19"/>
                <w:szCs w:val="19"/>
              </w:rPr>
              <w:t xml:space="preserve"> the weapons showed he could carry out his threat. If guns tying him to the scene were found there, they would be admissible for identity, with a 105 instruction.</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404(b)(2) is permissive</w:t>
            </w:r>
            <w:r>
              <w:rPr>
                <w:rFonts w:ascii="Calibri" w:cs="Calibri" w:eastAsia="Calibri" w:hAnsi="Calibri"/>
                <w:sz w:val="19"/>
                <w:szCs w:val="19"/>
              </w:rPr>
              <w:t xml:space="preserve"> (Classes 5–6)</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Even a proper non-character purpose doesn't </w:t>
            </w:r>
            <w:r>
              <w:rPr>
                <w:rFonts w:ascii="Calibri" w:cs="Calibri" w:eastAsia="Calibri" w:hAnsi="Calibri"/>
                <w:i/>
                <w:iCs/>
                <w:sz w:val="19"/>
                <w:szCs w:val="19"/>
              </w:rPr>
              <w:t xml:space="preserve">require</w:t>
            </w:r>
            <w:r>
              <w:rPr>
                <w:rFonts w:ascii="Calibri" w:cs="Calibri" w:eastAsia="Calibri" w:hAnsi="Calibri"/>
                <w:sz w:val="19"/>
                <w:szCs w:val="19"/>
              </w:rPr>
              <w:t xml:space="preserve"> admission; the judge still runs 403.</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listed purposes aren't exceptions; they aren't character evidence at all.</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404 applies in civil and criminal cases. True exceptions: 404(a)(2)(A)–(C), 404(a)(3), and 413–415.</w:t>
            </w:r>
          </w:p>
        </w:tc>
      </w:tr>
      <w:tr>
        <w:trPr>
          <w:cantSplit/>
          <w:tblHeader w:val="false"/>
        </w:trPr>
        <w:tc>
          <w:tcPr>
            <w:tcW w:type="dxa" w:w="29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Huddleston v. United States</w:t>
            </w:r>
            <w:r>
              <w:rPr>
                <w:rFonts w:ascii="Calibri" w:cs="Calibri" w:eastAsia="Calibri" w:hAnsi="Calibri"/>
                <w:sz w:val="19"/>
                <w:szCs w:val="19"/>
              </w:rPr>
              <w:t xml:space="preserve"> (1988) (Classes 7–8)</w:t>
            </w:r>
          </w:p>
        </w:tc>
        <w:tc>
          <w:tcPr>
            <w:tcW w:type="dxa" w:w="4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Charged over 5,000 stolen Memorex videotapes (April 1985). The government offered his February sale of 38 TVs and his May sale of appliances to show knowledge. Evidence the TVs were stolen was thin.</w:t>
            </w:r>
          </w:p>
        </w:tc>
        <w:tc>
          <w:tcPr>
            <w:tcW w:type="dxa" w:w="3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Whether the TVs were stolen is a 104(b) conditional-relevance question.</w:t>
            </w:r>
          </w:p>
        </w:tc>
        <w:tc>
          <w:tcPr>
            <w:tcW w:type="dxa" w:w="42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court examines all the evidence and asks if a jury could reasonably find the fact by a preponderance. Met here: low price, large quantity, no bill of sale.</w:t>
            </w:r>
          </w:p>
        </w:tc>
      </w:tr>
    </w:tbl>
    <w:p>
      <w:pPr>
        <w:keepNext/>
        <w:keepLines/>
        <w:spacing w:after="100"/>
      </w:pPr>
      <w:r>
        <w:rPr>
          <w:rFonts w:ascii="Calibri" w:cs="Calibri" w:eastAsia="Calibri" w:hAnsi="Calibri"/>
          <w:b/>
          <w:bCs/>
          <w:sz w:val="20"/>
          <w:szCs w:val="20"/>
        </w:rPr>
        <w:t xml:space="preserve">The seven exceptions to the propensity ban:</w:t>
      </w:r>
      <w:r>
        <w:rPr>
          <w:rFonts w:ascii="Calibri" w:cs="Calibri" w:eastAsia="Calibri" w:hAnsi="Calibri"/>
          <w:sz w:val="20"/>
          <w:szCs w:val="20"/>
        </w:rPr>
        <w:t xml:space="preserve"> FRE 413, 414 and 415; 404(a)(2)(A) (the defendant's pertinent trait); 404(a)(2)(B) (the victim's pertinent trait); 404(a)(2)(C) (a homicide victim's peacefulness); and 404(a)(3) (a witness's character for truthfulness).</w:t>
      </w:r>
    </w:p>
    <w:p>
      <w:pPr>
        <w:spacing w:after="120"/>
      </w:pPr>
    </w:p>
    <w:p>
      <w:pPr>
        <w:pStyle w:val="Heading2"/>
        <w:keepNext/>
      </w:pPr>
      <w:r>
        <w:t xml:space="preserve">Routes Around the Box</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Route</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What it means</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Example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Proof of knowledge</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other act shows relevant knowledge.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Railroad's notice of the engineer's drinking (Problem 3.3).</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Proof of motive</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other act supplies a reason for the crime.</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Peltier's arrest warrant.</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Proof of identity</w:t>
            </w:r>
            <w:r>
              <w:rPr>
                <w:rFonts w:ascii="Calibri" w:cs="Calibri" w:eastAsia="Calibri" w:hAnsi="Calibri"/>
                <w:sz w:val="19"/>
                <w:szCs w:val="19"/>
              </w:rPr>
              <w:t xml:space="preserve"> (modus operandi)</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Similarities so distinctive the crime "could not be anyone else's."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Trenkler</w:t>
            </w:r>
            <w:r>
              <w:rPr>
                <w:rFonts w:ascii="Calibri" w:cs="Calibri" w:eastAsia="Calibri" w:hAnsi="Calibri"/>
                <w:sz w:val="19"/>
                <w:szCs w:val="19"/>
              </w:rPr>
              <w:t xml:space="preserve"> (bombs); not a single prosaic commonality (</w:t>
            </w:r>
            <w:r>
              <w:rPr>
                <w:rFonts w:ascii="Calibri" w:cs="Calibri" w:eastAsia="Calibri" w:hAnsi="Calibri"/>
                <w:i/>
                <w:iCs/>
                <w:sz w:val="19"/>
                <w:szCs w:val="19"/>
              </w:rPr>
              <w:t xml:space="preserve">Pisari</w:t>
            </w:r>
            <w:r>
              <w:rPr>
                <w:rFonts w:ascii="Calibri" w:cs="Calibri" w:eastAsia="Calibri" w:hAnsi="Calibri"/>
                <w:sz w:val="19"/>
                <w:szCs w:val="19"/>
              </w:rPr>
              <w:t xml:space="preserve">).</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Narrative integrity</w:t>
            </w:r>
            <w:r>
              <w:rPr>
                <w:rFonts w:ascii="Calibri" w:cs="Calibri" w:eastAsia="Calibri" w:hAnsi="Calibri"/>
                <w:sz w:val="19"/>
                <w:szCs w:val="19"/>
              </w:rPr>
              <w:t xml:space="preserve"> (res gestae)</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Details that keep a witness's account coherent.</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Hite</w:t>
            </w:r>
            <w:r>
              <w:rPr>
                <w:rFonts w:ascii="Calibri" w:cs="Calibri" w:eastAsia="Calibri" w:hAnsi="Calibri"/>
                <w:sz w:val="19"/>
                <w:szCs w:val="19"/>
              </w:rPr>
              <w:t xml:space="preserve"> ("Russian roulette," sanitized).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Absence of accident</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Prior incidents rebut a claim of accident.</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Problem 3.12 (cleaning his gun).</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Doctrine of chances</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Repeated unusual "accidents" are objectively improbable.</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Rex v. Smith</w:t>
            </w:r>
            <w:r>
              <w:rPr>
                <w:rFonts w:ascii="Calibri" w:cs="Calibri" w:eastAsia="Calibri" w:hAnsi="Calibri"/>
                <w:sz w:val="19"/>
                <w:szCs w:val="19"/>
              </w:rPr>
              <w:t xml:space="preserve"> (brides in the bath); scholars disagree on whether it avoids propensity.</w:t>
            </w:r>
          </w:p>
        </w:tc>
      </w:tr>
      <w:tr>
        <w:trPr>
          <w:cantSplit/>
          <w:tblHeader w:val="false"/>
        </w:trPr>
        <w:tc>
          <w:tcPr>
            <w:tcW w:type="dxa" w:w="36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"Reverse 404(b)"</w:t>
            </w:r>
          </w:p>
        </w:tc>
        <w:tc>
          <w:tcPr>
            <w:tcW w:type="dxa" w:w="5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A defendant's evidence of another person's similar crimes.</w:t>
            </w:r>
          </w:p>
        </w:tc>
        <w:tc>
          <w:tcPr>
            <w:tcW w:type="dxa" w:w="5512"/>
            <w:tcMar>
              <w:top w:type="dxa" w:w="60"/>
              <w:left w:type="dxa" w:w="100"/>
              <w:bottom w:type="dxa" w:w="60"/>
              <w:right w:type="dxa" w:w="100"/>
            </w:tcMar>
          </w:tcPr>
          <w:p>
            <w:pPr>
              <w:keepNext w:val="false"/>
              <w:keepLines/>
              <w:spacing w:after="0" w:before="0" w:line="250"/>
            </w:pPr>
            <w:r>
              <w:rPr>
                <w:rFonts w:ascii="Calibri" w:cs="Calibri" w:eastAsia="Calibri" w:hAnsi="Calibri"/>
                <w:i/>
                <w:iCs/>
                <w:sz w:val="19"/>
                <w:szCs w:val="19"/>
              </w:rPr>
              <w:t xml:space="preserve">Stevens</w:t>
            </w:r>
            <w:r>
              <w:rPr>
                <w:rFonts w:ascii="Calibri" w:cs="Calibri" w:eastAsia="Calibri" w:hAnsi="Calibri"/>
                <w:sz w:val="19"/>
                <w:szCs w:val="19"/>
              </w:rPr>
              <w:t xml:space="preserve">: lower similarity threshold; not a license for propensity (</w:t>
            </w:r>
            <w:r>
              <w:rPr>
                <w:rFonts w:ascii="Calibri" w:cs="Calibri" w:eastAsia="Calibri" w:hAnsi="Calibri"/>
                <w:i/>
                <w:iCs/>
                <w:sz w:val="19"/>
                <w:szCs w:val="19"/>
              </w:rPr>
              <w:t xml:space="preserve">Williams</w:t>
            </w: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Rap lyrics (Classes 6–7)</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Problem 3.5 (State v. Skinner, N.J. 2014):</w:t>
            </w:r>
            <w:r>
              <w:rPr>
                <w:rFonts w:ascii="Calibri" w:cs="Calibri" w:eastAsia="Calibri" w:hAnsi="Calibri"/>
                <w:sz w:val="19"/>
                <w:szCs w:val="19"/>
              </w:rPr>
              <w:t xml:space="preserve"> violent lyrics with no specific link to the attack invite propensity reasoning; the N.J. Supreme Court condemned their use and affirmed reversal of the conviction. CA, LA and MD now have genre-neutral statutes making creative expression harder to use as confession or character proof; there's no absolute bar and no federal law.</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Bey-Cousin v. Powell</w:t>
            </w:r>
            <w:r>
              <w:rPr>
                <w:rFonts w:ascii="Calibri" w:cs="Calibri" w:eastAsia="Calibri" w:hAnsi="Calibri"/>
                <w:sz w:val="19"/>
                <w:szCs w:val="19"/>
              </w:rPr>
              <w:t xml:space="preserve"> (E.D. Pa. 2021): a presumption that “artists tell stories” (Freddie Mercury, Johnny Cash). A teen's song about killing his father may still come in to show intent if it's sufficiently similar to the crime (</w:t>
            </w:r>
            <w:r>
              <w:rPr>
                <w:rFonts w:ascii="Calibri" w:cs="Calibri" w:eastAsia="Calibri" w:hAnsi="Calibri"/>
                <w:i/>
                <w:iCs/>
                <w:sz w:val="19"/>
                <w:szCs w:val="19"/>
              </w:rPr>
              <w:t xml:space="preserve">HTGAWM</w:t>
            </w:r>
            <w:r>
              <w:rPr>
                <w:rFonts w:ascii="Calibri" w:cs="Calibri" w:eastAsia="Calibri" w:hAnsi="Calibri"/>
                <w:sz w:val="19"/>
                <w:szCs w:val="19"/>
              </w:rPr>
              <w:t xml:space="preserve"> clip).</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Doctrine of chances (defended)</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Imwinkelried: the jury asks whether so many accidents are objectively improbable, not what kind of person the defendant is.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United States v. Woods</w:t>
            </w:r>
            <w:r>
              <w:rPr>
                <w:rFonts w:ascii="Calibri" w:cs="Calibri" w:eastAsia="Calibri" w:hAnsi="Calibri"/>
                <w:sz w:val="19"/>
                <w:szCs w:val="19"/>
              </w:rPr>
              <w:t xml:space="preserve"> (20 cyanosis episodes and 7 deaths among children in the defendant's care).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Reverse 404(b) standard</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Because no unfair prejudice to the defendant is at stake, balance probative value against waste of time and confusion.</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Stevens</w:t>
            </w:r>
            <w:r>
              <w:rPr>
                <w:rFonts w:ascii="Calibri" w:cs="Calibri" w:eastAsia="Calibri" w:hAnsi="Calibri"/>
                <w:sz w:val="19"/>
                <w:szCs w:val="19"/>
              </w:rPr>
              <w:t xml:space="preserve"> (retried, convicted, later freed when evidence pointed to another man).</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Identity: the Trenkler test (Class 6)</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Two parts: (1) “special relevance” beyond propensity; (2) a 403 balance. The 1986 Quincy bomb (stipulated) and the 1991 Roslindale bomb were both remote-controlled, radio-activated, homemade from hobby-store parts, with similar circuits and wiring, built to help a friend. A database matched only 7 of 40,867 incidents.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403 factors: need, strength of the similarity, how inflammatory, how much it invites propensity. The Quincy bomb hurt no one, so a limiting instruction sufficed. </w:t>
            </w:r>
            <w:r>
              <w:rPr>
                <w:rFonts w:ascii="Calibri" w:cs="Calibri" w:eastAsia="Calibri" w:hAnsi="Calibri"/>
                <w:b/>
                <w:bCs/>
                <w:sz w:val="19"/>
                <w:szCs w:val="19"/>
              </w:rPr>
              <w:t xml:space="preserve">Dissent:</w:t>
            </w:r>
            <w:r>
              <w:rPr>
                <w:rFonts w:ascii="Calibri" w:cs="Calibri" w:eastAsia="Calibri" w:hAnsi="Calibri"/>
                <w:sz w:val="19"/>
                <w:szCs w:val="19"/>
              </w:rPr>
              <w:t xml:space="preserve"> a skewed database query, and a noise-simulator vs. dynamite (“a bb gun vs. a high-powered rifle”). Only matters when identity is disputed.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Reverse 404(b): the Stevens standard (Classes 6–7)</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Not a “signature” test: enough similarity for a 401 inference that the same person committed both crimes, and survival under 403. Mitchell, robbed nearby the same way, said Stevens wasn't his attacker.</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court noted cross-racial identifications are less reliable. Reversed; Stevens was retried and convicted, then freed after 40 months when evidence pointed to a former drill instructor.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Doctrine of chances: Rex v. Smith (1915) (Classes 6–7)</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Smith's third wealthy wife (Miss Mundy) was found dead in a bath; “Wasn't it a jolly good job I got her to make her will.” The earlier bath deaths were admitted.</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For:</w:t>
            </w:r>
            <w:r>
              <w:rPr>
                <w:rFonts w:ascii="Calibri" w:cs="Calibri" w:eastAsia="Calibri" w:hAnsi="Calibri"/>
                <w:sz w:val="19"/>
                <w:szCs w:val="19"/>
              </w:rPr>
              <w:t xml:space="preserve"> it asks how objectively improbable so many accidents are, not who Smith is. </w:t>
            </w:r>
            <w:r>
              <w:rPr>
                <w:rFonts w:ascii="Calibri" w:cs="Calibri" w:eastAsia="Calibri" w:hAnsi="Calibri"/>
                <w:b/>
                <w:bCs/>
                <w:sz w:val="19"/>
                <w:szCs w:val="19"/>
              </w:rPr>
              <w:t xml:space="preserve">Against:</w:t>
            </w:r>
            <w:r>
              <w:rPr>
                <w:rFonts w:ascii="Calibri" w:cs="Calibri" w:eastAsia="Calibri" w:hAnsi="Calibri"/>
                <w:sz w:val="19"/>
                <w:szCs w:val="19"/>
              </w:rPr>
              <w:t xml:space="preserve"> it still asks how rarely an innocent person is falsely accused so often, which is propensity.</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Knowledge: Problem 3.1, Hacker (Class 6)</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later hack shows the know-how needed for the charged hack; it's probative if it places the defendant in a small pool of capable suspects.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Close call; if admitted, give a 105 instruction limited to know-how.</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Innocuous propensity: Problem 3.9 (Class 6)</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Bicycle-racing brochures are technically within 404(b)(1), but racing bikes isn't a bad act and poses little risk of unfair prejudice.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literal reading may exclude evidence beyond the rule's purpose.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Motive &amp; opportunity: Presumed Innocent (Class 6)</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An affair between the defendant and the murdered colleague shows motive (jealousy, rejection) and opportunity (no forced entry).</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403 objection probably fails. Tip: object loudly, but don't repeat what the prosecutor was trying to say.</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Motive vs. trait: Broadcast News (Class 6)</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Testimony that an employee raced recklessly down a hall right after the incident shows she was rushing at that moment (motive: delivering a tape by airtime), not a careless character.</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Specific purpose, not a general trait.</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State-law exceptions (Class 6)</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People v. Dailey</w:t>
            </w:r>
            <w:r>
              <w:rPr>
                <w:rFonts w:ascii="Calibri" w:cs="Calibri" w:eastAsia="Calibri" w:hAnsi="Calibri"/>
                <w:sz w:val="19"/>
                <w:szCs w:val="19"/>
              </w:rPr>
              <w:t xml:space="preserve">: California Evid. Code § 1109 admits prior domestic violence in DV prosecutions. The vague boast that he “could get rid of” her probably fails under the FRE.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Anatomy of a Murder</w:t>
            </w:r>
            <w:r>
              <w:rPr>
                <w:rFonts w:ascii="Calibri" w:cs="Calibri" w:eastAsia="Calibri" w:hAnsi="Calibri"/>
                <w:sz w:val="19"/>
                <w:szCs w:val="19"/>
              </w:rPr>
              <w:t xml:space="preserve">: war killings offered to show firearm knowledge still likely fail 403.</w:t>
            </w:r>
          </w:p>
        </w:tc>
      </w:tr>
    </w:tbl>
    <w:p>
      <w:pPr>
        <w:spacing w:after="120"/>
      </w:pPr>
    </w:p>
    <w:p>
      <w:pPr>
        <w:pStyle w:val="Heading2"/>
        <w:keepNext/>
      </w:pPr>
      <w:r>
        <w:t xml:space="preserve">Proof of the Defendant's and the Victim's Character — FRE 404(a)(2)</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404(a)(2)(A)</w:t>
            </w:r>
            <w:r>
              <w:rPr>
                <w:rFonts w:ascii="Calibri" w:cs="Calibri" w:eastAsia="Calibri" w:hAnsi="Calibri"/>
                <w:sz w:val="19"/>
                <w:szCs w:val="19"/>
              </w:rPr>
              <w:t xml:space="preserve"> — pertinent character of a criminal defendant, offered by the accused</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defendant may offer a </w:t>
            </w:r>
            <w:r>
              <w:rPr>
                <w:rFonts w:ascii="Calibri" w:cs="Calibri" w:eastAsia="Calibri" w:hAnsi="Calibri"/>
                <w:b/>
                <w:bCs/>
                <w:sz w:val="19"/>
                <w:szCs w:val="19"/>
              </w:rPr>
              <w:t xml:space="preserve">pertinent</w:t>
            </w:r>
            <w:r>
              <w:rPr>
                <w:rFonts w:ascii="Calibri" w:cs="Calibri" w:eastAsia="Calibri" w:hAnsi="Calibri"/>
                <w:sz w:val="19"/>
                <w:szCs w:val="19"/>
              </w:rPr>
              <w:t xml:space="preserve"> trait (e.g., honesty on a bribery charge).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prosecution may rebut; character witnesses face "Have you heard...?" cross (</w:t>
            </w:r>
            <w:r>
              <w:rPr>
                <w:rFonts w:ascii="Calibri" w:cs="Calibri" w:eastAsia="Calibri" w:hAnsi="Calibri"/>
                <w:i/>
                <w:iCs/>
                <w:sz w:val="19"/>
                <w:szCs w:val="19"/>
              </w:rPr>
              <w:t xml:space="preserve">Michelson</w:t>
            </w:r>
            <w:r>
              <w:rPr>
                <w:rFonts w:ascii="Calibri" w:cs="Calibri" w:eastAsia="Calibri" w:hAnsi="Calibri"/>
                <w:sz w:val="19"/>
                <w:szCs w:val="19"/>
              </w:rPr>
              <w:t xml:space="preserve">). Never in civil cases.</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404(a)(2)(B)</w:t>
            </w:r>
            <w:r>
              <w:rPr>
                <w:rFonts w:ascii="Calibri" w:cs="Calibri" w:eastAsia="Calibri" w:hAnsi="Calibri"/>
                <w:sz w:val="19"/>
                <w:szCs w:val="19"/>
              </w:rPr>
              <w:t xml:space="preserve"> — pertinent character of a victim, offered by a criminal defendant</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Typically the victim's violence, in self-defense cases.</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prosecution may rebut and offer the </w:t>
            </w:r>
            <w:r>
              <w:rPr>
                <w:rFonts w:ascii="Calibri" w:cs="Calibri" w:eastAsia="Calibri" w:hAnsi="Calibri"/>
                <w:b/>
                <w:bCs/>
                <w:sz w:val="19"/>
                <w:szCs w:val="19"/>
              </w:rPr>
              <w:t xml:space="preserve">same trait in the defendant</w:t>
            </w: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404(a)(2)(B)(ii)</w:t>
            </w:r>
            <w:r>
              <w:rPr>
                <w:rFonts w:ascii="Calibri" w:cs="Calibri" w:eastAsia="Calibri" w:hAnsi="Calibri"/>
                <w:sz w:val="19"/>
                <w:szCs w:val="19"/>
              </w:rPr>
              <w:t xml:space="preserve"> — the same trait in the defendant (2000 amendment)</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If the accused attacks the victim's trait, the prosecution may offer evidence that the accused has the same trait, even if he never put his own character in issue.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 common-law counterpart.</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Criminal defendants only</w:t>
            </w:r>
            <w:r>
              <w:rPr>
                <w:rFonts w:ascii="Calibri" w:cs="Calibri" w:eastAsia="Calibri" w:hAnsi="Calibri"/>
                <w:sz w:val="19"/>
                <w:szCs w:val="19"/>
              </w:rPr>
              <w:t xml:space="preserve"> (2006 amendment)</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Only an accused may open the door to character under 404(a)(2)(A) and (B).</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Ended the </w:t>
            </w:r>
            <w:r>
              <w:rPr>
                <w:rFonts w:ascii="Calibri" w:cs="Calibri" w:eastAsia="Calibri" w:hAnsi="Calibri"/>
                <w:i/>
                <w:iCs/>
                <w:sz w:val="19"/>
                <w:szCs w:val="19"/>
              </w:rPr>
              <w:t xml:space="preserve">Perrin v. Anderson</w:t>
            </w:r>
            <w:r>
              <w:rPr>
                <w:rFonts w:ascii="Calibri" w:cs="Calibri" w:eastAsia="Calibri" w:hAnsi="Calibri"/>
                <w:sz w:val="19"/>
                <w:szCs w:val="19"/>
              </w:rPr>
              <w:t xml:space="preserve"> approach for civil defendants facing stigma. Rationale: a “special dispensation” for those whose liberty is at stake (McCormick), and character can raise a reasonable doubt (</w:t>
            </w:r>
            <w:r>
              <w:rPr>
                <w:rFonts w:ascii="Calibri" w:cs="Calibri" w:eastAsia="Calibri" w:hAnsi="Calibri"/>
                <w:i/>
                <w:iCs/>
                <w:sz w:val="19"/>
                <w:szCs w:val="19"/>
              </w:rPr>
              <w:t xml:space="preserve">Michelson</w:t>
            </w: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Common law vs. the Federal Rules</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common law allowed proof of character only by reputation; 405(a) adds opinion.</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Reputation is technically hearsay, admitted under </w:t>
            </w:r>
            <w:r>
              <w:rPr>
                <w:rFonts w:ascii="Calibri" w:cs="Calibri" w:eastAsia="Calibri" w:hAnsi="Calibri"/>
                <w:b/>
                <w:bCs/>
                <w:sz w:val="19"/>
                <w:szCs w:val="19"/>
              </w:rPr>
              <w:t xml:space="preserve">FRE 803(21)</w:t>
            </w: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404(a)(2)(C)</w:t>
            </w:r>
            <w:r>
              <w:rPr>
                <w:rFonts w:ascii="Calibri" w:cs="Calibri" w:eastAsia="Calibri" w:hAnsi="Calibri"/>
                <w:sz w:val="19"/>
                <w:szCs w:val="19"/>
              </w:rPr>
              <w:t xml:space="preserve"> — peaceful character of a homicide victim, offered by the prosecutor</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Rebuts evidence the victim was the first aggressor.</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only prosecution-initiated route outside 413–415.</w:t>
            </w:r>
          </w:p>
        </w:tc>
      </w:tr>
      <w:tr>
        <w:trPr>
          <w:cantSplit/>
          <w:tblHeader w:val="false"/>
        </w:trPr>
        <w:tc>
          <w:tcPr>
            <w:tcW w:type="dxa" w:w="36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404(a)(3)</w:t>
            </w:r>
            <w:r>
              <w:rPr>
                <w:rFonts w:ascii="Calibri" w:cs="Calibri" w:eastAsia="Calibri" w:hAnsi="Calibri"/>
                <w:sz w:val="19"/>
                <w:szCs w:val="19"/>
              </w:rPr>
              <w:t xml:space="preserve"> — character of a witness</w:t>
            </w:r>
          </w:p>
        </w:tc>
        <w:tc>
          <w:tcPr>
            <w:tcW w:type="dxa" w:w="5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As provided in Rules 607, 608 and 609.</w:t>
            </w:r>
          </w:p>
        </w:tc>
        <w:tc>
          <w:tcPr>
            <w:tcW w:type="dxa" w:w="5512"/>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Only truthfulness is pertinent (Section 5).</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Michelson v. United States</w:t>
            </w:r>
            <w:r>
              <w:rPr>
                <w:rFonts w:ascii="Calibri" w:cs="Calibri" w:eastAsia="Calibri" w:hAnsi="Calibri"/>
                <w:sz w:val="19"/>
                <w:szCs w:val="19"/>
              </w:rPr>
              <w:t xml:space="preserve"> (1948) (Classes 7–8)</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Charged with bribing a revenue agent, Michelson called five reputation witnesses. On cross, the prosecutor asked “Did you ever hear…” about his 1927 trademark (counterfeit watches) conviction and his 1920 arrest for receiving stolen goods. A limiting instruction said this tested the witnesses only. “It is not the man he is, but the name that he has which is put in issue.” (Justice Jackson.)</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 common-law presumption of good or bad character. A defendant who puts his good name in issue opens it to attack, even by rumor. Under FRE 405 the questioner needs a good-faith basis. Character witnesses are more common at sentencing.</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Character-witness foundation</w:t>
            </w:r>
            <w:r>
              <w:rPr>
                <w:rFonts w:ascii="Calibri" w:cs="Calibri" w:eastAsia="Calibri" w:hAnsi="Calibri"/>
                <w:sz w:val="19"/>
                <w:szCs w:val="19"/>
              </w:rPr>
              <w:t xml:space="preserve"> (Class 8)</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witness must show “such acquaintance with the defendant, the community in which he has lived and the circles in which he has moved, as to speak with authority.” The trait must be pertinent (e.g., nonviolence). Opinion or reputation only on direct.</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ACN: specific acts are the “most convincing” but have “the greatest capacity to arouse prejudice, to confuse, to surprise, and to consume time.” On cross, probe familiarity and ask “Have you heard…?”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Problem 3.16</w:t>
            </w:r>
            <w:r>
              <w:rPr>
                <w:rFonts w:ascii="Calibri" w:cs="Calibri" w:eastAsia="Calibri" w:hAnsi="Calibri"/>
                <w:sz w:val="19"/>
                <w:szCs w:val="19"/>
              </w:rPr>
              <w:t xml:space="preserve"> — “I Wouldn't Shoot Anybody” (Class 8)</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By testifying she wouldn't shoot anyone, Martinez made herself her own character witness, so she can be asked under 405(a) whether she has shot at people before. That also impeaches her by prior inconsistent statement.</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best defense move is a limiting instruction.</w:t>
            </w:r>
          </w:p>
        </w:tc>
      </w:tr>
    </w:tbl>
    <w:p>
      <w:pPr>
        <w:spacing w:after="120"/>
      </w:pPr>
    </w:p>
    <w:p>
      <w:pPr>
        <w:pStyle w:val="Heading2"/>
        <w:keepNext/>
      </w:pPr>
      <w:r>
        <w:t xml:space="preserve">Propensity Evidence in Sexual Assault Cases — FRE 413, 414 &amp; 415</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413</w:t>
            </w:r>
            <w:r>
              <w:rPr>
                <w:rFonts w:ascii="Calibri" w:cs="Calibri" w:eastAsia="Calibri" w:hAnsi="Calibri"/>
                <w:sz w:val="19"/>
                <w:szCs w:val="19"/>
              </w:rPr>
              <w:t xml:space="preserve"> — similar offenses in a sexual assault prosecution</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defendant's other sexual assaults may be admitted on any matter to which relevant, </w:t>
            </w:r>
            <w:r>
              <w:rPr>
                <w:rFonts w:ascii="Calibri" w:cs="Calibri" w:eastAsia="Calibri" w:hAnsi="Calibri"/>
                <w:b/>
                <w:bCs/>
                <w:sz w:val="19"/>
                <w:szCs w:val="19"/>
              </w:rPr>
              <w:t xml:space="preserve">including propensity</w:t>
            </w:r>
            <w:r>
              <w:rPr>
                <w:rFonts w:ascii="Calibri" w:cs="Calibri" w:eastAsia="Calibri" w:hAnsi="Calibri"/>
                <w:sz w:val="19"/>
                <w:szCs w:val="19"/>
              </w:rPr>
              <w:t xml:space="preserv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Rule 403 applies in ordinary form (</w:t>
            </w:r>
            <w:r>
              <w:rPr>
                <w:rFonts w:ascii="Calibri" w:cs="Calibri" w:eastAsia="Calibri" w:hAnsi="Calibri"/>
                <w:i/>
                <w:iCs/>
                <w:sz w:val="19"/>
                <w:szCs w:val="19"/>
              </w:rPr>
              <w:t xml:space="preserve">Guardia</w:t>
            </w:r>
            <w:r>
              <w:rPr>
                <w:rFonts w:ascii="Calibri" w:cs="Calibri" w:eastAsia="Calibri" w:hAnsi="Calibri"/>
                <w:sz w:val="19"/>
                <w:szCs w:val="19"/>
              </w:rPr>
              <w:t xml:space="preserve">). Proof is by </w:t>
            </w:r>
            <w:r>
              <w:rPr>
                <w:rFonts w:ascii="Calibri" w:cs="Calibri" w:eastAsia="Calibri" w:hAnsi="Calibri"/>
                <w:b/>
                <w:bCs/>
                <w:sz w:val="19"/>
                <w:szCs w:val="19"/>
              </w:rPr>
              <w:t xml:space="preserve">specific acts</w:t>
            </w:r>
            <w:r>
              <w:rPr>
                <w:rFonts w:ascii="Calibri" w:cs="Calibri" w:eastAsia="Calibri" w:hAnsi="Calibri"/>
                <w:sz w:val="19"/>
                <w:szCs w:val="19"/>
              </w:rPr>
              <w:t xml:space="preserve">.</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414</w:t>
            </w:r>
            <w:r>
              <w:rPr>
                <w:rFonts w:ascii="Calibri" w:cs="Calibri" w:eastAsia="Calibri" w:hAnsi="Calibri"/>
                <w:sz w:val="19"/>
                <w:szCs w:val="19"/>
              </w:rPr>
              <w:t xml:space="preserve"> — similar offenses in a child molestation prosecution</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Same, for other child molestation.</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Upheld against due process challenges (</w:t>
            </w:r>
            <w:r>
              <w:rPr>
                <w:rFonts w:ascii="Calibri" w:cs="Calibri" w:eastAsia="Calibri" w:hAnsi="Calibri"/>
                <w:i/>
                <w:iCs/>
                <w:sz w:val="19"/>
                <w:szCs w:val="19"/>
              </w:rPr>
              <w:t xml:space="preserve">Mound</w:t>
            </w: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415</w:t>
            </w:r>
            <w:r>
              <w:rPr>
                <w:rFonts w:ascii="Calibri" w:cs="Calibri" w:eastAsia="Calibri" w:hAnsi="Calibri"/>
                <w:sz w:val="19"/>
                <w:szCs w:val="19"/>
              </w:rPr>
              <w:t xml:space="preserve"> — similar offenses in a civil action concerning sexual assault or child molestation</w:t>
            </w:r>
          </w:p>
        </w:tc>
        <w:tc>
          <w:tcPr>
            <w:tcW w:type="dxa" w:w="5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Same, in civil cases.</w:t>
            </w:r>
          </w:p>
        </w:tc>
        <w:tc>
          <w:tcPr>
            <w:tcW w:type="dxa" w:w="55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Opposed by the Judicial Conference; recidivism data disputed (Baker).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History: the “depraved sexual instinct” exception</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Before 413–415, about twenty states admitted prior sexual misconduct on recidivism and bolstering rationales. </w:t>
            </w:r>
            <w:r>
              <w:rPr>
                <w:rFonts w:ascii="Calibri" w:cs="Calibri" w:eastAsia="Calibri" w:hAnsi="Calibri"/>
                <w:i/>
                <w:iCs/>
                <w:sz w:val="19"/>
                <w:szCs w:val="19"/>
              </w:rPr>
              <w:t xml:space="preserve">Lannan v. State</w:t>
            </w:r>
            <w:r>
              <w:rPr>
                <w:rFonts w:ascii="Calibri" w:cs="Calibri" w:eastAsia="Calibri" w:hAnsi="Calibri"/>
                <w:sz w:val="19"/>
                <w:szCs w:val="19"/>
              </w:rPr>
              <w:t xml:space="preserve"> (Ind. 1992) abolished Indiana's exception and adopted FRE 404(b).</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Lannan</w:t>
            </w:r>
            <w:r>
              <w:rPr>
                <w:rFonts w:ascii="Calibri" w:cs="Calibri" w:eastAsia="Calibri" w:hAnsi="Calibri"/>
                <w:sz w:val="19"/>
                <w:szCs w:val="19"/>
              </w:rPr>
              <w:t xml:space="preserve">: high recidivism alone doesn't justify it (drug offenders reoffend too), and bolstering reflects an outdated view that abuse claims seem improbable. Such evidence can still come in for 404(b) purposes (common plan, modus operandi).</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Enactment of 413–415</w:t>
            </w:r>
            <w:r>
              <w:rPr>
                <w:rFonts w:ascii="Calibri" w:cs="Calibri" w:eastAsia="Calibri" w:hAnsi="Calibri"/>
                <w:sz w:val="19"/>
                <w:szCs w:val="19"/>
              </w:rPr>
              <w:t xml:space="preserve"> (1994, effective 1995)</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Congress wanted judges to admit this evidence without stretching “intent,” “motive” or “plan” (as rejected in </w:t>
            </w:r>
            <w:r>
              <w:rPr>
                <w:rFonts w:ascii="Calibri" w:cs="Calibri" w:eastAsia="Calibri" w:hAnsi="Calibri"/>
                <w:i/>
                <w:iCs/>
                <w:sz w:val="19"/>
                <w:szCs w:val="19"/>
              </w:rPr>
              <w:t xml:space="preserve">State v. Kirsch</w:t>
            </w:r>
            <w:r>
              <w:rPr>
                <w:rFonts w:ascii="Calibri" w:cs="Calibri" w:eastAsia="Calibri" w:hAnsi="Calibri"/>
                <w:sz w:val="19"/>
                <w:szCs w:val="19"/>
              </w:rPr>
              <w:t xml:space="preserve">, N.H.). At least twenty-one states have similar rules.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Few such cases are federal. Unlike 405(a), proof is by specific acts, which risks a trial within a trial (</w:t>
            </w:r>
            <w:r>
              <w:rPr>
                <w:rFonts w:ascii="Calibri" w:cs="Calibri" w:eastAsia="Calibri" w:hAnsi="Calibri"/>
                <w:i/>
                <w:iCs/>
                <w:sz w:val="19"/>
                <w:szCs w:val="19"/>
              </w:rPr>
              <w:t xml:space="preserve">Guardia</w:t>
            </w: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State v. Kirsch</w:t>
            </w:r>
            <w:r>
              <w:rPr>
                <w:rFonts w:ascii="Calibri" w:cs="Calibri" w:eastAsia="Calibri" w:hAnsi="Calibri"/>
                <w:sz w:val="19"/>
                <w:szCs w:val="19"/>
              </w:rPr>
              <w:t xml:space="preserve"> (N.H. 1995) (Class 7)</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Without 413–415, prosecutors tried three around-the-box theories, and each hid propensity. Motive (desire to have sex with young girls) “is proof of propensity, not motive.” Intent (how he selected and seduced victims) is indistinguishable from propensity. Common plan: “a pattern or systematic course of conduct is insufficient”; the acts must be constituent parts of an overall scheme.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rare case recognizing that 404(b)(2) purposes are not exceptions.</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Legislative materials</w:t>
            </w:r>
            <w:r>
              <w:rPr>
                <w:rFonts w:ascii="Calibri" w:cs="Calibri" w:eastAsia="Calibri" w:hAnsi="Calibri"/>
                <w:sz w:val="19"/>
                <w:szCs w:val="19"/>
              </w:rPr>
              <w:t xml:space="preserve"> (Class 7)</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Enacted in the Violent Crime Control and Law Enforcement Act of 1994. </w:t>
            </w:r>
            <w:r>
              <w:rPr>
                <w:rFonts w:ascii="Calibri" w:cs="Calibri" w:eastAsia="Calibri" w:hAnsi="Calibri"/>
                <w:b/>
                <w:bCs/>
                <w:sz w:val="19"/>
                <w:szCs w:val="19"/>
              </w:rPr>
              <w:t xml:space="preserve">Rep. Molinari:</w:t>
            </w:r>
            <w:r>
              <w:rPr>
                <w:rFonts w:ascii="Calibri" w:cs="Calibri" w:eastAsia="Calibri" w:hAnsi="Calibri"/>
                <w:sz w:val="19"/>
                <w:szCs w:val="19"/>
              </w:rPr>
              <w:t xml:space="preserve"> the rules leave hearsay and 403 untouched; the past offense needn't have produced a conviction; the standard is presumably 104(b)/</w:t>
            </w:r>
            <w:r>
              <w:rPr>
                <w:rFonts w:ascii="Calibri" w:cs="Calibri" w:eastAsia="Calibri" w:hAnsi="Calibri"/>
                <w:i/>
                <w:iCs/>
                <w:sz w:val="19"/>
                <w:szCs w:val="19"/>
              </w:rPr>
              <w:t xml:space="preserve">Huddleston</w:t>
            </w:r>
            <w:r>
              <w:rPr>
                <w:rFonts w:ascii="Calibri" w:cs="Calibri" w:eastAsia="Calibri" w:hAnsi="Calibri"/>
                <w:sz w:val="19"/>
                <w:szCs w:val="19"/>
              </w:rPr>
              <w:t xml:space="preserve">. Rationale: sexual interest in children is an unusual disposition, and adult cases turn on consent and credibility. </w:t>
            </w:r>
            <w:r>
              <w:rPr>
                <w:rFonts w:ascii="Calibri" w:cs="Calibri" w:eastAsia="Calibri" w:hAnsi="Calibri"/>
                <w:b/>
                <w:bCs/>
                <w:sz w:val="19"/>
                <w:szCs w:val="19"/>
              </w:rPr>
              <w:t xml:space="preserve">Judicial Conference (1995):</w:t>
            </w:r>
            <w:r>
              <w:rPr>
                <w:rFonts w:ascii="Calibri" w:cs="Calibri" w:eastAsia="Calibri" w:hAnsi="Calibri"/>
                <w:sz w:val="19"/>
                <w:szCs w:val="19"/>
              </w:rPr>
              <w:t xml:space="preserve"> overwhelmingly rejected in public comment; 404(b) suffices; no empirical support.</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Clinton signed 415, which the </w:t>
            </w:r>
            <w:r>
              <w:rPr>
                <w:rFonts w:ascii="Calibri" w:cs="Calibri" w:eastAsia="Calibri" w:hAnsi="Calibri"/>
                <w:i/>
                <w:iCs/>
                <w:sz w:val="19"/>
                <w:szCs w:val="19"/>
              </w:rPr>
              <w:t xml:space="preserve">Paula Jones</w:t>
            </w:r>
            <w:r>
              <w:rPr>
                <w:rFonts w:ascii="Calibri" w:cs="Calibri" w:eastAsia="Calibri" w:hAnsi="Calibri"/>
                <w:sz w:val="19"/>
                <w:szCs w:val="19"/>
              </w:rPr>
              <w:t xml:space="preserve"> judge later cited in allowing inquiry into his sexual history (Quinn).</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Baker, “Once a Rapist?”</w:t>
            </w:r>
            <w:r>
              <w:rPr>
                <w:rFonts w:ascii="Calibri" w:cs="Calibri" w:eastAsia="Calibri" w:hAnsi="Calibri"/>
                <w:sz w:val="19"/>
                <w:szCs w:val="19"/>
              </w:rPr>
              <w:t xml:space="preserve"> (1997) (Class 7)</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Recidivism data: 63.5% of property offenders and 60.4% of drug offenders were rearrested within three years, vs. 7.7% of sex offenders for a new sex offense (though underreporting may skew this). Other critiques: jurors overweight priors; police “round up the usual suspects”; those with records are disproportionately poor and minority.</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Same 403 prejudice concerns, magnified.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413–415 today</w:t>
            </w:r>
            <w:r>
              <w:rPr>
                <w:rFonts w:ascii="Calibri" w:cs="Calibri" w:eastAsia="Calibri" w:hAnsi="Calibri"/>
                <w:sz w:val="19"/>
                <w:szCs w:val="19"/>
              </w:rPr>
              <w:t xml:space="preserve"> (Class 7)</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Carroll v. Trump</w:t>
            </w:r>
            <w:r>
              <w:rPr>
                <w:rFonts w:ascii="Calibri" w:cs="Calibri" w:eastAsia="Calibri" w:hAnsi="Calibri"/>
                <w:sz w:val="19"/>
                <w:szCs w:val="19"/>
              </w:rPr>
              <w:t xml:space="preserve"> (S.D.N.Y. 2023): two other women's testimony and the Access Hollywood tape were admitted under 415 to show propensity. </w:t>
            </w:r>
            <w:r>
              <w:rPr>
                <w:rFonts w:ascii="Calibri" w:cs="Calibri" w:eastAsia="Calibri" w:hAnsi="Calibri"/>
                <w:i/>
                <w:iCs/>
                <w:sz w:val="19"/>
                <w:szCs w:val="19"/>
              </w:rPr>
              <w:t xml:space="preserve">Giuffre v. Maxwell</w:t>
            </w:r>
            <w:r>
              <w:rPr>
                <w:rFonts w:ascii="Calibri" w:cs="Calibri" w:eastAsia="Calibri" w:hAnsi="Calibri"/>
                <w:sz w:val="19"/>
                <w:szCs w:val="19"/>
              </w:rPr>
              <w:t xml:space="preserve">: a 415 notice invoking 413(d)(5) (conspiracy counts as sexual assault). </w:t>
            </w:r>
            <w:r>
              <w:rPr>
                <w:rFonts w:ascii="Calibri" w:cs="Calibri" w:eastAsia="Calibri" w:hAnsi="Calibri"/>
                <w:i/>
                <w:iCs/>
                <w:sz w:val="19"/>
                <w:szCs w:val="19"/>
              </w:rPr>
              <w:t xml:space="preserve">Doe v. Epstein</w:t>
            </w:r>
            <w:r>
              <w:rPr>
                <w:rFonts w:ascii="Calibri" w:cs="Calibri" w:eastAsia="Calibri" w:hAnsi="Calibri"/>
                <w:sz w:val="19"/>
                <w:szCs w:val="19"/>
              </w:rPr>
              <w:t xml:space="preserve">: a 415(b) notice.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Civil plaintiffs use 415 actively.</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Guardia's threshold test</w:t>
            </w:r>
            <w:r>
              <w:rPr>
                <w:rFonts w:ascii="Calibri" w:cs="Calibri" w:eastAsia="Calibri" w:hAnsi="Calibri"/>
                <w:sz w:val="19"/>
                <w:szCs w:val="19"/>
              </w:rPr>
              <w:t xml:space="preserve"> (Classes 7–8)</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(1) The defendant is accused of sexual assault; (2) the evidence shows another sexual assault; (3) it's relevant. Then a normal 403 balance. Applied: the excluded testimony from four other women would turn a two-incident trial into six, with dueling experts on medical propriety.</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Reviewed for abuse of discretion; affirmed. 413 originally said evidence “is admissible” (vs. 404(b)'s “may”); restyled in 2011. Standard of proof: presumably </w:t>
            </w:r>
            <w:r>
              <w:rPr>
                <w:rFonts w:ascii="Calibri" w:cs="Calibri" w:eastAsia="Calibri" w:hAnsi="Calibri"/>
                <w:i/>
                <w:iCs/>
                <w:sz w:val="19"/>
                <w:szCs w:val="19"/>
              </w:rPr>
              <w:t xml:space="preserve">Huddleston</w:t>
            </w: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Mound</w:t>
            </w:r>
            <w:r>
              <w:rPr>
                <w:rFonts w:ascii="Calibri" w:cs="Calibri" w:eastAsia="Calibri" w:hAnsi="Calibri"/>
                <w:sz w:val="19"/>
                <w:szCs w:val="19"/>
              </w:rPr>
              <w:t xml:space="preserve"> — the judges (Classes 7–8)</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Judge Richard Arnold: because 403 still applies, 413 isn't “so extremely unfair” as to violate fundamental justice. His brother Judge Morris Arnold dissented from denial of rehearing en banc: a rule that “recommended itself to generations of lawyers and judges” likely embodies fundamental conceptions of justice.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 court has held 413 or 414 unconstitutional.</w:t>
            </w:r>
          </w:p>
        </w:tc>
      </w:tr>
    </w:tbl>
    <w:p>
      <w:pPr>
        <w:spacing w:after="120"/>
      </w:pPr>
    </w:p>
    <w:p>
      <w:pPr>
        <w:pStyle w:val="Heading2"/>
        <w:keepNext/>
      </w:pPr>
      <w:r>
        <w:t xml:space="preserve">Proving Character — FRE 405(a) &amp; 405(b); Evidence of Habit — FRE 406</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405(a)</w:t>
            </w:r>
            <w:r>
              <w:rPr>
                <w:rFonts w:ascii="Calibri" w:cs="Calibri" w:eastAsia="Calibri" w:hAnsi="Calibri"/>
                <w:sz w:val="19"/>
                <w:szCs w:val="19"/>
              </w:rPr>
              <w:t xml:space="preserve"> — reputation or opinion</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Character is proved by </w:t>
            </w:r>
            <w:r>
              <w:rPr>
                <w:rFonts w:ascii="Calibri" w:cs="Calibri" w:eastAsia="Calibri" w:hAnsi="Calibri"/>
                <w:b/>
                <w:bCs/>
                <w:sz w:val="19"/>
                <w:szCs w:val="19"/>
              </w:rPr>
              <w:t xml:space="preserve">reputation</w:t>
            </w:r>
            <w:r>
              <w:rPr>
                <w:rFonts w:ascii="Calibri" w:cs="Calibri" w:eastAsia="Calibri" w:hAnsi="Calibri"/>
                <w:sz w:val="19"/>
                <w:szCs w:val="19"/>
              </w:rPr>
              <w:t xml:space="preserve"> or </w:t>
            </w:r>
            <w:r>
              <w:rPr>
                <w:rFonts w:ascii="Calibri" w:cs="Calibri" w:eastAsia="Calibri" w:hAnsi="Calibri"/>
                <w:b/>
                <w:bCs/>
                <w:sz w:val="19"/>
                <w:szCs w:val="19"/>
              </w:rPr>
              <w:t xml:space="preserve">opinion</w:t>
            </w:r>
            <w:r>
              <w:rPr>
                <w:rFonts w:ascii="Calibri" w:cs="Calibri" w:eastAsia="Calibri" w:hAnsi="Calibri"/>
                <w:sz w:val="19"/>
                <w:szCs w:val="19"/>
              </w:rPr>
              <w:t xml:space="preserv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Specific instances only on cross of the character witness, to test their knowledge.</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405(b)</w:t>
            </w:r>
            <w:r>
              <w:rPr>
                <w:rFonts w:ascii="Calibri" w:cs="Calibri" w:eastAsia="Calibri" w:hAnsi="Calibri"/>
                <w:sz w:val="19"/>
                <w:szCs w:val="19"/>
              </w:rPr>
              <w:t xml:space="preserve"> — specific instances of conduct</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Allowed when the trait is an </w:t>
            </w:r>
            <w:r>
              <w:rPr>
                <w:rFonts w:ascii="Calibri" w:cs="Calibri" w:eastAsia="Calibri" w:hAnsi="Calibri"/>
                <w:b/>
                <w:bCs/>
                <w:sz w:val="19"/>
                <w:szCs w:val="19"/>
              </w:rPr>
              <w:t xml:space="preserve">essential element</w:t>
            </w:r>
            <w:r>
              <w:rPr>
                <w:rFonts w:ascii="Calibri" w:cs="Calibri" w:eastAsia="Calibri" w:hAnsi="Calibri"/>
                <w:sz w:val="19"/>
                <w:szCs w:val="19"/>
              </w:rPr>
              <w:t xml:space="preserve"> of a charge, claim or defense.</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Rare (entrapment, defamation truth defense, negligent entrustment, custody, civil commitment). </w:t>
            </w:r>
            <w:r>
              <w:rPr>
                <w:rFonts w:ascii="Calibri" w:cs="Calibri" w:eastAsia="Calibri" w:hAnsi="Calibri"/>
                <w:b/>
                <w:bCs/>
                <w:sz w:val="19"/>
                <w:szCs w:val="19"/>
              </w:rPr>
              <w:t xml:space="preserve">Not</w:t>
            </w:r>
            <w:r>
              <w:rPr>
                <w:rFonts w:ascii="Calibri" w:cs="Calibri" w:eastAsia="Calibri" w:hAnsi="Calibri"/>
                <w:sz w:val="19"/>
                <w:szCs w:val="19"/>
              </w:rPr>
              <w:t xml:space="preserve"> ordinary self-defense.</w:t>
            </w:r>
          </w:p>
        </w:tc>
      </w:tr>
      <w:tr>
        <w:trPr>
          <w:cantSplit/>
          <w:tblHeader w:val="false"/>
        </w:trPr>
        <w:tc>
          <w:tcPr>
            <w:tcW w:type="dxa" w:w="36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406</w:t>
            </w:r>
            <w:r>
              <w:rPr>
                <w:rFonts w:ascii="Calibri" w:cs="Calibri" w:eastAsia="Calibri" w:hAnsi="Calibri"/>
                <w:sz w:val="19"/>
                <w:szCs w:val="19"/>
              </w:rPr>
              <w:t xml:space="preserve"> — evidence of habit</w:t>
            </w:r>
          </w:p>
        </w:tc>
        <w:tc>
          <w:tcPr>
            <w:tcW w:type="dxa" w:w="5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A person's </w:t>
            </w:r>
            <w:r>
              <w:rPr>
                <w:rFonts w:ascii="Calibri" w:cs="Calibri" w:eastAsia="Calibri" w:hAnsi="Calibri"/>
                <w:b/>
                <w:bCs/>
                <w:sz w:val="19"/>
                <w:szCs w:val="19"/>
              </w:rPr>
              <w:t xml:space="preserve">habit</w:t>
            </w:r>
            <w:r>
              <w:rPr>
                <w:rFonts w:ascii="Calibri" w:cs="Calibri" w:eastAsia="Calibri" w:hAnsi="Calibri"/>
                <w:sz w:val="19"/>
                <w:szCs w:val="19"/>
              </w:rPr>
              <w:t xml:space="preserve"> may prove conduct on a particular occasion.</w:t>
            </w:r>
          </w:p>
        </w:tc>
        <w:tc>
          <w:tcPr>
            <w:tcW w:type="dxa" w:w="55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Habit is specific and regular, not a general disposition (Problem 3.20).</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405(b) and self-defense</w:t>
            </w:r>
            <w:r>
              <w:rPr>
                <w:rFonts w:ascii="Calibri" w:cs="Calibri" w:eastAsia="Calibri" w:hAnsi="Calibri"/>
                <w:sz w:val="19"/>
                <w:szCs w:val="19"/>
              </w:rPr>
              <w:t xml:space="preserve"> (Classes 8–9)</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rule says “person,” not just a party. A victim's violent character is not an essential element of self-defense; the element is the defendant's reasonable fear at the time (</w:t>
            </w:r>
            <w:r>
              <w:rPr>
                <w:rFonts w:ascii="Calibri" w:cs="Calibri" w:eastAsia="Calibri" w:hAnsi="Calibri"/>
                <w:i/>
                <w:iCs/>
                <w:sz w:val="19"/>
                <w:szCs w:val="19"/>
              </w:rPr>
              <w:t xml:space="preserve">James</w:t>
            </w:r>
            <w:r>
              <w:rPr>
                <w:rFonts w:ascii="Calibri" w:cs="Calibri" w:eastAsia="Calibri" w:hAnsi="Calibri"/>
                <w:sz w:val="19"/>
                <w:szCs w:val="19"/>
              </w:rPr>
              <w:t xml:space="preserve">). So specific violent acts don't come in under 405(b).</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Route instead: 404(a)(2)(B) (the victim's trait by reputation or opinion), which opens the door to the same trait in the defendant.</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Halloran v. Virginia Chemicals</w:t>
            </w:r>
            <w:r>
              <w:rPr>
                <w:rFonts w:ascii="Calibri" w:cs="Calibri" w:eastAsia="Calibri" w:hAnsi="Calibri"/>
                <w:sz w:val="19"/>
                <w:szCs w:val="19"/>
              </w:rPr>
              <w:t xml:space="preserve"> (N.Y. 1977) (Classes 8–9)</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Halloran claimed a Freon can exploded while warmed in water. The manufacturer offered testimony that he regularly heated cans with an induction coil (his fault). Admissible as habit if it shows regular, repeated use, not a single sighting.</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Habit must be “predictable and predictive”: a repetitive, semi-automatic pattern (like buckling a seatbelt). Occasional conduct isn't enough.</w:t>
            </w:r>
          </w:p>
        </w:tc>
      </w:tr>
    </w:tbl>
    <w:p>
      <w:pPr>
        <w:spacing w:after="120"/>
      </w:pPr>
    </w:p>
    <w:p>
      <w:pPr>
        <w:pStyle w:val="Heading1"/>
        <w:keepNext/>
      </w:pPr>
      <w:r>
        <w:t xml:space="preserve">5. Impeachment and Character for Truthfulness (Weeks 4–5)</w:t>
      </w:r>
    </w:p>
    <w:p>
      <w:pPr>
        <w:pStyle w:val="Heading2"/>
        <w:keepNext/>
      </w:pPr>
      <w:r>
        <w:t xml:space="preserve">Modes of Impeachment</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Mode</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Character rules apply?</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"That's an Error!"</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witness is mistaken: perception, memory or narration.</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 Rules 401 and 403 only.</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Noncharacter impeachment ("You're Lying!")</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Contradiction by conflicting evidence</w:t>
            </w:r>
            <w:r>
              <w:rPr>
                <w:rFonts w:ascii="Calibri" w:cs="Calibri" w:eastAsia="Calibri" w:hAnsi="Calibri"/>
                <w:sz w:val="19"/>
                <w:szCs w:val="19"/>
              </w:rPr>
              <w:t xml:space="preserve">, </w:t>
            </w:r>
            <w:r>
              <w:rPr>
                <w:rFonts w:ascii="Calibri" w:cs="Calibri" w:eastAsia="Calibri" w:hAnsi="Calibri"/>
                <w:b/>
                <w:bCs/>
                <w:sz w:val="19"/>
                <w:szCs w:val="19"/>
              </w:rPr>
              <w:t xml:space="preserve">contradiction by past inconsistent statement</w:t>
            </w:r>
            <w:r>
              <w:rPr>
                <w:rFonts w:ascii="Calibri" w:cs="Calibri" w:eastAsia="Calibri" w:hAnsi="Calibri"/>
                <w:sz w:val="19"/>
                <w:szCs w:val="19"/>
              </w:rPr>
              <w:t xml:space="preserve">, and </w:t>
            </w:r>
            <w:r>
              <w:rPr>
                <w:rFonts w:ascii="Calibri" w:cs="Calibri" w:eastAsia="Calibri" w:hAnsi="Calibri"/>
                <w:b/>
                <w:bCs/>
                <w:sz w:val="19"/>
                <w:szCs w:val="19"/>
              </w:rPr>
              <w:t xml:space="preserve">evidence of bias</w:t>
            </w:r>
            <w:r>
              <w:rPr>
                <w:rFonts w:ascii="Calibri" w:cs="Calibri" w:eastAsia="Calibri" w:hAnsi="Calibri"/>
                <w:sz w:val="19"/>
                <w:szCs w:val="19"/>
              </w:rPr>
              <w:t xml:space="preserve">.</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 except when contradiction becomes a broad attack on truthfulness.</w:t>
            </w:r>
          </w:p>
        </w:tc>
      </w:tr>
      <w:tr>
        <w:trPr>
          <w:cantSplit/>
          <w:tblHeader w:val="false"/>
        </w:trPr>
        <w:tc>
          <w:tcPr>
            <w:tcW w:type="dxa" w:w="36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Character-based impeachment ("You're a Liar!")</w:t>
            </w:r>
          </w:p>
        </w:tc>
        <w:tc>
          <w:tcPr>
            <w:tcW w:type="dxa" w:w="5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The witness has a bad character for truthfulness and is lying now.</w:t>
            </w:r>
          </w:p>
        </w:tc>
        <w:tc>
          <w:tcPr>
            <w:tcW w:type="dxa" w:w="55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Yes, allowed only through FRE 404(a)(3), 607, 608 and 609.</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What impeachment is (Class 8)</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Giving the factfinder a reason to doubt some or all of a witness's testimony. It arises only after someone testifies (or after their out-of-court words come in under a hearsay exception).</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Bias = motive (Class 8)</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A Few Good Men</w:t>
            </w:r>
            <w:r>
              <w:rPr>
                <w:rFonts w:ascii="Calibri" w:cs="Calibri" w:eastAsia="Calibri" w:hAnsi="Calibri"/>
                <w:sz w:val="19"/>
                <w:szCs w:val="19"/>
              </w:rPr>
              <w:t xml:space="preserve">: cross showing the doctor has a self-interested reason to lie now. Bias works like 404(b) motive.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 it's around the box (404(b) and 403).</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Prior inconsistent statement (Class 8)</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Brother's Keeper: the witness said different things at different times.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Generally no. But ACN to 608(a): whether contradiction attacks character “must depend upon the circumstances” (e.g., contradicting A–D and arguing he lied about E–F too).</w:t>
            </w:r>
          </w:p>
        </w:tc>
      </w:tr>
    </w:tbl>
    <w:p>
      <w:pPr>
        <w:spacing w:after="120"/>
      </w:pPr>
    </w:p>
    <w:p>
      <w:pPr>
        <w:pStyle w:val="Heading2"/>
        <w:keepNext/>
      </w:pPr>
      <w:r>
        <w:t xml:space="preserve">Impeachment by Opinion, Reputation, and Cross-Examination About Past Lies — FRE 607 &amp; 608</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607</w:t>
            </w:r>
            <w:r>
              <w:rPr>
                <w:rFonts w:ascii="Calibri" w:cs="Calibri" w:eastAsia="Calibri" w:hAnsi="Calibri"/>
                <w:sz w:val="19"/>
                <w:szCs w:val="19"/>
              </w:rPr>
              <w:t xml:space="preserve"> — who may impeach</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Any party may attack a witness's credibility, including the party that called the witness.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608(a)</w:t>
            </w:r>
            <w:r>
              <w:rPr>
                <w:rFonts w:ascii="Calibri" w:cs="Calibri" w:eastAsia="Calibri" w:hAnsi="Calibri"/>
                <w:sz w:val="19"/>
                <w:szCs w:val="19"/>
              </w:rPr>
              <w:t xml:space="preserve"> — opinion or reputation for truthfulness</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witness may be attacked, or later supported, by opinion or reputation about </w:t>
            </w:r>
            <w:r>
              <w:rPr>
                <w:rFonts w:ascii="Calibri" w:cs="Calibri" w:eastAsia="Calibri" w:hAnsi="Calibri"/>
                <w:b/>
                <w:bCs/>
                <w:sz w:val="19"/>
                <w:szCs w:val="19"/>
              </w:rPr>
              <w:t xml:space="preserve">character for truthfulness or untruthfulness</w:t>
            </w:r>
            <w:r>
              <w:rPr>
                <w:rFonts w:ascii="Calibri" w:cs="Calibri" w:eastAsia="Calibri" w:hAnsi="Calibri"/>
                <w:sz w:val="19"/>
                <w:szCs w:val="19"/>
              </w:rPr>
              <w:t xml:space="preserve">.</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Truthfulness only. Support only </w:t>
            </w:r>
            <w:r>
              <w:rPr>
                <w:rFonts w:ascii="Calibri" w:cs="Calibri" w:eastAsia="Calibri" w:hAnsi="Calibri"/>
                <w:b/>
                <w:bCs/>
                <w:sz w:val="19"/>
                <w:szCs w:val="19"/>
              </w:rPr>
              <w:t xml:space="preserve">after an attack</w:t>
            </w:r>
            <w:r>
              <w:rPr>
                <w:rFonts w:ascii="Calibri" w:cs="Calibri" w:eastAsia="Calibri" w:hAnsi="Calibri"/>
                <w:sz w:val="19"/>
                <w:szCs w:val="19"/>
              </w:rPr>
              <w:t xml:space="preserve">. Needs a proper foundation (</w:t>
            </w:r>
            <w:r>
              <w:rPr>
                <w:rFonts w:ascii="Calibri" w:cs="Calibri" w:eastAsia="Calibri" w:hAnsi="Calibri"/>
                <w:i/>
                <w:iCs/>
                <w:sz w:val="19"/>
                <w:szCs w:val="19"/>
              </w:rPr>
              <w:t xml:space="preserve">Whitmore</w:t>
            </w: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608(b)</w:t>
            </w:r>
            <w:r>
              <w:rPr>
                <w:rFonts w:ascii="Calibri" w:cs="Calibri" w:eastAsia="Calibri" w:hAnsi="Calibri"/>
                <w:sz w:val="19"/>
                <w:szCs w:val="19"/>
              </w:rPr>
              <w:t xml:space="preserve"> — specific instances of conduct</w:t>
            </w:r>
          </w:p>
        </w:tc>
        <w:tc>
          <w:tcPr>
            <w:tcW w:type="dxa" w:w="5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On cross, the court </w:t>
            </w:r>
            <w:r>
              <w:rPr>
                <w:rFonts w:ascii="Calibri" w:cs="Calibri" w:eastAsia="Calibri" w:hAnsi="Calibri"/>
                <w:b/>
                <w:bCs/>
                <w:sz w:val="19"/>
                <w:szCs w:val="19"/>
              </w:rPr>
              <w:t xml:space="preserve">may</w:t>
            </w:r>
            <w:r>
              <w:rPr>
                <w:rFonts w:ascii="Calibri" w:cs="Calibri" w:eastAsia="Calibri" w:hAnsi="Calibri"/>
                <w:sz w:val="19"/>
                <w:szCs w:val="19"/>
              </w:rPr>
              <w:t xml:space="preserve"> allow questions about specific acts probative of truthfulness or untruthfulness.</w:t>
            </w:r>
          </w:p>
        </w:tc>
        <w:tc>
          <w:tcPr>
            <w:tcW w:type="dxa" w:w="5512"/>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No extrinsic evidence</w:t>
            </w:r>
            <w:r>
              <w:rPr>
                <w:rFonts w:ascii="Calibri" w:cs="Calibri" w:eastAsia="Calibri" w:hAnsi="Calibri"/>
                <w:sz w:val="19"/>
                <w:szCs w:val="19"/>
              </w:rPr>
              <w:t xml:space="preserve">; take the answer. Requires a good-faith basis; subject to 403 and 611(a)(3). Not a back door around Rule 609.</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608(b)(2)</w:t>
            </w:r>
            <w:r>
              <w:rPr>
                <w:rFonts w:ascii="Calibri" w:cs="Calibri" w:eastAsia="Calibri" w:hAnsi="Calibri"/>
                <w:sz w:val="19"/>
                <w:szCs w:val="19"/>
              </w:rPr>
              <w:t xml:space="preserve"> — cross of a character witness</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character witness who testified about a principal witness's truthfulness may be asked about that witness's specific acts, to test the character witness's knowledge.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Makes 608 more liberal than 405(a). Witness-character rules apply in civil and criminal cases, unlike 404(a)(2).</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610</w:t>
            </w:r>
            <w:r>
              <w:rPr>
                <w:rFonts w:ascii="Calibri" w:cs="Calibri" w:eastAsia="Calibri" w:hAnsi="Calibri"/>
                <w:sz w:val="19"/>
                <w:szCs w:val="19"/>
              </w:rPr>
              <w:t xml:space="preserve"> — religious beliefs</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Evidence of a witness's religious beliefs or opinions is not admissible to attack or support credibility.</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Cited as a model for a rape-shield rule against “unworthy of belief” inferences.</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608 notes</w:t>
            </w:r>
            <w:r>
              <w:rPr>
                <w:rFonts w:ascii="Calibri" w:cs="Calibri" w:eastAsia="Calibri" w:hAnsi="Calibri"/>
                <w:sz w:val="19"/>
                <w:szCs w:val="19"/>
              </w:rPr>
              <w:t xml:space="preserve"> (Classes 8–9)</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Like 404(a)(2): opinion or reputation only, except on cross. Unlike 404(a)(2): applies in civil and criminal cases, and either party may start the attack.</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Support only after an attack on character for truthfulness.</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Whitmore's three witnesses</w:t>
            </w:r>
            <w:r>
              <w:rPr>
                <w:rFonts w:ascii="Calibri" w:cs="Calibri" w:eastAsia="Calibri" w:hAnsi="Calibri"/>
                <w:sz w:val="19"/>
                <w:szCs w:val="19"/>
              </w:rPr>
              <w:t xml:space="preserve"> (Classes 8–9)</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Reporter Cherkis (reputation from a January 2000 article's sources) and acquaintance Edmonds (lived on Soto's beat within five years): “too remote.” Defense lawyer Cooper (“court community” reputation and own opinion): spoke with only a few lawyers, and his opinion rested on Soto testifying against his clients. Exclusion was no abuse of discretion.</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608(b): excluding cross about the license suspension, failure to report it, and unpaid child support was an abuse of discretion. Only a good-faith basis was needed, and the error wasn't harmless (no corroboration, no fingerprints). (A Class 9 slide says “606(b)” here; that's a typo for 608(b).)</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608 in the clips</w:t>
            </w:r>
            <w:r>
              <w:rPr>
                <w:rFonts w:ascii="Calibri" w:cs="Calibri" w:eastAsia="Calibri" w:hAnsi="Calibri"/>
                <w:sz w:val="19"/>
                <w:szCs w:val="19"/>
              </w:rPr>
              <w:t xml:space="preserve"> (Class 8)</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Easerly v. Lettwin</w:t>
            </w:r>
            <w:r>
              <w:rPr>
                <w:rFonts w:ascii="Calibri" w:cs="Calibri" w:eastAsia="Calibri" w:hAnsi="Calibri"/>
                <w:sz w:val="19"/>
                <w:szCs w:val="19"/>
              </w:rPr>
              <w:t xml:space="preserve">: “reputation is terrible” draws a sustained objection (truthfulness only). 608(a) reaches any witness who testifies, in civil and criminal cases, but not parties who never take the stand. Specific lies are allowed only on cross, and rehabilitation is by opinion or reputation. </w:t>
            </w:r>
            <w:r>
              <w:rPr>
                <w:rFonts w:ascii="Calibri" w:cs="Calibri" w:eastAsia="Calibri" w:hAnsi="Calibri"/>
                <w:i/>
                <w:iCs/>
                <w:sz w:val="19"/>
                <w:szCs w:val="19"/>
              </w:rPr>
              <w:t xml:space="preserve">Philadelphia</w:t>
            </w:r>
            <w:r>
              <w:rPr>
                <w:rFonts w:ascii="Calibri" w:cs="Calibri" w:eastAsia="Calibri" w:hAnsi="Calibri"/>
                <w:sz w:val="19"/>
                <w:szCs w:val="19"/>
              </w:rPr>
              <w:t xml:space="preserve">: visiting a porn theater isn't probative of untruthfulness, but lying on a bar application about parking tickets is.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HTGAWM</w:t>
            </w:r>
            <w:r>
              <w:rPr>
                <w:rFonts w:ascii="Calibri" w:cs="Calibri" w:eastAsia="Calibri" w:hAnsi="Calibri"/>
                <w:sz w:val="19"/>
                <w:szCs w:val="19"/>
              </w:rPr>
              <w:t xml:space="preserve">: the cross-examiner needs a good-faith basis, not “proof,” for a past false kidnapping claim; offering the witness's affidavit is barred extrinsic evidence. Technique: object without repeating the offending words.</w:t>
            </w:r>
          </w:p>
        </w:tc>
      </w:tr>
    </w:tbl>
    <w:p>
      <w:pPr>
        <w:spacing w:after="120"/>
      </w:pPr>
    </w:p>
    <w:p>
      <w:pPr>
        <w:pStyle w:val="Heading2"/>
        <w:keepNext/>
      </w:pPr>
      <w:r>
        <w:t xml:space="preserve">Impeachment with Past Convictions — FRE 609</w:t>
      </w:r>
    </w:p>
    <w:p>
      <w:pPr>
        <w:keepNext/>
        <w:keepLines/>
        <w:spacing w:after="100"/>
      </w:pPr>
      <w:r>
        <w:rPr>
          <w:rFonts w:ascii="Calibri" w:cs="Calibri" w:eastAsia="Calibri" w:hAnsi="Calibri"/>
          <w:sz w:val="20"/>
          <w:szCs w:val="20"/>
        </w:rPr>
        <w:t xml:space="preserve">Ranked from most permissive to most restrictive: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Provision</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Covers</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Standard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609(a)(2)</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Any crime whose elements readily show a </w:t>
            </w:r>
            <w:r>
              <w:rPr>
                <w:rFonts w:ascii="Calibri" w:cs="Calibri" w:eastAsia="Calibri" w:hAnsi="Calibri"/>
                <w:b/>
                <w:bCs/>
                <w:sz w:val="19"/>
                <w:szCs w:val="19"/>
              </w:rPr>
              <w:t xml:space="preserve">dishonest act or false statement</w:t>
            </w:r>
            <w:r>
              <w:rPr>
                <w:rFonts w:ascii="Calibri" w:cs="Calibri" w:eastAsia="Calibri" w:hAnsi="Calibri"/>
                <w:sz w:val="19"/>
                <w:szCs w:val="19"/>
              </w:rPr>
              <w:t xml:space="preserve"> (</w:t>
            </w:r>
            <w:r>
              <w:rPr>
                <w:rFonts w:ascii="Calibri" w:cs="Calibri" w:eastAsia="Calibri" w:hAnsi="Calibri"/>
                <w:i/>
                <w:iCs/>
                <w:sz w:val="19"/>
                <w:szCs w:val="19"/>
              </w:rPr>
              <w:t xml:space="preserve">crimen falsi</w:t>
            </w:r>
            <w:r>
              <w:rPr>
                <w:rFonts w:ascii="Calibri" w:cs="Calibri" w:eastAsia="Calibri" w:hAnsi="Calibri"/>
                <w:sz w:val="19"/>
                <w:szCs w:val="19"/>
              </w:rPr>
              <w:t xml:space="preserv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Must be admitted</w:t>
            </w:r>
            <w:r>
              <w:rPr>
                <w:rFonts w:ascii="Calibri" w:cs="Calibri" w:eastAsia="Calibri" w:hAnsi="Calibri"/>
                <w:sz w:val="19"/>
                <w:szCs w:val="19"/>
              </w:rPr>
              <w:t xml:space="preserve">; no balancing</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609(a)(1)(A)</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Crimes punishable by more than one year; witness </w:t>
            </w:r>
            <w:r>
              <w:rPr>
                <w:rFonts w:ascii="Calibri" w:cs="Calibri" w:eastAsia="Calibri" w:hAnsi="Calibri"/>
                <w:b/>
                <w:bCs/>
                <w:sz w:val="19"/>
                <w:szCs w:val="19"/>
              </w:rPr>
              <w:t xml:space="preserve">not</w:t>
            </w:r>
            <w:r>
              <w:rPr>
                <w:rFonts w:ascii="Calibri" w:cs="Calibri" w:eastAsia="Calibri" w:hAnsi="Calibri"/>
                <w:sz w:val="19"/>
                <w:szCs w:val="19"/>
              </w:rPr>
              <w:t xml:space="preserve"> the accused</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Admitted, subject to Rule 403</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609(a)(1)(B)</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Crimes punishable by more than one year; witness </w:t>
            </w:r>
            <w:r>
              <w:rPr>
                <w:rFonts w:ascii="Calibri" w:cs="Calibri" w:eastAsia="Calibri" w:hAnsi="Calibri"/>
                <w:b/>
                <w:bCs/>
                <w:sz w:val="19"/>
                <w:szCs w:val="19"/>
              </w:rPr>
              <w:t xml:space="preserve">is</w:t>
            </w:r>
            <w:r>
              <w:rPr>
                <w:rFonts w:ascii="Calibri" w:cs="Calibri" w:eastAsia="Calibri" w:hAnsi="Calibri"/>
                <w:sz w:val="19"/>
                <w:szCs w:val="19"/>
              </w:rPr>
              <w:t xml:space="preserve"> the accused</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Admitted if probative value </w:t>
            </w:r>
            <w:r>
              <w:rPr>
                <w:rFonts w:ascii="Calibri" w:cs="Calibri" w:eastAsia="Calibri" w:hAnsi="Calibri"/>
                <w:b/>
                <w:bCs/>
                <w:sz w:val="19"/>
                <w:szCs w:val="19"/>
              </w:rPr>
              <w:t xml:space="preserve">outweighs</w:t>
            </w:r>
            <w:r>
              <w:rPr>
                <w:rFonts w:ascii="Calibri" w:cs="Calibri" w:eastAsia="Calibri" w:hAnsi="Calibri"/>
                <w:sz w:val="19"/>
                <w:szCs w:val="19"/>
              </w:rPr>
              <w:t xml:space="preserve"> prejudicial effect to the defendant</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609(b)</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More than </w:t>
            </w:r>
            <w:r>
              <w:rPr>
                <w:rFonts w:ascii="Calibri" w:cs="Calibri" w:eastAsia="Calibri" w:hAnsi="Calibri"/>
                <w:b/>
                <w:bCs/>
                <w:sz w:val="19"/>
                <w:szCs w:val="19"/>
              </w:rPr>
              <w:t xml:space="preserve">10 years</w:t>
            </w:r>
            <w:r>
              <w:rPr>
                <w:rFonts w:ascii="Calibri" w:cs="Calibri" w:eastAsia="Calibri" w:hAnsi="Calibri"/>
                <w:sz w:val="19"/>
                <w:szCs w:val="19"/>
              </w:rPr>
              <w:t xml:space="preserve"> since conviction or release, whichever is later</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Probative value must </w:t>
            </w:r>
            <w:r>
              <w:rPr>
                <w:rFonts w:ascii="Calibri" w:cs="Calibri" w:eastAsia="Calibri" w:hAnsi="Calibri"/>
                <w:b/>
                <w:bCs/>
                <w:sz w:val="19"/>
                <w:szCs w:val="19"/>
              </w:rPr>
              <w:t xml:space="preserve">substantially outweigh</w:t>
            </w:r>
            <w:r>
              <w:rPr>
                <w:rFonts w:ascii="Calibri" w:cs="Calibri" w:eastAsia="Calibri" w:hAnsi="Calibri"/>
                <w:sz w:val="19"/>
                <w:szCs w:val="19"/>
              </w:rPr>
              <w:t xml:space="preserve"> prejudicial effect ("reverse-403"); notice required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FRE 609(c)</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Pardon, annulment, certificate of rehabilitation, or a finding of innocence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Not admissible if based on rehabilitation (with no later serious conviction) or on innocence; rehabilitation lowers probativeness and innocence drops it to near zero</w:t>
            </w:r>
          </w:p>
        </w:tc>
      </w:tr>
      <w:tr>
        <w:trPr>
          <w:cantSplit/>
          <w:tblHeader w:val="false"/>
        </w:trPr>
        <w:tc>
          <w:tcPr>
            <w:tcW w:type="dxa" w:w="36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609(d)</w:t>
            </w:r>
          </w:p>
        </w:tc>
        <w:tc>
          <w:tcPr>
            <w:tcW w:type="dxa" w:w="5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Juvenile adjudications</w:t>
            </w:r>
          </w:p>
        </w:tc>
        <w:tc>
          <w:tcPr>
            <w:tcW w:type="dxa" w:w="55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Never against the accused or in civil cases; otherwise only if necessary to fairly determine guilt or innocence</w:t>
            </w:r>
          </w:p>
        </w:tc>
      </w:tr>
    </w:tbl>
    <w:p>
      <w:pPr>
        <w:spacing w:after="120"/>
      </w:pPr>
    </w:p>
    <w:p>
      <w:pPr>
        <w:keepNext/>
        <w:keepLines/>
        <w:spacing w:after="100"/>
      </w:pPr>
      <w:r>
        <w:rPr>
          <w:rFonts w:ascii="Calibri" w:cs="Calibri" w:eastAsia="Calibri" w:hAnsi="Calibri"/>
          <w:b/>
          <w:bCs/>
          <w:sz w:val="20"/>
          <w:szCs w:val="20"/>
        </w:rPr>
        <w:t xml:space="preserve">Weighing a defendant's conviction</w:t>
      </w:r>
      <w:r>
        <w:rPr>
          <w:rFonts w:ascii="Calibri" w:cs="Calibri" w:eastAsia="Calibri" w:hAnsi="Calibri"/>
          <w:sz w:val="20"/>
          <w:szCs w:val="20"/>
        </w:rPr>
        <w:t xml:space="preserve"> uses the five factors from </w:t>
      </w:r>
      <w:r>
        <w:rPr>
          <w:rFonts w:ascii="Calibri" w:cs="Calibri" w:eastAsia="Calibri" w:hAnsi="Calibri"/>
          <w:i/>
          <w:iCs/>
          <w:sz w:val="20"/>
          <w:szCs w:val="20"/>
        </w:rPr>
        <w:t xml:space="preserve">Gordon v. United States</w:t>
      </w:r>
      <w:r>
        <w:rPr>
          <w:rFonts w:ascii="Calibri" w:cs="Calibri" w:eastAsia="Calibri" w:hAnsi="Calibri"/>
          <w:sz w:val="20"/>
          <w:szCs w:val="20"/>
        </w:rPr>
        <w:t xml:space="preserve">, as applied in </w:t>
      </w:r>
      <w:r>
        <w:rPr>
          <w:rFonts w:ascii="Calibri" w:cs="Calibri" w:eastAsia="Calibri" w:hAnsi="Calibri"/>
          <w:i/>
          <w:iCs/>
          <w:sz w:val="20"/>
          <w:szCs w:val="20"/>
        </w:rPr>
        <w:t xml:space="preserve">Brewer</w:t>
      </w:r>
      <w:r>
        <w:rPr>
          <w:rFonts w:ascii="Calibri" w:cs="Calibri" w:eastAsia="Calibri" w:hAnsi="Calibri"/>
          <w:sz w:val="20"/>
          <w:szCs w:val="20"/>
        </w:rPr>
        <w:t xml:space="preserve">:</w:t>
      </w:r>
    </w:p>
    <w:p>
      <w:pPr>
        <w:pStyle w:val="ListParagraph"/>
        <w:keepNext/>
        <w:keepLines/>
        <w:numPr>
          <w:ilvl w:val="0"/>
          <w:numId w:val="2"/>
        </w:numPr>
      </w:pPr>
      <w:r>
        <w:rPr>
          <w:rFonts w:ascii="Calibri" w:cs="Calibri" w:eastAsia="Calibri" w:hAnsi="Calibri"/>
          <w:sz w:val="20"/>
          <w:szCs w:val="20"/>
        </w:rPr>
        <w:t xml:space="preserve">Nature of the crime.</w:t>
      </w:r>
    </w:p>
    <w:p>
      <w:pPr>
        <w:pStyle w:val="ListParagraph"/>
        <w:keepNext/>
        <w:keepLines/>
        <w:numPr>
          <w:ilvl w:val="0"/>
          <w:numId w:val="2"/>
        </w:numPr>
      </w:pPr>
      <w:r>
        <w:rPr>
          <w:rFonts w:ascii="Calibri" w:cs="Calibri" w:eastAsia="Calibri" w:hAnsi="Calibri"/>
          <w:sz w:val="20"/>
          <w:szCs w:val="20"/>
        </w:rPr>
        <w:t xml:space="preserve">Time of conviction and the witness's subsequent history.</w:t>
      </w:r>
    </w:p>
    <w:p>
      <w:pPr>
        <w:pStyle w:val="ListParagraph"/>
        <w:keepNext/>
        <w:keepLines/>
        <w:numPr>
          <w:ilvl w:val="0"/>
          <w:numId w:val="2"/>
        </w:numPr>
      </w:pPr>
      <w:r>
        <w:rPr>
          <w:rFonts w:ascii="Calibri" w:cs="Calibri" w:eastAsia="Calibri" w:hAnsi="Calibri"/>
          <w:sz w:val="20"/>
          <w:szCs w:val="20"/>
        </w:rPr>
        <w:t xml:space="preserve">Similarity to the charged crime.</w:t>
      </w:r>
    </w:p>
    <w:p>
      <w:pPr>
        <w:pStyle w:val="ListParagraph"/>
        <w:keepNext/>
        <w:keepLines/>
        <w:numPr>
          <w:ilvl w:val="0"/>
          <w:numId w:val="2"/>
        </w:numPr>
      </w:pPr>
      <w:r>
        <w:rPr>
          <w:rFonts w:ascii="Calibri" w:cs="Calibri" w:eastAsia="Calibri" w:hAnsi="Calibri"/>
          <w:sz w:val="20"/>
          <w:szCs w:val="20"/>
        </w:rPr>
        <w:t xml:space="preserve">Importance of the defendant's testimony.</w:t>
      </w:r>
    </w:p>
    <w:p>
      <w:pPr>
        <w:pStyle w:val="ListParagraph"/>
        <w:keepNext w:val="false"/>
        <w:keepLines/>
        <w:numPr>
          <w:ilvl w:val="0"/>
          <w:numId w:val="2"/>
        </w:numPr>
      </w:pPr>
      <w:r>
        <w:rPr>
          <w:rFonts w:ascii="Calibri" w:cs="Calibri" w:eastAsia="Calibri" w:hAnsi="Calibri"/>
          <w:sz w:val="20"/>
          <w:szCs w:val="20"/>
        </w:rPr>
        <w:t xml:space="preserve">Centrality of the credibility issue.</w:t>
      </w:r>
    </w:p>
    <w:p>
      <w:pPr>
        <w:keepNext/>
        <w:keepLines/>
        <w:spacing w:after="100"/>
      </w:pPr>
      <w:r>
        <w:rPr>
          <w:rFonts w:ascii="Calibri" w:cs="Calibri" w:eastAsia="Calibri" w:hAnsi="Calibri"/>
          <w:b/>
          <w:bCs/>
          <w:sz w:val="20"/>
          <w:szCs w:val="20"/>
        </w:rPr>
        <w:t xml:space="preserve">Also note:</w:t>
      </w:r>
    </w:p>
    <w:p>
      <w:pPr>
        <w:pStyle w:val="ListParagraph"/>
        <w:keepNext/>
        <w:keepLines/>
        <w:numPr>
          <w:ilvl w:val="0"/>
          <w:numId w:val="3"/>
        </w:numPr>
      </w:pPr>
      <w:r>
        <w:rPr>
          <w:rFonts w:ascii="Calibri" w:cs="Calibri" w:eastAsia="Calibri" w:hAnsi="Calibri"/>
          <w:sz w:val="20"/>
          <w:szCs w:val="20"/>
        </w:rPr>
        <w:t xml:space="preserve">Theft and robbery are not crimen falsi.</w:t>
      </w:r>
    </w:p>
    <w:p>
      <w:pPr>
        <w:pStyle w:val="ListParagraph"/>
        <w:keepNext/>
        <w:keepLines/>
        <w:numPr>
          <w:ilvl w:val="0"/>
          <w:numId w:val="3"/>
        </w:numPr>
      </w:pPr>
      <w:r>
        <w:rPr>
          <w:rFonts w:ascii="Calibri" w:cs="Calibri" w:eastAsia="Calibri" w:hAnsi="Calibri"/>
          <w:sz w:val="20"/>
          <w:szCs w:val="20"/>
        </w:rPr>
        <w:t xml:space="preserve">The name of the crime is usually disclosed (</w:t>
      </w:r>
      <w:r>
        <w:rPr>
          <w:rFonts w:ascii="Calibri" w:cs="Calibri" w:eastAsia="Calibri" w:hAnsi="Calibri"/>
          <w:i/>
          <w:iCs/>
          <w:sz w:val="20"/>
          <w:szCs w:val="20"/>
        </w:rPr>
        <w:t xml:space="preserve">Estrada</w:t>
      </w:r>
      <w:r>
        <w:rPr>
          <w:rFonts w:ascii="Calibri" w:cs="Calibri" w:eastAsia="Calibri" w:hAnsi="Calibri"/>
          <w:sz w:val="20"/>
          <w:szCs w:val="20"/>
        </w:rPr>
        <w:t xml:space="preserve">).</w:t>
      </w:r>
    </w:p>
    <w:p>
      <w:pPr>
        <w:pStyle w:val="ListParagraph"/>
        <w:keepNext w:val="false"/>
        <w:keepLines/>
        <w:numPr>
          <w:ilvl w:val="0"/>
          <w:numId w:val="3"/>
        </w:numPr>
      </w:pPr>
      <w:r>
        <w:rPr>
          <w:rFonts w:ascii="Calibri" w:cs="Calibri" w:eastAsia="Calibri" w:hAnsi="Calibri"/>
          <w:sz w:val="20"/>
          <w:szCs w:val="20"/>
        </w:rPr>
        <w:t xml:space="preserve">To preserve an objection, the defendant must testify (</w:t>
      </w:r>
      <w:r>
        <w:rPr>
          <w:rFonts w:ascii="Calibri" w:cs="Calibri" w:eastAsia="Calibri" w:hAnsi="Calibri"/>
          <w:i/>
          <w:iCs/>
          <w:sz w:val="20"/>
          <w:szCs w:val="20"/>
        </w:rPr>
        <w:t xml:space="preserve">Luce</w:t>
      </w:r>
      <w:r>
        <w:rPr>
          <w:rFonts w:ascii="Calibri" w:cs="Calibri" w:eastAsia="Calibri" w:hAnsi="Calibri"/>
          <w:sz w:val="20"/>
          <w:szCs w:val="20"/>
        </w:rPr>
        <w:t xml:space="preserve">) and must not introduce the conviction himself (</w:t>
      </w:r>
      <w:r>
        <w:rPr>
          <w:rFonts w:ascii="Calibri" w:cs="Calibri" w:eastAsia="Calibri" w:hAnsi="Calibri"/>
          <w:i/>
          <w:iCs/>
          <w:sz w:val="20"/>
          <w:szCs w:val="20"/>
        </w:rPr>
        <w:t xml:space="preserve">Ohler</w:t>
      </w:r>
      <w:r>
        <w:rPr>
          <w:rFonts w:ascii="Calibri" w:cs="Calibri" w:eastAsia="Calibri" w:hAnsi="Calibri"/>
          <w:sz w:val="20"/>
          <w:szCs w:val="20"/>
        </w:rPr>
        <w:t xml:space="preserve">).</w:t>
      </w:r>
    </w:p>
    <w:p>
      <w:pPr>
        <w:pStyle w:val="ListParagraph"/>
        <w:keepNext/>
        <w:keepLines/>
        <w:numPr>
          <w:ilvl w:val="0"/>
          <w:numId w:val="3"/>
        </w:numPr>
      </w:pPr>
      <w:r>
        <w:rPr>
          <w:rFonts w:ascii="Calibri" w:cs="Calibri" w:eastAsia="Calibri" w:hAnsi="Calibri"/>
          <w:i/>
          <w:iCs/>
          <w:sz w:val="20"/>
          <w:szCs w:val="20"/>
        </w:rPr>
        <w:t xml:space="preserve">United States v. Brewer</w:t>
      </w:r>
      <w:r>
        <w:rPr>
          <w:rFonts w:ascii="Calibri" w:cs="Calibri" w:eastAsia="Calibri" w:hAnsi="Calibri"/>
          <w:sz w:val="20"/>
          <w:szCs w:val="20"/>
        </w:rPr>
        <w:t xml:space="preserve"> (E.D. Tenn. 1978): 609(b)'s ten years run from release, so 1968 convictions with 1969 release dates were within ten years. The court admitted three violent convictions but excluded the kidnapping conviction as cumulative “overkill.”</w:t>
      </w:r>
    </w:p>
    <w:p>
      <w:pPr>
        <w:pStyle w:val="ListParagraph"/>
        <w:keepNext/>
        <w:keepLines/>
        <w:numPr>
          <w:ilvl w:val="0"/>
          <w:numId w:val="3"/>
        </w:numPr>
      </w:pPr>
      <w:r>
        <w:rPr>
          <w:rFonts w:ascii="Calibri" w:cs="Calibri" w:eastAsia="Calibri" w:hAnsi="Calibri"/>
          <w:sz w:val="20"/>
          <w:szCs w:val="20"/>
        </w:rPr>
        <w:t xml:space="preserve">Violent crimes have little direct bearing on honesty (Judge Burger in </w:t>
      </w:r>
      <w:r>
        <w:rPr>
          <w:rFonts w:ascii="Calibri" w:cs="Calibri" w:eastAsia="Calibri" w:hAnsi="Calibri"/>
          <w:i/>
          <w:iCs/>
          <w:sz w:val="20"/>
          <w:szCs w:val="20"/>
        </w:rPr>
        <w:t xml:space="preserve">Gordon</w:t>
      </w:r>
      <w:r>
        <w:rPr>
          <w:rFonts w:ascii="Calibri" w:cs="Calibri" w:eastAsia="Calibri" w:hAnsi="Calibri"/>
          <w:sz w:val="20"/>
          <w:szCs w:val="20"/>
        </w:rPr>
        <w:t xml:space="preserve">; the balancing line began with </w:t>
      </w:r>
      <w:r>
        <w:rPr>
          <w:rFonts w:ascii="Calibri" w:cs="Calibri" w:eastAsia="Calibri" w:hAnsi="Calibri"/>
          <w:i/>
          <w:iCs/>
          <w:sz w:val="20"/>
          <w:szCs w:val="20"/>
        </w:rPr>
        <w:t xml:space="preserve">Luck v. United States</w:t>
      </w:r>
      <w:r>
        <w:rPr>
          <w:rFonts w:ascii="Calibri" w:cs="Calibri" w:eastAsia="Calibri" w:hAnsi="Calibri"/>
          <w:sz w:val="20"/>
          <w:szCs w:val="20"/>
        </w:rPr>
        <w:t xml:space="preserve">).</w:t>
      </w:r>
    </w:p>
    <w:p>
      <w:pPr>
        <w:pStyle w:val="ListParagraph"/>
        <w:keepNext/>
        <w:keepLines/>
        <w:numPr>
          <w:ilvl w:val="0"/>
          <w:numId w:val="3"/>
        </w:numPr>
      </w:pPr>
      <w:r>
        <w:rPr>
          <w:rFonts w:ascii="Calibri" w:cs="Calibri" w:eastAsia="Calibri" w:hAnsi="Calibri"/>
          <w:sz w:val="20"/>
          <w:szCs w:val="20"/>
        </w:rPr>
        <w:t xml:space="preserve">609(a)(1)(B) and 609(b)(1) say “prejudicial effect” without “unfairly”; read the modifier in.</w:t>
      </w:r>
    </w:p>
    <w:p>
      <w:pPr>
        <w:pStyle w:val="ListParagraph"/>
        <w:keepNext/>
        <w:keepLines/>
        <w:numPr>
          <w:ilvl w:val="0"/>
          <w:numId w:val="3"/>
        </w:numPr>
      </w:pPr>
      <w:r>
        <w:rPr>
          <w:rFonts w:ascii="Calibri" w:cs="Calibri" w:eastAsia="Calibri" w:hAnsi="Calibri"/>
          <w:i/>
          <w:iCs/>
          <w:sz w:val="20"/>
          <w:szCs w:val="20"/>
        </w:rPr>
        <w:t xml:space="preserve">(Class 9)</w:t>
      </w:r>
      <w:r>
        <w:rPr>
          <w:rFonts w:ascii="Calibri" w:cs="Calibri" w:eastAsia="Calibri" w:hAnsi="Calibri"/>
          <w:sz w:val="20"/>
          <w:szCs w:val="20"/>
        </w:rPr>
        <w:t xml:space="preserve"> </w:t>
      </w:r>
      <w:r>
        <w:rPr>
          <w:rFonts w:ascii="Calibri" w:cs="Calibri" w:eastAsia="Calibri" w:hAnsi="Calibri"/>
          <w:b/>
          <w:bCs/>
          <w:sz w:val="20"/>
          <w:szCs w:val="20"/>
        </w:rPr>
        <w:t xml:space="preserve">History:</w:t>
      </w:r>
      <w:r>
        <w:rPr>
          <w:rFonts w:ascii="Calibri" w:cs="Calibri" w:eastAsia="Calibri" w:hAnsi="Calibri"/>
          <w:sz w:val="20"/>
          <w:szCs w:val="20"/>
        </w:rPr>
        <w:t xml:space="preserve"> at common law felons couldn't testify at all; 609 lets them testify but lets the jury learn of the record. 609(a)(1)(B) is a special balancing test, and exclusion may be easier there than under 403.</w:t>
      </w:r>
    </w:p>
    <w:p>
      <w:pPr>
        <w:pStyle w:val="ListParagraph"/>
        <w:keepNext/>
        <w:keepLines/>
        <w:numPr>
          <w:ilvl w:val="0"/>
          <w:numId w:val="3"/>
        </w:numPr>
      </w:pPr>
      <w:r>
        <w:rPr>
          <w:rFonts w:ascii="Calibri" w:cs="Calibri" w:eastAsia="Calibri" w:hAnsi="Calibri"/>
          <w:i/>
          <w:iCs/>
          <w:sz w:val="20"/>
          <w:szCs w:val="20"/>
        </w:rPr>
        <w:t xml:space="preserve">(Class 9)</w:t>
      </w:r>
      <w:r>
        <w:rPr>
          <w:rFonts w:ascii="Calibri" w:cs="Calibri" w:eastAsia="Calibri" w:hAnsi="Calibri"/>
          <w:sz w:val="20"/>
          <w:szCs w:val="20"/>
        </w:rPr>
        <w:t xml:space="preserve"> </w:t>
      </w:r>
      <w:r>
        <w:rPr>
          <w:rFonts w:ascii="Calibri" w:cs="Calibri" w:eastAsia="Calibri" w:hAnsi="Calibri"/>
          <w:b/>
          <w:bCs/>
          <w:sz w:val="20"/>
          <w:szCs w:val="20"/>
        </w:rPr>
        <w:t xml:space="preserve">“Punishable by”</w:t>
      </w:r>
      <w:r>
        <w:rPr>
          <w:rFonts w:ascii="Calibri" w:cs="Calibri" w:eastAsia="Calibri" w:hAnsi="Calibri"/>
          <w:sz w:val="20"/>
          <w:szCs w:val="20"/>
        </w:rPr>
        <w:t xml:space="preserve"> means the possible sentence, not the one imposed (an arson plea awaiting sentence still qualifies). 609(a)(2) convictions are “peculiarly probative” and “always to be admitted.” 609(b) convictions come in “very rarely and only in exceptional circumstances.” Petty larceny isn't crimen falsi; reform school is barred by 609(d) unless necessary.</w:t>
      </w:r>
    </w:p>
    <w:p>
      <w:pPr>
        <w:pStyle w:val="ListParagraph"/>
        <w:keepNext/>
        <w:keepLines/>
        <w:numPr>
          <w:ilvl w:val="0"/>
          <w:numId w:val="3"/>
        </w:numPr>
      </w:pPr>
      <w:r>
        <w:rPr>
          <w:rFonts w:ascii="Calibri" w:cs="Calibri" w:eastAsia="Calibri" w:hAnsi="Calibri"/>
          <w:i/>
          <w:iCs/>
          <w:sz w:val="20"/>
          <w:szCs w:val="20"/>
        </w:rPr>
        <w:t xml:space="preserve">(Class 9)</w:t>
      </w:r>
      <w:r>
        <w:rPr>
          <w:rFonts w:ascii="Calibri" w:cs="Calibri" w:eastAsia="Calibri" w:hAnsi="Calibri"/>
          <w:sz w:val="20"/>
          <w:szCs w:val="20"/>
        </w:rPr>
        <w:t xml:space="preserve"> </w:t>
      </w:r>
      <w:r>
        <w:rPr>
          <w:rFonts w:ascii="Calibri" w:cs="Calibri" w:eastAsia="Calibri" w:hAnsi="Calibri"/>
          <w:b/>
          <w:bCs/>
          <w:sz w:val="20"/>
          <w:szCs w:val="20"/>
        </w:rPr>
        <w:t xml:space="preserve">Drawing the sting:</w:t>
      </w:r>
      <w:r>
        <w:rPr>
          <w:rFonts w:ascii="Calibri" w:cs="Calibri" w:eastAsia="Calibri" w:hAnsi="Calibri"/>
          <w:sz w:val="20"/>
          <w:szCs w:val="20"/>
        </w:rPr>
        <w:t xml:space="preserve"> bringing out your own witness's record on direct avoids a snide cross but forfeits appeal (</w:t>
      </w:r>
      <w:r>
        <w:rPr>
          <w:rFonts w:ascii="Calibri" w:cs="Calibri" w:eastAsia="Calibri" w:hAnsi="Calibri"/>
          <w:i/>
          <w:iCs/>
          <w:sz w:val="20"/>
          <w:szCs w:val="20"/>
        </w:rPr>
        <w:t xml:space="preserve">Ohler</w:t>
      </w:r>
      <w:r>
        <w:rPr>
          <w:rFonts w:ascii="Calibri" w:cs="Calibri" w:eastAsia="Calibri" w:hAnsi="Calibri"/>
          <w:sz w:val="20"/>
          <w:szCs w:val="20"/>
        </w:rPr>
        <w:t xml:space="preserve">), which is less risky for prosecutors, who can't appeal acquittals.</w:t>
      </w:r>
    </w:p>
    <w:p>
      <w:pPr>
        <w:pStyle w:val="ListParagraph"/>
        <w:keepNext/>
        <w:keepLines/>
        <w:numPr>
          <w:ilvl w:val="0"/>
          <w:numId w:val="3"/>
        </w:numPr>
      </w:pPr>
      <w:r>
        <w:rPr>
          <w:rFonts w:ascii="Calibri" w:cs="Calibri" w:eastAsia="Calibri" w:hAnsi="Calibri"/>
          <w:i/>
          <w:iCs/>
          <w:sz w:val="20"/>
          <w:szCs w:val="20"/>
        </w:rPr>
        <w:t xml:space="preserve">(Classes 9–10)</w:t>
      </w:r>
      <w:r>
        <w:rPr>
          <w:rFonts w:ascii="Calibri" w:cs="Calibri" w:eastAsia="Calibri" w:hAnsi="Calibri"/>
          <w:sz w:val="20"/>
          <w:szCs w:val="20"/>
        </w:rPr>
        <w:t xml:space="preserve"> </w:t>
      </w:r>
      <w:r>
        <w:rPr>
          <w:rFonts w:ascii="Calibri" w:cs="Calibri" w:eastAsia="Calibri" w:hAnsi="Calibri"/>
          <w:b/>
          <w:bCs/>
          <w:sz w:val="20"/>
          <w:szCs w:val="20"/>
        </w:rPr>
        <w:t xml:space="preserve">Gordon factor directions:</w:t>
      </w:r>
      <w:r>
        <w:rPr>
          <w:rFonts w:ascii="Calibri" w:cs="Calibri" w:eastAsia="Calibri" w:hAnsi="Calibri"/>
          <w:sz w:val="20"/>
          <w:szCs w:val="20"/>
        </w:rPr>
        <w:t xml:space="preserve"> (1) more violent = less probative of honesty and more prejudicial; (2) more recent = more probative, and a continuing criminal record favors admission; (3) more similar = more prejudicial; (4) more important defendant testimony favors exclusion; (5) credibility central to the case favors admission. Factors 4 and 5 often counterbalance. </w:t>
      </w:r>
      <w:r>
        <w:rPr>
          <w:rFonts w:ascii="Calibri" w:cs="Calibri" w:eastAsia="Calibri" w:hAnsi="Calibri"/>
          <w:i/>
          <w:iCs/>
          <w:sz w:val="20"/>
          <w:szCs w:val="20"/>
        </w:rPr>
        <w:t xml:space="preserve">Brewer</w:t>
      </w:r>
      <w:r>
        <w:rPr>
          <w:rFonts w:ascii="Calibri" w:cs="Calibri" w:eastAsia="Calibri" w:hAnsi="Calibri"/>
          <w:sz w:val="20"/>
          <w:szCs w:val="20"/>
        </w:rPr>
        <w:t xml:space="preserve"> (charged with transporting a stolen vehicle): released within ten years, so 609(b) didn't apply. Rape, aggravated assault and assault with a deadly weapon were admitted; kidnapping was excluded.</w:t>
      </w:r>
    </w:p>
    <w:p>
      <w:pPr>
        <w:pStyle w:val="ListParagraph"/>
        <w:keepNext/>
        <w:keepLines/>
        <w:numPr>
          <w:ilvl w:val="0"/>
          <w:numId w:val="3"/>
        </w:numPr>
      </w:pPr>
      <w:r>
        <w:rPr>
          <w:rFonts w:ascii="Calibri" w:cs="Calibri" w:eastAsia="Calibri" w:hAnsi="Calibri"/>
          <w:i/>
          <w:iCs/>
          <w:sz w:val="20"/>
          <w:szCs w:val="20"/>
        </w:rPr>
        <w:t xml:space="preserve">(Class 9)</w:t>
      </w:r>
      <w:r>
        <w:rPr>
          <w:rFonts w:ascii="Calibri" w:cs="Calibri" w:eastAsia="Calibri" w:hAnsi="Calibri"/>
          <w:sz w:val="20"/>
          <w:szCs w:val="20"/>
        </w:rPr>
        <w:t xml:space="preserve"> </w:t>
      </w:r>
      <w:r>
        <w:rPr>
          <w:rFonts w:ascii="Calibri" w:cs="Calibri" w:eastAsia="Calibri" w:hAnsi="Calibri"/>
          <w:b/>
          <w:bCs/>
          <w:sz w:val="20"/>
          <w:szCs w:val="20"/>
        </w:rPr>
        <w:t xml:space="preserve">Problem 4.4 (Valencia, 8th Cir.):</w:t>
      </w:r>
      <w:r>
        <w:rPr>
          <w:rFonts w:ascii="Calibri" w:cs="Calibri" w:eastAsia="Calibri" w:hAnsi="Calibri"/>
          <w:sz w:val="20"/>
          <w:szCs w:val="20"/>
        </w:rPr>
        <w:t xml:space="preserve"> a 404(b)/403 weighing in the case-in-chief (substantive guilt) and a later 609(a)(1)(B) weighing (character for truthfulness) are separate tests; losing one doesn't dictate the other.</w:t>
      </w:r>
    </w:p>
    <w:p>
      <w:pPr>
        <w:pStyle w:val="ListParagraph"/>
        <w:keepNext/>
        <w:keepLines/>
        <w:numPr>
          <w:ilvl w:val="0"/>
          <w:numId w:val="3"/>
        </w:numPr>
      </w:pPr>
      <w:r>
        <w:rPr>
          <w:rFonts w:ascii="Calibri" w:cs="Calibri" w:eastAsia="Calibri" w:hAnsi="Calibri"/>
          <w:i/>
          <w:iCs/>
          <w:sz w:val="20"/>
          <w:szCs w:val="20"/>
        </w:rPr>
        <w:t xml:space="preserve">(Class 9)</w:t>
      </w:r>
      <w:r>
        <w:rPr>
          <w:rFonts w:ascii="Calibri" w:cs="Calibri" w:eastAsia="Calibri" w:hAnsi="Calibri"/>
          <w:sz w:val="20"/>
          <w:szCs w:val="20"/>
        </w:rPr>
        <w:t xml:space="preserve"> </w:t>
      </w:r>
      <w:r>
        <w:rPr>
          <w:rFonts w:ascii="Calibri" w:cs="Calibri" w:eastAsia="Calibri" w:hAnsi="Calibri"/>
          <w:b/>
          <w:bCs/>
          <w:sz w:val="20"/>
          <w:szCs w:val="20"/>
        </w:rPr>
        <w:t xml:space="preserve">Problem 4.5 (Meter Fixing):</w:t>
      </w:r>
      <w:r>
        <w:rPr>
          <w:rFonts w:ascii="Calibri" w:cs="Calibri" w:eastAsia="Calibri" w:hAnsi="Calibri"/>
          <w:sz w:val="20"/>
          <w:szCs w:val="20"/>
        </w:rPr>
        <w:t xml:space="preserve"> a six-month misdemeanor can come in only under 609(a)(2). If the statute covers several forms of conduct, the judge may look to “an indictment, a statement of admitted facts, or jury instructions” (2006 ACN). Tampering with a fact-recording meter arguably is deceit. 609(b)'s ten years applies even to (a)(2) crimes; the end point (testimony or start of trial) is unsettled.</w:t>
      </w:r>
    </w:p>
    <w:p>
      <w:pPr>
        <w:pStyle w:val="Heading2"/>
        <w:keepNext/>
      </w:pPr>
      <w:r>
        <w:t xml:space="preserve">Rehabilitation and Use of Extrinsic Evidence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Concept</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Rehabilitation</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Supporting character for truthfulness after an attack (608(a)).</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Attacks: 608(a), 608(b), 609. </w:t>
            </w:r>
            <w:r>
              <w:rPr>
                <w:rFonts w:ascii="Calibri" w:cs="Calibri" w:eastAsia="Calibri" w:hAnsi="Calibri"/>
                <w:b/>
                <w:bCs/>
                <w:sz w:val="19"/>
                <w:szCs w:val="19"/>
              </w:rPr>
              <w:t xml:space="preserve">Bias is not</w:t>
            </w:r>
            <w:r>
              <w:rPr>
                <w:rFonts w:ascii="Calibri" w:cs="Calibri" w:eastAsia="Calibri" w:hAnsi="Calibri"/>
                <w:sz w:val="19"/>
                <w:szCs w:val="19"/>
              </w:rPr>
              <w:t xml:space="preserve"> a character attack; contradiction counts only if pervasive.</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Bolstering</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Supporting credibility before any attack.</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Impermissible (</w:t>
            </w:r>
            <w:r>
              <w:rPr>
                <w:rFonts w:ascii="Calibri" w:cs="Calibri" w:eastAsia="Calibri" w:hAnsi="Calibri"/>
                <w:i/>
                <w:iCs/>
                <w:sz w:val="19"/>
                <w:szCs w:val="19"/>
              </w:rPr>
              <w:t xml:space="preserve">Bonner</w:t>
            </w:r>
            <w:r>
              <w:rPr>
                <w:rFonts w:ascii="Calibri" w:cs="Calibri" w:eastAsia="Calibri" w:hAnsi="Calibri"/>
                <w:sz w:val="19"/>
                <w:szCs w:val="19"/>
              </w:rPr>
              <w:t xml:space="preserve">). Corroborating facts is fine.</w:t>
            </w:r>
          </w:p>
        </w:tc>
      </w:tr>
      <w:tr>
        <w:trPr>
          <w:cantSplit/>
          <w:tblHeader w:val="false"/>
        </w:trPr>
        <w:tc>
          <w:tcPr>
            <w:tcW w:type="dxa" w:w="36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Use of extrinsic evidence</w:t>
            </w:r>
          </w:p>
        </w:tc>
        <w:tc>
          <w:tcPr>
            <w:tcW w:type="dxa" w:w="5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Proof beyond the witness's own answers.</w:t>
            </w:r>
          </w:p>
        </w:tc>
        <w:tc>
          <w:tcPr>
            <w:tcW w:type="dxa" w:w="55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Barred for 608(b) acts. Allowed for </w:t>
            </w:r>
            <w:r>
              <w:rPr>
                <w:rFonts w:ascii="Calibri" w:cs="Calibri" w:eastAsia="Calibri" w:hAnsi="Calibri"/>
                <w:b/>
                <w:bCs/>
                <w:sz w:val="19"/>
                <w:szCs w:val="19"/>
              </w:rPr>
              <w:t xml:space="preserve">bias</w:t>
            </w:r>
            <w:r>
              <w:rPr>
                <w:rFonts w:ascii="Calibri" w:cs="Calibri" w:eastAsia="Calibri" w:hAnsi="Calibri"/>
                <w:sz w:val="19"/>
                <w:szCs w:val="19"/>
              </w:rPr>
              <w:t xml:space="preserve">, which is not collateral (</w:t>
            </w:r>
            <w:r>
              <w:rPr>
                <w:rFonts w:ascii="Calibri" w:cs="Calibri" w:eastAsia="Calibri" w:hAnsi="Calibri"/>
                <w:i/>
                <w:iCs/>
                <w:sz w:val="19"/>
                <w:szCs w:val="19"/>
              </w:rPr>
              <w:t xml:space="preserve">Abel</w:t>
            </w:r>
            <w:r>
              <w:rPr>
                <w:rFonts w:ascii="Calibri" w:cs="Calibri" w:eastAsia="Calibri" w:hAnsi="Calibri"/>
                <w:sz w:val="19"/>
                <w:szCs w:val="19"/>
              </w:rPr>
              <w:t xml:space="preserve">). For contradiction, governed by Rule 403.</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Bonner (Problem 4.7) (Class 9)</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Seventh Circuit allowed character witnesses for the victim's honesty after the defense implied she gained by cooperating with the government.</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defense's attacks (receiving benefits again; cleared in her own VA investigation; money tied to testifying) went to </w:t>
            </w:r>
            <w:r>
              <w:rPr>
                <w:rFonts w:ascii="Calibri" w:cs="Calibri" w:eastAsia="Calibri" w:hAnsi="Calibri"/>
                <w:b/>
                <w:bCs/>
                <w:sz w:val="19"/>
                <w:szCs w:val="19"/>
              </w:rPr>
              <w:t xml:space="preserve">bias</w:t>
            </w:r>
            <w:r>
              <w:rPr>
                <w:rFonts w:ascii="Calibri" w:cs="Calibri" w:eastAsia="Calibri" w:hAnsi="Calibri"/>
                <w:sz w:val="19"/>
                <w:szCs w:val="19"/>
              </w:rPr>
              <w:t xml:space="preserve">, which the ACN to 608(a) says isn't a character attack. The professor's view: “perhaps both courts erred.”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Collateral matters (contradiction)</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common-law </w:t>
            </w:r>
            <w:r>
              <w:rPr>
                <w:rFonts w:ascii="Calibri" w:cs="Calibri" w:eastAsia="Calibri" w:hAnsi="Calibri"/>
                <w:i/>
                <w:iCs/>
                <w:sz w:val="19"/>
                <w:szCs w:val="19"/>
              </w:rPr>
              <w:t xml:space="preserve">Hitchcock</w:t>
            </w:r>
            <w:r>
              <w:rPr>
                <w:rFonts w:ascii="Calibri" w:cs="Calibri" w:eastAsia="Calibri" w:hAnsi="Calibri"/>
                <w:sz w:val="19"/>
                <w:szCs w:val="19"/>
              </w:rPr>
              <w:t xml:space="preserve"> rule allowed extrinsic evidence to contradict only on a subject provable independently. Courts now use a flexible 403 approach.</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Cross-examining about a collateral point is not extrinsic evidence.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Problem 4.6 — when rehabilitation is allowed (Class 9)</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(1) Admitting he's in business with the defendant's father: bias, so no good-character evidence. (2) Conceding one contradiction (the deli was closed): probably not an attack. (3) Admitting he lied on a loan application: an attack, so opinion or reputation may follow. (4) After a 609(a)(1)(A) robbery conviction, a neighbor vouches for him; on cross the prosecutor may ask about the loan lie (608(b)(2)).</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single contradiction, or bias, doesn't open the door; 608(b) acts and 609 convictions do.</w:t>
            </w:r>
          </w:p>
        </w:tc>
      </w:tr>
    </w:tbl>
    <w:p>
      <w:pPr>
        <w:pStyle w:val="Heading2"/>
        <w:keepNext/>
      </w:pPr>
      <w:r>
        <w:t xml:space="preserve">Critiques and Empirical Evidence on Rule 609</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Source</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Finding</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Why it matters</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Anna Roberts, </w:t>
            </w:r>
            <w:r>
              <w:rPr>
                <w:rFonts w:ascii="Calibri" w:cs="Calibri" w:eastAsia="Calibri" w:hAnsi="Calibri"/>
                <w:i/>
                <w:iCs/>
                <w:sz w:val="19"/>
                <w:szCs w:val="19"/>
              </w:rPr>
              <w:t xml:space="preserve">Conviction by Prior Impeachment</w:t>
            </w:r>
            <w:r>
              <w:rPr>
                <w:rFonts w:ascii="Calibri" w:cs="Calibri" w:eastAsia="Calibri" w:hAnsi="Calibri"/>
                <w:sz w:val="19"/>
                <w:szCs w:val="19"/>
              </w:rPr>
              <w:t xml:space="preserve">, 96 B.U. L. Rev. 1977 (2016) (Class 8)</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It rests on flawed assumptions: stakes and the chance of detection drive lying more than traits, jurors already discount defendants, and limiting instructions don't work. It also deters defendants from testifying and compounds racial disparity.</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Forty-seven states and D.C. permit this impeachment, but only seventeen follow FRE 609 closely.</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Eisenberg &amp; Hans (2009)</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Over 300 trials (Los Angeles, Phoenix, the Bronx, D.C.): 45% of defendants with records testified vs. 62% without. When a defendant with a record testified, 52% of juries learned of it, vs. 9% when he didn't. In weak cases, jury knowledge of a record can more than double the conviction probability (from under 20% to about 50%); there's no significant effect in strong cases.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record for a </w:t>
            </w:r>
            <w:r>
              <w:rPr>
                <w:rFonts w:ascii="Calibri" w:cs="Calibri" w:eastAsia="Calibri" w:hAnsi="Calibri"/>
                <w:i/>
                <w:iCs/>
                <w:sz w:val="19"/>
                <w:szCs w:val="19"/>
              </w:rPr>
              <w:t xml:space="preserve">similar</w:t>
            </w:r>
            <w:r>
              <w:rPr>
                <w:rFonts w:ascii="Calibri" w:cs="Calibri" w:eastAsia="Calibri" w:hAnsi="Calibri"/>
                <w:sz w:val="19"/>
                <w:szCs w:val="19"/>
              </w:rPr>
              <w:t xml:space="preserve"> offense likely biases most. Prosecutors and judges should weigh the effect in close cases; defense counsel should “think long and hard” about having clients testify (Class 8).</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Wissler &amp; Saks (1985)</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Mock jurors' credibility ratings didn't change with prior convictions, but conviction rates rose, and perjury priors were no worse than others.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Jurors use priors as propensity evidence despite limiting instructions (see FRE 105).</w:t>
            </w:r>
          </w:p>
        </w:tc>
      </w:tr>
    </w:tbl>
    <w:p>
      <w:pPr>
        <w:spacing w:after="120"/>
      </w:pPr>
    </w:p>
    <w:p>
      <w:pPr>
        <w:pStyle w:val="Heading1"/>
        <w:keepNext/>
      </w:pPr>
      <w:r>
        <w:t xml:space="preserve">6. The Rape Shield Law — FRE 412 (Week 5)</w:t>
      </w:r>
    </w:p>
    <w:p>
      <w:pPr>
        <w:keepNext/>
        <w:keepLines/>
        <w:spacing w:after="100"/>
      </w:pPr>
      <w:r>
        <w:rPr>
          <w:rFonts w:ascii="Calibri" w:cs="Calibri" w:eastAsia="Calibri" w:hAnsi="Calibri"/>
          <w:b/>
          <w:bCs/>
          <w:sz w:val="20"/>
          <w:szCs w:val="20"/>
        </w:rPr>
        <w:t xml:space="preserve">Historical backdrop:</w:t>
      </w:r>
      <w:r>
        <w:rPr>
          <w:rFonts w:ascii="Calibri" w:cs="Calibri" w:eastAsia="Calibri" w:hAnsi="Calibri"/>
          <w:sz w:val="20"/>
          <w:szCs w:val="20"/>
        </w:rPr>
        <w:t xml:space="preserve"> courts once admitted a complainant's sexual history as bearing on consent and credibility (</w:t>
      </w:r>
      <w:r>
        <w:rPr>
          <w:rFonts w:ascii="Calibri" w:cs="Calibri" w:eastAsia="Calibri" w:hAnsi="Calibri"/>
          <w:i/>
          <w:iCs/>
          <w:sz w:val="20"/>
          <w:szCs w:val="20"/>
        </w:rPr>
        <w:t xml:space="preserve">People v. Abbot</w:t>
      </w:r>
      <w:r>
        <w:rPr>
          <w:rFonts w:ascii="Calibri" w:cs="Calibri" w:eastAsia="Calibri" w:hAnsi="Calibri"/>
          <w:sz w:val="20"/>
          <w:szCs w:val="20"/>
        </w:rPr>
        <w:t xml:space="preserve">; Wigmore). Shield laws of the 1970s ended that. </w:t>
      </w:r>
      <w:r>
        <w:rPr>
          <w:rFonts w:ascii="Calibri" w:cs="Calibri" w:eastAsia="Calibri" w:hAnsi="Calibri"/>
          <w:i/>
          <w:iCs/>
          <w:sz w:val="20"/>
          <w:szCs w:val="20"/>
        </w:rPr>
        <w:t xml:space="preserve">Rule 412's subsections below are summarized from the rule itself; the readings don't reprint its text.</w:t>
      </w:r>
    </w:p>
    <w:p>
      <w:pPr>
        <w:pStyle w:val="Heading2"/>
        <w:keepNext/>
      </w:pPr>
      <w:r>
        <w:t xml:space="preserve">The Shield Law</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The rule</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412(a)</w:t>
            </w:r>
            <w:r>
              <w:rPr>
                <w:rFonts w:ascii="Calibri" w:cs="Calibri" w:eastAsia="Calibri" w:hAnsi="Calibri"/>
                <w:sz w:val="19"/>
                <w:szCs w:val="19"/>
              </w:rPr>
              <w:t xml:space="preserve"> — other sexual behavior or sexual predisposition</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In cases involving alleged sexual misconduct, evidence of a victim's other sexual behavior or sexual predisposition is inadmissible.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Civil and criminal cases. Sexual history says little about consent or credibility (Colb).</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412(b)(1)(A)</w:t>
            </w:r>
            <w:r>
              <w:rPr>
                <w:rFonts w:ascii="Calibri" w:cs="Calibri" w:eastAsia="Calibri" w:hAnsi="Calibri"/>
                <w:sz w:val="19"/>
                <w:szCs w:val="19"/>
              </w:rPr>
              <w:t xml:space="preserve"> — explaining the source of physical evidence</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Specific instances showing someone else was the source of semen, injury, or other physical evidence.</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Criminal cases; specific acts only.</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412(b)(1)(B)</w:t>
            </w:r>
            <w:r>
              <w:rPr>
                <w:rFonts w:ascii="Calibri" w:cs="Calibri" w:eastAsia="Calibri" w:hAnsi="Calibri"/>
                <w:sz w:val="19"/>
                <w:szCs w:val="19"/>
              </w:rPr>
              <w:t xml:space="preserve"> — past sexual behavior with the accused</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Specific instances with the accused, offered by the defendant to prove consent or by the prosecutor.</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Only behavior with the accused.</w:t>
            </w:r>
          </w:p>
        </w:tc>
      </w:tr>
      <w:tr>
        <w:trPr>
          <w:cantSplit/>
          <w:tblHeader w:val="false"/>
        </w:trPr>
        <w:tc>
          <w:tcPr>
            <w:tcW w:type="dxa" w:w="36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412(b)(1)(C)</w:t>
            </w:r>
            <w:r>
              <w:rPr>
                <w:rFonts w:ascii="Calibri" w:cs="Calibri" w:eastAsia="Calibri" w:hAnsi="Calibri"/>
                <w:sz w:val="19"/>
                <w:szCs w:val="19"/>
              </w:rPr>
              <w:t xml:space="preserve"> — constitutional rights</w:t>
            </w:r>
          </w:p>
        </w:tc>
        <w:tc>
          <w:tcPr>
            <w:tcW w:type="dxa" w:w="50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Evidence whose exclusion would violate the defendant's constitutional rights.</w:t>
            </w:r>
          </w:p>
        </w:tc>
        <w:tc>
          <w:tcPr>
            <w:tcW w:type="dxa" w:w="5512"/>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See the next table.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Why 412 exists</w:t>
            </w:r>
            <w:r>
              <w:rPr>
                <w:rFonts w:ascii="Calibri" w:cs="Calibri" w:eastAsia="Calibri" w:hAnsi="Calibri"/>
                <w:sz w:val="19"/>
                <w:szCs w:val="19"/>
              </w:rPr>
              <w:t xml:space="preserve"> (Classes 9–10)</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To stop exploitation of character exceptions: the common-law versions of 404(a)(2)(B) (she consented before, so she consented now) and 608(b) (sexual activity shows untruthfulness).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Anatomy of a Murder</w:t>
            </w:r>
            <w:r>
              <w:rPr>
                <w:rFonts w:ascii="Calibri" w:cs="Calibri" w:eastAsia="Calibri" w:hAnsi="Calibri"/>
                <w:sz w:val="19"/>
                <w:szCs w:val="19"/>
              </w:rPr>
              <w:t xml:space="preserve"> clips show pre-shield cross. Divorce and remarriage can't be justified under 608(b): nothing deceitful (and see 610). Nighttime outings offered under 404(a)(2)(B) would be limited by 405(a) to reputation or opinion.</w:t>
            </w:r>
          </w:p>
        </w:tc>
      </w:tr>
    </w:tbl>
    <w:p>
      <w:pPr>
        <w:spacing w:after="120"/>
      </w:pPr>
    </w:p>
    <w:p>
      <w:pPr>
        <w:pStyle w:val="Heading2"/>
        <w:keepNext/>
      </w:pPr>
      <w:r>
        <w:t xml:space="preserve">The Law in Force: Constitutional Limits, Civil Cases, Procedure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gridCol w:w="5512"/>
      </w:tblGrid>
      <w:tr>
        <w:trPr>
          <w:cantSplit/>
          <w:tblHeader/>
        </w:trPr>
        <w:tc>
          <w:tcPr>
            <w:tcW w:type="dxa" w:w="36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Issue</w:t>
            </w:r>
          </w:p>
        </w:tc>
        <w:tc>
          <w:tcPr>
            <w:tcW w:type="dxa" w:w="50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In plain English</w:t>
            </w:r>
          </w:p>
        </w:tc>
        <w:tc>
          <w:tcPr>
            <w:tcW w:type="dxa" w:w="55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Watch out for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Proof of bias</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Cross-examination showing a motive to fabricate is constitutionally protected.</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Olden v. Kentucky</w:t>
            </w:r>
            <w:r>
              <w:rPr>
                <w:rFonts w:ascii="Calibri" w:cs="Calibri" w:eastAsia="Calibri" w:hAnsi="Calibri"/>
                <w:sz w:val="19"/>
                <w:szCs w:val="19"/>
              </w:rPr>
              <w:t xml:space="preserve">: the complainant's relationship gave her a motive to lie.</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Narrative integrity and the defendant's state of mind</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Usually </w:t>
            </w:r>
            <w:r>
              <w:rPr>
                <w:rFonts w:ascii="Calibri" w:cs="Calibri" w:eastAsia="Calibri" w:hAnsi="Calibri"/>
                <w:b/>
                <w:bCs/>
                <w:sz w:val="19"/>
                <w:szCs w:val="19"/>
              </w:rPr>
              <w:t xml:space="preserve">not</w:t>
            </w:r>
            <w:r>
              <w:rPr>
                <w:rFonts w:ascii="Calibri" w:cs="Calibri" w:eastAsia="Calibri" w:hAnsi="Calibri"/>
                <w:sz w:val="19"/>
                <w:szCs w:val="19"/>
              </w:rPr>
              <w:t xml:space="preserve"> enough to override the shield.</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Stephens v. Miller</w:t>
            </w:r>
            <w:r>
              <w:rPr>
                <w:rFonts w:ascii="Calibri" w:cs="Calibri" w:eastAsia="Calibri" w:hAnsi="Calibri"/>
                <w:sz w:val="19"/>
                <w:szCs w:val="19"/>
              </w:rPr>
              <w:t xml:space="preserve"> (res gestae rejected); </w:t>
            </w:r>
            <w:r>
              <w:rPr>
                <w:rFonts w:ascii="Calibri" w:cs="Calibri" w:eastAsia="Calibri" w:hAnsi="Calibri"/>
                <w:i/>
                <w:iCs/>
                <w:sz w:val="19"/>
                <w:szCs w:val="19"/>
              </w:rPr>
              <w:t xml:space="preserve">United States v. Knox</w:t>
            </w:r>
            <w:r>
              <w:rPr>
                <w:rFonts w:ascii="Calibri" w:cs="Calibri" w:eastAsia="Calibri" w:hAnsi="Calibri"/>
                <w:sz w:val="19"/>
                <w:szCs w:val="19"/>
              </w:rPr>
              <w:t xml:space="preserve"> (belief in consent).</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Past allegedly false accusations</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Not "sexual behavior," so outside 412, but subject to 403, 404 and 608.</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State v. Smith</w:t>
            </w:r>
            <w:r>
              <w:rPr>
                <w:rFonts w:ascii="Calibri" w:cs="Calibri" w:eastAsia="Calibri" w:hAnsi="Calibri"/>
                <w:sz w:val="19"/>
                <w:szCs w:val="19"/>
              </w:rPr>
              <w:t xml:space="preserve">; circuits split on constitutional protection.</w:t>
            </w:r>
          </w:p>
        </w:tc>
      </w:tr>
      <w:tr>
        <w:trPr>
          <w:cantSplit/>
          <w:tblHeader w:val="false"/>
        </w:trPr>
        <w:tc>
          <w:tcPr>
            <w:tcW w:type="dxa" w:w="36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FRE 412(b)(2)</w:t>
            </w:r>
            <w:r>
              <w:rPr>
                <w:rFonts w:ascii="Calibri" w:cs="Calibri" w:eastAsia="Calibri" w:hAnsi="Calibri"/>
                <w:sz w:val="19"/>
                <w:szCs w:val="19"/>
              </w:rPr>
              <w:t xml:space="preserve"> — civil cases</w:t>
            </w:r>
          </w:p>
        </w:tc>
        <w:tc>
          <w:tcPr>
            <w:tcW w:type="dxa" w:w="50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Admissible only if probative value </w:t>
            </w:r>
            <w:r>
              <w:rPr>
                <w:rFonts w:ascii="Calibri" w:cs="Calibri" w:eastAsia="Calibri" w:hAnsi="Calibri"/>
                <w:b/>
                <w:bCs/>
                <w:sz w:val="19"/>
                <w:szCs w:val="19"/>
              </w:rPr>
              <w:t xml:space="preserve">substantially outweighs</w:t>
            </w:r>
            <w:r>
              <w:rPr>
                <w:rFonts w:ascii="Calibri" w:cs="Calibri" w:eastAsia="Calibri" w:hAnsi="Calibri"/>
                <w:sz w:val="19"/>
                <w:szCs w:val="19"/>
              </w:rPr>
              <w:t xml:space="preserve"> harm to the victim and unfair prejudice to any party; reputation only if the victim placed it in controversy.</w:t>
            </w:r>
          </w:p>
        </w:tc>
        <w:tc>
          <w:tcPr>
            <w:tcW w:type="dxa" w:w="55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Jones v. Clinton</w:t>
            </w:r>
            <w:r>
              <w:rPr>
                <w:rFonts w:ascii="Calibri" w:cs="Calibri" w:eastAsia="Calibri" w:hAnsi="Calibri"/>
                <w:sz w:val="19"/>
                <w:szCs w:val="19"/>
              </w:rPr>
              <w:t xml:space="preserve"> (Problem 5.9).</w:t>
            </w:r>
          </w:p>
        </w:tc>
      </w:tr>
      <w:tr>
        <w:trPr>
          <w:cantSplit/>
          <w:tblHeader w:val="false"/>
        </w:trPr>
        <w:tc>
          <w:tcPr>
            <w:tcW w:type="dxa" w:w="3600"/>
            <w:tcMar>
              <w:top w:type="dxa" w:w="60"/>
              <w:left w:type="dxa" w:w="100"/>
              <w:bottom w:type="dxa" w:w="60"/>
              <w:right w:type="dxa" w:w="100"/>
            </w:tcMar>
          </w:tcPr>
          <w:p>
            <w:pPr>
              <w:keepNext w:val="false"/>
              <w:keepLines/>
              <w:spacing w:after="0" w:before="0" w:line="250"/>
            </w:pPr>
            <w:r>
              <w:rPr>
                <w:rFonts w:ascii="Calibri" w:cs="Calibri" w:eastAsia="Calibri" w:hAnsi="Calibri"/>
                <w:b/>
                <w:bCs/>
                <w:sz w:val="19"/>
                <w:szCs w:val="19"/>
              </w:rPr>
              <w:t xml:space="preserve">FRE 412(c)</w:t>
            </w:r>
            <w:r>
              <w:rPr>
                <w:rFonts w:ascii="Calibri" w:cs="Calibri" w:eastAsia="Calibri" w:hAnsi="Calibri"/>
                <w:sz w:val="19"/>
                <w:szCs w:val="19"/>
              </w:rPr>
              <w:t xml:space="preserve"> — procedure</w:t>
            </w:r>
          </w:p>
        </w:tc>
        <w:tc>
          <w:tcPr>
            <w:tcW w:type="dxa" w:w="50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Written motion (generally 14 days before trial), notice, in camera hearing, sealed record.</w:t>
            </w:r>
          </w:p>
        </w:tc>
        <w:tc>
          <w:tcPr>
            <w:tcW w:type="dxa" w:w="55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History:</w:t>
            </w:r>
            <w:r>
              <w:rPr>
                <w:rFonts w:ascii="Calibri" w:cs="Calibri" w:eastAsia="Calibri" w:hAnsi="Calibri"/>
                <w:sz w:val="19"/>
                <w:szCs w:val="19"/>
              </w:rPr>
              <w:t xml:space="preserve"> </w:t>
            </w:r>
            <w:r>
              <w:rPr>
                <w:rFonts w:ascii="Calibri" w:cs="Calibri" w:eastAsia="Calibri" w:hAnsi="Calibri"/>
                <w:i/>
                <w:iCs/>
                <w:sz w:val="19"/>
                <w:szCs w:val="19"/>
              </w:rPr>
              <w:t xml:space="preserve">People v. Abbot</w:t>
            </w:r>
            <w:r>
              <w:rPr>
                <w:rFonts w:ascii="Calibri" w:cs="Calibri" w:eastAsia="Calibri" w:hAnsi="Calibri"/>
                <w:sz w:val="19"/>
                <w:szCs w:val="19"/>
              </w:rPr>
              <w:t xml:space="preserve"> (N.Y. 1838); </w:t>
            </w:r>
            <w:r>
              <w:rPr>
                <w:rFonts w:ascii="Calibri" w:cs="Calibri" w:eastAsia="Calibri" w:hAnsi="Calibri"/>
                <w:i/>
                <w:iCs/>
                <w:sz w:val="19"/>
                <w:szCs w:val="19"/>
              </w:rPr>
              <w:t xml:space="preserve">State v. Sibley</w:t>
            </w:r>
            <w:r>
              <w:rPr>
                <w:rFonts w:ascii="Calibri" w:cs="Calibri" w:eastAsia="Calibri" w:hAnsi="Calibri"/>
                <w:sz w:val="19"/>
                <w:szCs w:val="19"/>
              </w:rPr>
              <w:t xml:space="preserve"> (Mo. 1895); Wigmore § 924a</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i/>
                <w:iCs/>
                <w:sz w:val="19"/>
                <w:szCs w:val="19"/>
              </w:rPr>
              <w:t xml:space="preserve">Abbot</w:t>
            </w:r>
            <w:r>
              <w:rPr>
                <w:rFonts w:ascii="Calibri" w:cs="Calibri" w:eastAsia="Calibri" w:hAnsi="Calibri"/>
                <w:sz w:val="19"/>
                <w:szCs w:val="19"/>
              </w:rPr>
              <w:t xml:space="preserve"> admitted a complainant's past unchastity on consent. </w:t>
            </w:r>
            <w:r>
              <w:rPr>
                <w:rFonts w:ascii="Calibri" w:cs="Calibri" w:eastAsia="Calibri" w:hAnsi="Calibri"/>
                <w:i/>
                <w:iCs/>
                <w:sz w:val="19"/>
                <w:szCs w:val="19"/>
              </w:rPr>
              <w:t xml:space="preserve">Sibley</w:t>
            </w:r>
            <w:r>
              <w:rPr>
                <w:rFonts w:ascii="Calibri" w:cs="Calibri" w:eastAsia="Calibri" w:hAnsi="Calibri"/>
                <w:sz w:val="19"/>
                <w:szCs w:val="19"/>
              </w:rPr>
              <w:t xml:space="preserve"> held a man's unchastity says nothing about his veracity, though a woman's does: the double standard. Wigmore urged a physician's examination of every complainant.</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By 1976 over half the states had shield laws; now forty-eight states, the federal government and the military do. See also Estrich, </w:t>
            </w:r>
            <w:r>
              <w:rPr>
                <w:rFonts w:ascii="Calibri" w:cs="Calibri" w:eastAsia="Calibri" w:hAnsi="Calibri"/>
                <w:i/>
                <w:iCs/>
                <w:sz w:val="19"/>
                <w:szCs w:val="19"/>
              </w:rPr>
              <w:t xml:space="preserve">Real Rape</w:t>
            </w: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State v. Smith</w:t>
            </w:r>
            <w:r>
              <w:rPr>
                <w:rFonts w:ascii="Calibri" w:cs="Calibri" w:eastAsia="Calibri" w:hAnsi="Calibri"/>
                <w:sz w:val="19"/>
                <w:szCs w:val="19"/>
              </w:rPr>
              <w:t xml:space="preserve"> test (La. 1999)</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For past false accusations, the judge asks whether reasonable jurors could find the victim made prior false accusations (the </w:t>
            </w:r>
            <w:r>
              <w:rPr>
                <w:rFonts w:ascii="Calibri" w:cs="Calibri" w:eastAsia="Calibri" w:hAnsi="Calibri"/>
                <w:i/>
                <w:iCs/>
                <w:sz w:val="19"/>
                <w:szCs w:val="19"/>
              </w:rPr>
              <w:t xml:space="preserve">Huddleston</w:t>
            </w:r>
            <w:r>
              <w:rPr>
                <w:rFonts w:ascii="Calibri" w:cs="Calibri" w:eastAsia="Calibri" w:hAnsi="Calibri"/>
                <w:sz w:val="19"/>
                <w:szCs w:val="19"/>
              </w:rPr>
              <w:t xml:space="preserve"> standard), not whether the judge believes they were false.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Conviction reversed because the case turned on the victim's credibility. Problem 5.4 (Smith on Remand).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Davis v. Alaska</w:t>
            </w:r>
            <w:r>
              <w:rPr>
                <w:rFonts w:ascii="Calibri" w:cs="Calibri" w:eastAsia="Calibri" w:hAnsi="Calibri"/>
                <w:sz w:val="19"/>
                <w:szCs w:val="19"/>
              </w:rPr>
              <w:t xml:space="preserve"> (1974) and the confrontation split</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Davis had a right to cross the prosecution's key witness about his probation (bias), which is the foundation for </w:t>
            </w:r>
            <w:r>
              <w:rPr>
                <w:rFonts w:ascii="Calibri" w:cs="Calibri" w:eastAsia="Calibri" w:hAnsi="Calibri"/>
                <w:i/>
                <w:iCs/>
                <w:sz w:val="19"/>
                <w:szCs w:val="19"/>
              </w:rPr>
              <w:t xml:space="preserve">Olden</w:t>
            </w:r>
            <w:r>
              <w:rPr>
                <w:rFonts w:ascii="Calibri" w:cs="Calibri" w:eastAsia="Calibri" w:hAnsi="Calibri"/>
                <w:sz w:val="19"/>
                <w:szCs w:val="19"/>
              </w:rPr>
              <w:t xml:space="preserv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Neither case addresses character-based attacks. Circuits split on past false complaints (</w:t>
            </w:r>
            <w:r>
              <w:rPr>
                <w:rFonts w:ascii="Calibri" w:cs="Calibri" w:eastAsia="Calibri" w:hAnsi="Calibri"/>
                <w:i/>
                <w:iCs/>
                <w:sz w:val="19"/>
                <w:szCs w:val="19"/>
              </w:rPr>
              <w:t xml:space="preserve">Boggs v. Collins</w:t>
            </w:r>
            <w:r>
              <w:rPr>
                <w:rFonts w:ascii="Calibri" w:cs="Calibri" w:eastAsia="Calibri" w:hAnsi="Calibri"/>
                <w:sz w:val="19"/>
                <w:szCs w:val="19"/>
              </w:rPr>
              <w:t xml:space="preserve">, 6th Cir.; </w:t>
            </w:r>
            <w:r>
              <w:rPr>
                <w:rFonts w:ascii="Calibri" w:cs="Calibri" w:eastAsia="Calibri" w:hAnsi="Calibri"/>
                <w:i/>
                <w:iCs/>
                <w:sz w:val="19"/>
                <w:szCs w:val="19"/>
              </w:rPr>
              <w:t xml:space="preserve">Sussman v. Jenkins</w:t>
            </w:r>
            <w:r>
              <w:rPr>
                <w:rFonts w:ascii="Calibri" w:cs="Calibri" w:eastAsia="Calibri" w:hAnsi="Calibri"/>
                <w:sz w:val="19"/>
                <w:szCs w:val="19"/>
              </w:rPr>
              <w:t xml:space="preserve">, 7th Cir.).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Chambers v. Mississippi</w:t>
            </w:r>
            <w:r>
              <w:rPr>
                <w:rFonts w:ascii="Calibri" w:cs="Calibri" w:eastAsia="Calibri" w:hAnsi="Calibri"/>
                <w:sz w:val="19"/>
                <w:szCs w:val="19"/>
              </w:rPr>
              <w:t xml:space="preserve"> (1973)</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Defendants sometimes have a constitutional right to offer evidence critical to their defense despite the evidence rules.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That right may bow to legitimate interests, such as 412's goals of encouraging reports and protecting privacy (</w:t>
            </w:r>
            <w:r>
              <w:rPr>
                <w:rFonts w:ascii="Calibri" w:cs="Calibri" w:eastAsia="Calibri" w:hAnsi="Calibri"/>
                <w:i/>
                <w:iCs/>
                <w:sz w:val="19"/>
                <w:szCs w:val="19"/>
              </w:rPr>
              <w:t xml:space="preserve">Knox</w:t>
            </w:r>
            <w:r>
              <w:rPr>
                <w:rFonts w:ascii="Calibri" w:cs="Calibri" w:eastAsia="Calibri" w:hAnsi="Calibri"/>
                <w:sz w:val="19"/>
                <w:szCs w:val="19"/>
              </w:rPr>
              <w:t xml:space="preserve">). Res gestae has no federal constitutional significance (</w:t>
            </w:r>
            <w:r>
              <w:rPr>
                <w:rFonts w:ascii="Calibri" w:cs="Calibri" w:eastAsia="Calibri" w:hAnsi="Calibri"/>
                <w:i/>
                <w:iCs/>
                <w:sz w:val="19"/>
                <w:szCs w:val="19"/>
              </w:rPr>
              <w:t xml:space="preserve">Stephens</w:t>
            </w:r>
            <w:r>
              <w:rPr>
                <w:rFonts w:ascii="Calibri" w:cs="Calibri" w:eastAsia="Calibri" w:hAnsi="Calibri"/>
                <w:sz w:val="19"/>
                <w:szCs w:val="19"/>
              </w:rPr>
              <w:t xml:space="preserve">).</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Wigmore (1940) and the consequences</w:t>
            </w:r>
            <w:r>
              <w:rPr>
                <w:rFonts w:ascii="Calibri" w:cs="Calibri" w:eastAsia="Calibri" w:hAnsi="Calibri"/>
                <w:sz w:val="19"/>
                <w:szCs w:val="19"/>
              </w:rPr>
              <w:t xml:space="preserve"> (Class 10)</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Wigmore linked chastity with veracity: a propensity to make </w:t>
            </w:r>
            <w:r>
              <w:rPr>
                <w:rFonts w:ascii="Calibri" w:cs="Calibri" w:eastAsia="Calibri" w:hAnsi="Calibri"/>
                <w:i/>
                <w:iCs/>
                <w:sz w:val="19"/>
                <w:szCs w:val="19"/>
              </w:rPr>
              <w:t xml:space="preserve">false accusations</w:t>
            </w:r>
            <w:r>
              <w:rPr>
                <w:rFonts w:ascii="Calibri" w:cs="Calibri" w:eastAsia="Calibri" w:hAnsi="Calibri"/>
                <w:sz w:val="19"/>
                <w:szCs w:val="19"/>
              </w:rPr>
              <w:t xml:space="preserve">, not just to consent. He urged examining every complainant's history and mental makeup, presuming that sexually active women fabricate.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real purpose was deciding who was “worthy” of protection, not accuracy. Results: victims were violated twice, fewer prosecuted, and fewer guilty men were convicted.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Estrich, Real Rape</w:t>
            </w:r>
            <w:r>
              <w:rPr>
                <w:rFonts w:ascii="Calibri" w:cs="Calibri" w:eastAsia="Calibri" w:hAnsi="Calibri"/>
                <w:sz w:val="19"/>
                <w:szCs w:val="19"/>
              </w:rPr>
              <w:t xml:space="preserve"> (1987) (Class 9)</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Courts' treatment of rape reflected distrust of women; corroboration requirements said “we don't trust you.” The “modern realist rule” let defendants call past partners to describe the complainant's sexual history.</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Men could hide behind a victim's “unchastity” whether or not they knew of it.</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Colb</w:t>
            </w:r>
            <w:r>
              <w:rPr>
                <w:rFonts w:ascii="Calibri" w:cs="Calibri" w:eastAsia="Calibri" w:hAnsi="Calibri"/>
                <w:sz w:val="19"/>
                <w:szCs w:val="19"/>
              </w:rPr>
              <w:t xml:space="preserve">, 79 N.C. L. Rev. 939 (2001) (Class 10)</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Dating-frequency data might inform a bet on consent, but once there's a sworn accusation of non-consent, that statement overwhelms propensity data. A false rape accusation is so heinous that sexually active women are no likelier to make one.</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So prior inclination to consent becomes irrelevant (402).</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Galvin's proposed rule</w:t>
            </w:r>
            <w:r>
              <w:rPr>
                <w:rFonts w:ascii="Calibri" w:cs="Calibri" w:eastAsia="Calibri" w:hAnsi="Calibri"/>
                <w:sz w:val="19"/>
                <w:szCs w:val="19"/>
              </w:rPr>
              <w:t xml:space="preserve">, 70 Minn. L. Rev. 763 (1986) (Class 10)</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Bar consensual sexual conduct with others only “to support the inference that a person who has previously engaged in consensual sexual conduct is for that reason more likely to consent”; allow other purposes, as under 404(b).</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Prior conduct with the accused (consent) and with others (alternative source of physical consequences) don't rest on “unchaste character.”</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Smith</w:t>
            </w:r>
            <w:r>
              <w:rPr>
                <w:rFonts w:ascii="Calibri" w:cs="Calibri" w:eastAsia="Calibri" w:hAnsi="Calibri"/>
                <w:sz w:val="19"/>
                <w:szCs w:val="19"/>
              </w:rPr>
              <w:t xml:space="preserve"> — facts and the professor's take (Class 10)</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12-year-old step-granddaughter alleged touching, with no physical evidence. The defense wanted to cross the mother's friend about the girl's recanted accusation against her cousin. After a hearing, the trial judge found no false allegations.</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La. art. 412 reaches past sexual </w:t>
            </w:r>
            <w:r>
              <w:rPr>
                <w:rFonts w:ascii="Calibri" w:cs="Calibri" w:eastAsia="Calibri" w:hAnsi="Calibri"/>
                <w:i/>
                <w:iCs/>
                <w:sz w:val="19"/>
                <w:szCs w:val="19"/>
              </w:rPr>
              <w:t xml:space="preserve">behavior</w:t>
            </w:r>
            <w:r>
              <w:rPr>
                <w:rFonts w:ascii="Calibri" w:cs="Calibri" w:eastAsia="Calibri" w:hAnsi="Calibri"/>
                <w:sz w:val="19"/>
                <w:szCs w:val="19"/>
              </w:rPr>
              <w:t xml:space="preserve">, not </w:t>
            </w:r>
            <w:r>
              <w:rPr>
                <w:rFonts w:ascii="Calibri" w:cs="Calibri" w:eastAsia="Calibri" w:hAnsi="Calibri"/>
                <w:i/>
                <w:iCs/>
                <w:sz w:val="19"/>
                <w:szCs w:val="19"/>
              </w:rPr>
              <w:t xml:space="preserve">allegations</w:t>
            </w:r>
            <w:r>
              <w:rPr>
                <w:rFonts w:ascii="Calibri" w:cs="Calibri" w:eastAsia="Calibri" w:hAnsi="Calibri"/>
                <w:sz w:val="19"/>
                <w:szCs w:val="19"/>
              </w:rPr>
              <w:t xml:space="preserve">; this was impeachment, not unchastity. No 412 hearing was needed, and the evidence should have been admitted.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Olden</w:t>
            </w:r>
            <w:r>
              <w:rPr>
                <w:rFonts w:ascii="Calibri" w:cs="Calibri" w:eastAsia="Calibri" w:hAnsi="Calibri"/>
                <w:sz w:val="19"/>
                <w:szCs w:val="19"/>
              </w:rPr>
              <w:t xml:space="preserve"> — facts (Class 10)</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complainant (separated and living with Bill Russell) said Olden kidnapped and raped her. Olden claimed consent, and that she lied so Russell wouldn't learn of it. Evidence of the cohabitation was excluded even after she testified she lived with her mother. He was acquitted of kidnapping and rape but convicted of sodomy.</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Barring cross on a “prototypical form of bias” violated the Confrontation Clause (incorporated against states), since her testimony was crucial and corroborated only by the possibly biased Russell. Reversed.</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Problem 5.2, Images</w:t>
            </w:r>
            <w:r>
              <w:rPr>
                <w:rFonts w:ascii="Calibri" w:cs="Calibri" w:eastAsia="Calibri" w:hAnsi="Calibri"/>
                <w:sz w:val="19"/>
                <w:szCs w:val="19"/>
              </w:rPr>
              <w:t xml:space="preserve"> (</w:t>
            </w:r>
            <w:r>
              <w:rPr>
                <w:rFonts w:ascii="Calibri" w:cs="Calibri" w:eastAsia="Calibri" w:hAnsi="Calibri"/>
                <w:i/>
                <w:iCs/>
                <w:sz w:val="19"/>
                <w:szCs w:val="19"/>
              </w:rPr>
              <w:t xml:space="preserve">United States v. Walker</w:t>
            </w:r>
            <w:r>
              <w:rPr>
                <w:rFonts w:ascii="Calibri" w:cs="Calibri" w:eastAsia="Calibri" w:hAnsi="Calibri"/>
                <w:sz w:val="19"/>
                <w:szCs w:val="19"/>
              </w:rPr>
              <w:t xml:space="preserve">, 8th Cir. 2019) (Class 10)</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defendant was convicted of enticing a minor to produce sexual images and sought to show the boy sent images to other men. That is “other sexual behavior” (the ACN's concept is broad, even fantasies). Is it within 412(b)(1)(A)'s “source of physical evidence”? Digital images arguably count.</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Excluded: he offered general conduct, not “specific instances.” Does “specific” mean single acts, or discrete acts as opposed to reputation? A 412(c)(2) hearing could have sorted it out.</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Problem 5.6, Sexting/Texting</w:t>
            </w:r>
            <w:r>
              <w:rPr>
                <w:rFonts w:ascii="Calibri" w:cs="Calibri" w:eastAsia="Calibri" w:hAnsi="Calibri"/>
                <w:sz w:val="19"/>
                <w:szCs w:val="19"/>
              </w:rPr>
              <w:t xml:space="preserve"> (Class 10)</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judge admitted that the niece lied about “texting” but not the “sexting” content.</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Lies go to truthfulness (608(b)); allegedly false prior claims aren't barred by 412 (ACN). Calling it “sexting” may be more probative, or simply more embarrassing.</w:t>
            </w:r>
          </w:p>
        </w:tc>
      </w:tr>
      <w:tr>
        <w:trPr>
          <w:cantSplit/>
          <w:tblHeader w:val="false"/>
        </w:trPr>
        <w:tc>
          <w:tcPr>
            <w:tcW w:type="dxa" w:w="3600"/>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Problem 5.9, Jones v. Clinton</w:t>
            </w:r>
            <w:r>
              <w:rPr>
                <w:rFonts w:ascii="Calibri" w:cs="Calibri" w:eastAsia="Calibri" w:hAnsi="Calibri"/>
                <w:sz w:val="19"/>
                <w:szCs w:val="19"/>
              </w:rPr>
              <w:t xml:space="preserve"> (Class 10)</w:t>
            </w:r>
          </w:p>
        </w:tc>
        <w:tc>
          <w:tcPr>
            <w:tcW w:type="dxa" w:w="50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Clinton's lawyer threatened Paula Jones's sexual history: “a two-way street”? Reputation only if she put it in controversy (arguably yes, since she claimed reputational damage), and probative value must substantially outweigh harm and prejudice: heavily weighted against admission.</w:t>
            </w:r>
          </w:p>
        </w:tc>
        <w:tc>
          <w:tcPr>
            <w:tcW w:type="dxa" w:w="5512"/>
            <w:tcMar>
              <w:top w:type="dxa" w:w="60"/>
              <w:left w:type="dxa" w:w="100"/>
              <w:bottom w:type="dxa" w:w="60"/>
              <w:right w:type="dxa" w:w="100"/>
            </w:tcMar>
          </w:tcPr>
          <w:p>
            <w:pPr>
              <w:keepNext/>
              <w:keepLines/>
              <w:spacing w:after="0" w:before="0" w:line="250"/>
            </w:pPr>
            <w:r>
              <w:rPr>
                <w:rFonts w:ascii="Calibri" w:cs="Calibri" w:eastAsia="Calibri" w:hAnsi="Calibri"/>
                <w:b/>
                <w:bCs/>
                <w:sz w:val="19"/>
                <w:szCs w:val="19"/>
              </w:rPr>
              <w:t xml:space="preserve">Why victims' and defendants' histories differ:</w:t>
            </w:r>
            <w:r>
              <w:rPr>
                <w:rFonts w:ascii="Calibri" w:cs="Calibri" w:eastAsia="Calibri" w:hAnsi="Calibri"/>
                <w:sz w:val="19"/>
                <w:szCs w:val="19"/>
              </w:rPr>
              <w:t xml:space="preserve"> (1) shield laws protect victims to encourage reporting; (2) victims have privacy in non-criminal sex lives, while offenders don't; (3) a victim's history cuts both ways (frequent consent also shows she doesn't readily accuse), but a defendant's prior rapes don't.</w:t>
            </w:r>
          </w:p>
        </w:tc>
      </w:tr>
    </w:tbl>
    <w:p>
      <w:pPr>
        <w:spacing w:after="120"/>
      </w:pPr>
    </w:p>
    <w:p>
      <w:pPr>
        <w:keepNext/>
        <w:keepLines/>
        <w:spacing w:after="100"/>
      </w:pPr>
      <w:r>
        <w:rPr>
          <w:rFonts w:ascii="Calibri" w:cs="Calibri" w:eastAsia="Calibri" w:hAnsi="Calibri"/>
          <w:b/>
          <w:bCs/>
          <w:sz w:val="20"/>
          <w:szCs w:val="20"/>
        </w:rPr>
        <w:t xml:space="preserve">Galvin's critique:</w:t>
      </w:r>
      <w:r>
        <w:rPr>
          <w:rFonts w:ascii="Calibri" w:cs="Calibri" w:eastAsia="Calibri" w:hAnsi="Calibri"/>
          <w:sz w:val="20"/>
          <w:szCs w:val="20"/>
        </w:rPr>
        <w:t xml:space="preserve"> a better rule would bar only the propensity inferences (consent; unworthiness of belief) and allow other uses, like 404(b).</w:t>
      </w:r>
    </w:p>
    <w:p>
      <w:pPr>
        <w:pStyle w:val="Heading1"/>
        <w:keepNext/>
      </w:pPr>
      <w:r>
        <w:t xml:space="preserve">7. Plain-English Glossary</w:t>
      </w:r>
    </w:p>
    <w:p>
      <w:pPr>
        <w:pStyle w:val="Heading2"/>
        <w:keepNext/>
      </w:pPr>
      <w:r>
        <w:t xml:space="preserve">Terms A–L</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400"/>
        <w:gridCol w:w="10712"/>
      </w:tblGrid>
      <w:tr>
        <w:trPr>
          <w:cantSplit/>
          <w:tblHeader/>
        </w:trPr>
        <w:tc>
          <w:tcPr>
            <w:tcW w:type="dxa" w:w="34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Term</w:t>
            </w:r>
          </w:p>
        </w:tc>
        <w:tc>
          <w:tcPr>
            <w:tcW w:type="dxa" w:w="107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What it means</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Abuse of discretion</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deferential standard for reviewing a judge's evidence rulings; reversal is rare.</w:t>
            </w:r>
          </w:p>
        </w:tc>
      </w:tr>
      <w:tr>
        <w:trPr>
          <w:cantSplit/>
          <w:tblHeader w:val="false"/>
        </w:trPr>
        <w:tc>
          <w:tcPr>
            <w:tcW w:type="dxa" w:w="34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Admissible</w:t>
            </w:r>
          </w:p>
        </w:tc>
        <w:tc>
          <w:tcPr>
            <w:tcW w:type="dxa" w:w="107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Allowed to be shown to the jury.</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Beyond a reasonable doubt</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high criminal standard of proof.</w:t>
            </w:r>
          </w:p>
        </w:tc>
      </w:tr>
      <w:tr>
        <w:trPr>
          <w:cantSplit/>
          <w:tblHeader w:val="false"/>
        </w:trPr>
        <w:tc>
          <w:tcPr>
            <w:tcW w:type="dxa" w:w="34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Bias</w:t>
            </w:r>
          </w:p>
        </w:tc>
        <w:tc>
          <w:tcPr>
            <w:tcW w:type="dxa" w:w="107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reason to shade testimony in this case, such as friendship, money or fear.</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Bolstering</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Propping up a witness before any attack (not allowed).</w:t>
            </w:r>
          </w:p>
        </w:tc>
      </w:tr>
      <w:tr>
        <w:trPr>
          <w:cantSplit/>
          <w:tblHeader w:val="false"/>
        </w:trPr>
        <w:tc>
          <w:tcPr>
            <w:tcW w:type="dxa" w:w="34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Collateral matter</w:t>
            </w:r>
          </w:p>
        </w:tc>
        <w:tc>
          <w:tcPr>
            <w:tcW w:type="dxa" w:w="107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side issue that doesn't bear on the main questions.</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Crimen falsi</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crime whose essence is lying or deceit.</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Demonstrative evidence</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An exhibit, like a model or animation, that illustrates other evidence and is itself admitted.</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Doctrine of chances</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idea that repeated unusual “accidents” are objectively too improbable to be innocent.</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Extraneous information</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Facts reaching the jury from outside the trial, such as news reports.</w:t>
            </w:r>
          </w:p>
        </w:tc>
      </w:tr>
      <w:tr>
        <w:trPr>
          <w:cantSplit/>
          <w:tblHeader w:val="false"/>
        </w:trPr>
        <w:tc>
          <w:tcPr>
            <w:tcW w:type="dxa" w:w="34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Extrinsic evidence</w:t>
            </w:r>
          </w:p>
        </w:tc>
        <w:tc>
          <w:tcPr>
            <w:tcW w:type="dxa" w:w="107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Proof from another witness or a document, beyond the witness's own answers.</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Habit</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specific, regular, semi-automatic response to a repeated situation.</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Illustrative aid</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chart or sketch that helps jurors follow the evidence but isn't itself evidence.</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Impeachment</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Attacking a witness's believability.</w:t>
            </w:r>
          </w:p>
        </w:tc>
      </w:tr>
      <w:tr>
        <w:trPr>
          <w:cantSplit/>
          <w:tblHeader w:val="false"/>
        </w:trPr>
        <w:tc>
          <w:tcPr>
            <w:tcW w:type="dxa" w:w="3400"/>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Limiting instruction</w:t>
            </w:r>
          </w:p>
        </w:tc>
        <w:tc>
          <w:tcPr>
            <w:tcW w:type="dxa" w:w="10712"/>
            <w:shd w:fill="F2F5FA" w:color="auto" w:val="clear"/>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The judge telling jurors to use evidence only for one purpose.</w:t>
            </w:r>
          </w:p>
        </w:tc>
      </w:tr>
    </w:tbl>
    <w:p>
      <w:pPr>
        <w:spacing w:after="120"/>
      </w:pPr>
    </w:p>
    <w:p>
      <w:pPr>
        <w:pStyle w:val="Heading2"/>
        <w:keepNext/>
      </w:pPr>
      <w:r>
        <w:t xml:space="preserve">Terms M–Z</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400"/>
        <w:gridCol w:w="10712"/>
      </w:tblGrid>
      <w:tr>
        <w:trPr>
          <w:cantSplit/>
          <w:tblHeader/>
        </w:trPr>
        <w:tc>
          <w:tcPr>
            <w:tcW w:type="dxa" w:w="3400"/>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Term</w:t>
            </w:r>
          </w:p>
        </w:tc>
        <w:tc>
          <w:tcPr>
            <w:tcW w:type="dxa" w:w="10712"/>
            <w:shd w:fill="1F3864" w:color="auto" w:val="clear"/>
            <w:tcMar>
              <w:top w:type="dxa" w:w="60"/>
              <w:left w:type="dxa" w:w="100"/>
              <w:bottom w:type="dxa" w:w="60"/>
              <w:right w:type="dxa" w:w="100"/>
            </w:tcMar>
          </w:tcPr>
          <w:p>
            <w:pPr>
              <w:keepNext/>
              <w:keepLines/>
              <w:spacing w:after="0" w:before="0" w:line="250"/>
            </w:pPr>
            <w:r>
              <w:rPr>
                <w:rFonts w:ascii="Calibri" w:cs="Calibri" w:eastAsia="Calibri" w:hAnsi="Calibri"/>
                <w:b/>
                <w:bCs/>
                <w:color w:val="FFFFFF"/>
                <w:sz w:val="19"/>
                <w:szCs w:val="19"/>
              </w:rPr>
              <w:t xml:space="preserve">What it means</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Material</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About a fact of consequence under the law of the case.</w:t>
            </w:r>
          </w:p>
        </w:tc>
      </w:tr>
      <w:tr>
        <w:trPr>
          <w:cantSplit/>
          <w:tblHeader w:val="false"/>
        </w:trPr>
        <w:tc>
          <w:tcPr>
            <w:tcW w:type="dxa" w:w="34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Modus operandi</w:t>
            </w:r>
          </w:p>
        </w:tc>
        <w:tc>
          <w:tcPr>
            <w:tcW w:type="dxa" w:w="107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signature way of committing a crime.</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Motion in limine</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request before trial for a ruling on evidence.</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Nolo contendere</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 plea of “no contest”: the defendant accepts conviction without admitting guilt.</w:t>
            </w:r>
          </w:p>
        </w:tc>
      </w:tr>
      <w:tr>
        <w:trPr>
          <w:cantSplit/>
          <w:tblHeader w:val="false"/>
        </w:trPr>
        <w:tc>
          <w:tcPr>
            <w:tcW w:type="dxa" w:w="34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Other-acts evidence</w:t>
            </w:r>
          </w:p>
        </w:tc>
        <w:tc>
          <w:tcPr>
            <w:tcW w:type="dxa" w:w="107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Evidence of things a person did besides the event on trial.</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Preponderance of the evidence</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More likely than not.</w:t>
            </w:r>
          </w:p>
        </w:tc>
      </w:tr>
      <w:tr>
        <w:trPr>
          <w:cantSplit/>
          <w:tblHeader w:val="false"/>
        </w:trPr>
        <w:tc>
          <w:tcPr>
            <w:tcW w:type="dxa" w:w="34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Probative</w:t>
            </w:r>
          </w:p>
        </w:tc>
        <w:tc>
          <w:tcPr>
            <w:tcW w:type="dxa" w:w="107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Tends to make a fact more or less probable.</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Propensity box</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forbidden inference from character to conduct on a particular occasion.</w:t>
            </w:r>
          </w:p>
        </w:tc>
      </w:tr>
      <w:tr>
        <w:trPr>
          <w:cantSplit/>
          <w:tblHeader w:val="false"/>
        </w:trPr>
        <w:tc>
          <w:tcPr>
            <w:tcW w:type="dxa" w:w="34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Rehabilitation</w:t>
            </w:r>
          </w:p>
        </w:tc>
        <w:tc>
          <w:tcPr>
            <w:tcW w:type="dxa" w:w="107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Restoring a witness's believability after an attack.</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Res gestae</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“The thing done”: surrounding details that complete the story of an event.</w:t>
            </w:r>
          </w:p>
        </w:tc>
      </w:tr>
      <w:tr>
        <w:trPr>
          <w:cantSplit/>
          <w:tblHeader w:val="false"/>
        </w:trPr>
        <w:tc>
          <w:tcPr>
            <w:tcW w:type="dxa" w:w="3400"/>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Stipulation</w:t>
            </w:r>
          </w:p>
        </w:tc>
        <w:tc>
          <w:tcPr>
            <w:tcW w:type="dxa" w:w="10712"/>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An agreement between the parties that a fact is true.</w:t>
            </w:r>
          </w:p>
        </w:tc>
      </w:tr>
      <w:tr>
        <w:trPr>
          <w:cantSplit/>
          <w:tblHeader w:val="false"/>
        </w:trPr>
        <w:tc>
          <w:tcPr>
            <w:tcW w:type="dxa" w:w="3400"/>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Unfair prejudice</w:t>
            </w:r>
          </w:p>
        </w:tc>
        <w:tc>
          <w:tcPr>
            <w:tcW w:type="dxa" w:w="10712"/>
            <w:shd w:fill="F2F5FA" w:color="auto" w:val="clear"/>
            <w:tcMar>
              <w:top w:type="dxa" w:w="60"/>
              <w:left w:type="dxa" w:w="100"/>
              <w:bottom w:type="dxa" w:w="60"/>
              <w:right w:type="dxa" w:w="100"/>
            </w:tcMar>
          </w:tcPr>
          <w:p>
            <w:pPr>
              <w:keepNext/>
              <w:keepLines/>
              <w:spacing w:after="0" w:before="0" w:line="250"/>
            </w:pPr>
            <w:r>
              <w:rPr>
                <w:rFonts w:ascii="Calibri" w:cs="Calibri" w:eastAsia="Calibri" w:hAnsi="Calibri"/>
                <w:sz w:val="19"/>
                <w:szCs w:val="19"/>
              </w:rPr>
              <w:t xml:space="preserve">An undue tendency to suggest decision on an improper basis, commonly an emotional one.</w:t>
            </w:r>
          </w:p>
        </w:tc>
      </w:tr>
      <w:tr>
        <w:trPr>
          <w:cantSplit/>
          <w:tblHeader w:val="false"/>
        </w:trPr>
        <w:tc>
          <w:tcPr>
            <w:tcW w:type="dxa" w:w="3400"/>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Voir dire</w:t>
            </w:r>
          </w:p>
        </w:tc>
        <w:tc>
          <w:tcPr>
            <w:tcW w:type="dxa" w:w="10712"/>
            <w:tcMar>
              <w:top w:type="dxa" w:w="60"/>
              <w:left w:type="dxa" w:w="100"/>
              <w:bottom w:type="dxa" w:w="60"/>
              <w:right w:type="dxa" w:w="100"/>
            </w:tcMar>
          </w:tcPr>
          <w:p>
            <w:pPr>
              <w:keepNext w:val="false"/>
              <w:keepLines/>
              <w:spacing w:after="0" w:before="0" w:line="250"/>
            </w:pPr>
            <w:r>
              <w:rPr>
                <w:rFonts w:ascii="Calibri" w:cs="Calibri" w:eastAsia="Calibri" w:hAnsi="Calibri"/>
                <w:sz w:val="19"/>
                <w:szCs w:val="19"/>
              </w:rPr>
              <w:t xml:space="preserve">Questioning to screen jurors, or a hearing on evidence outside the jury's presence.</w:t>
            </w:r>
          </w:p>
        </w:tc>
      </w:tr>
    </w:tbl>
    <w:p>
      <w:pPr>
        <w:spacing w:after="120"/>
      </w:pPr>
    </w:p>
    <w:sectPr>
      <w:footerReference w:type="default" r:id="rId7"/>
      <w:pgSz w:w="15840" w:h="12240"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Evidence Rule Chart — Weeks 1–5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E559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2026-09-24T19:11:56.042Z</dcterms:created>
  <dcterms:modified xsi:type="dcterms:W3CDTF">2026-09-24T19:11:56.048Z</dcterms:modified>
</cp:coreProperties>
</file>

<file path=docProps/custom.xml><?xml version="1.0" encoding="utf-8"?>
<Properties xmlns="http://schemas.openxmlformats.org/officeDocument/2006/custom-properties" xmlns:vt="http://schemas.openxmlformats.org/officeDocument/2006/docPropsVTypes"/>
</file>