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F3B25F" w14:textId="77777777" w:rsidR="00B844AC" w:rsidRDefault="00F62A06">
      <w:r>
        <w:rPr>
          <w:rFonts w:ascii="Georgia" w:hAnsi="Georgia"/>
          <w:b/>
          <w:color w:val="1F3864"/>
          <w:sz w:val="60"/>
        </w:rPr>
        <w:t>AGENCY &amp; PARTNERSHIP</w:t>
      </w:r>
    </w:p>
    <w:p w14:paraId="6C0EC5E5" w14:textId="77777777" w:rsidR="00B844AC" w:rsidRDefault="00F62A06">
      <w:pPr>
        <w:pBdr>
          <w:bottom w:val="single" w:sz="18" w:space="6" w:color="C55A11"/>
        </w:pBdr>
      </w:pPr>
      <w:r>
        <w:rPr>
          <w:rFonts w:ascii="Georgia" w:hAnsi="Georgia"/>
          <w:color w:val="2E75B6"/>
          <w:sz w:val="32"/>
        </w:rPr>
        <w:t>Condensed Exam Outline  ·  Weeks 1–8</w:t>
      </w:r>
    </w:p>
    <w:p w14:paraId="0DCAC4CD" w14:textId="77777777" w:rsidR="00B844AC" w:rsidRDefault="00F62A06">
      <w:pPr>
        <w:spacing w:before="200"/>
      </w:pPr>
      <w:r>
        <w:rPr>
          <w:color w:val="595959"/>
          <w:sz w:val="22"/>
        </w:rPr>
        <w:t>Business Associations · Prof. Kimberly Richardson · Wilmington University</w:t>
      </w:r>
    </w:p>
    <w:p w14:paraId="3A26614E" w14:textId="77777777" w:rsidR="00B844AC" w:rsidRDefault="00F62A06">
      <w:pPr>
        <w:spacing w:before="120"/>
      </w:pPr>
      <w:r>
        <w:rPr>
          <w:i/>
          <w:color w:val="64748B"/>
        </w:rPr>
        <w:t>◆ Gray italic text</w:t>
      </w:r>
      <w:r>
        <w:t xml:space="preserve"> = general legal knowledge from outside the class materials (not in the slides, casebook, or supplement). Verify before relying on it.</w:t>
      </w:r>
    </w:p>
    <w:p w14:paraId="24E5153D" w14:textId="77777777" w:rsidR="00B844AC" w:rsidRDefault="00F62A06">
      <w:pPr>
        <w:pStyle w:val="Heading1"/>
        <w:shd w:val="clear" w:color="auto" w:fill="1F3864"/>
      </w:pPr>
      <w:bookmarkStart w:id="0" w:name="_Toc243216097"/>
      <w:r>
        <w:rPr>
          <w:b w:val="0"/>
        </w:rPr>
        <w:lastRenderedPageBreak/>
        <w:t>PART I — AGENCY</w:t>
      </w:r>
      <w:bookmarkEnd w:id="0"/>
    </w:p>
    <w:p w14:paraId="036C8C92" w14:textId="77777777" w:rsidR="00B844AC" w:rsidRDefault="00F62A06">
      <w:pPr>
        <w:pStyle w:val="Heading2"/>
        <w:pBdr>
          <w:bottom w:val="single" w:sz="8" w:space="2" w:color="C55A11"/>
        </w:pBdr>
      </w:pPr>
      <w:bookmarkStart w:id="1" w:name="_Toc243216098"/>
      <w:r>
        <w:rPr>
          <w:b w:val="0"/>
        </w:rPr>
        <w:t>1. Creating the Agency Relationship</w:t>
      </w:r>
      <w:bookmarkEnd w:id="1"/>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60D6A2C5" w14:textId="77777777">
        <w:trPr>
          <w:cantSplit/>
          <w:jc w:val="center"/>
        </w:trPr>
        <w:tc>
          <w:tcPr>
            <w:tcW w:w="10080" w:type="dxa"/>
            <w:tcBorders>
              <w:top w:val="nil"/>
              <w:left w:val="single" w:sz="30" w:space="0" w:color="7C3AED"/>
              <w:bottom w:val="nil"/>
              <w:right w:val="nil"/>
            </w:tcBorders>
            <w:shd w:val="clear" w:color="auto" w:fill="F3EEFF"/>
          </w:tcPr>
          <w:p w14:paraId="7659747C" w14:textId="77777777" w:rsidR="00B844AC" w:rsidRDefault="00F62A06">
            <w:pPr>
              <w:spacing w:after="0"/>
            </w:pPr>
            <w:r>
              <w:rPr>
                <w:b/>
                <w:color w:val="6D28D9"/>
                <w:sz w:val="17"/>
              </w:rPr>
              <w:t xml:space="preserve">RULE  </w:t>
            </w:r>
            <w:r>
              <w:t xml:space="preserve">Agency = the fiduciary relationship that arises when a principal manifests assent that an agent shall act on the principal's behalf and subject to the principal's control, and the agent manifests assent or otherwise consents so to act. Restatement (Third) of Agency (R3d) § 1.01; Restatement (Second) of Agency (R2d) § 1.</w:t>
            </w:r>
          </w:p>
        </w:tc>
      </w:tr>
    </w:tbl>
    <w:p w14:paraId="252F44CC" w14:textId="77777777" w:rsidR="00B844AC" w:rsidRDefault="00B844AC">
      <w:pPr>
        <w:spacing w:after="0" w:line="100" w:lineRule="exact"/>
      </w:pPr>
    </w:p>
    <w:p w14:paraId="216F08CC" w14:textId="77777777" w:rsidR="00B844AC" w:rsidRDefault="00F62A06">
      <w:pPr>
        <w:pStyle w:val="Heading3"/>
      </w:pPr>
      <w:r>
        <w:rPr>
          <w:b w:val="0"/>
        </w:rPr>
        <w:t>Why agency law matters</w:t>
      </w:r>
    </w:p>
    <w:p w14:paraId="3BB146E9" w14:textId="77777777" w:rsidR="00B844AC" w:rsidRDefault="00F62A06">
      <w:pPr>
        <w:pStyle w:val="ListBullet"/>
      </w:pPr>
      <w:r>
        <w:t xml:space="preserve">Agency law is how we accomplish things through the services of others: it lets a person broaden the scope of his activities and productivity and keep the net benefit of others' work. Most of the world's work is done through agents, and agency principles apply to every business form (partners, limited liability company (LLC) managers, corporate directors and officers).</w:t>
      </w:r>
    </w:p>
    <w:p w14:paraId="1AFA3974" w14:textId="77777777" w:rsidR="00B844AC" w:rsidRDefault="00F62A06">
      <w:pPr>
        <w:pStyle w:val="ListBullet"/>
      </w:pPr>
      <w:r>
        <w:t>Course lens: read every case as a litigator (what wins in court) and as a transactional lawyer (what entity, filings, and agreement terms would have avoided the fight). For each case ask who should have done what differently, and who could have avoided the loss most cheaply.</w:t>
      </w:r>
    </w:p>
    <w:p w14:paraId="0C7AE4B2" w14:textId="77777777" w:rsidR="00B844AC" w:rsidRDefault="00F62A06">
      <w:pPr>
        <w:pStyle w:val="Heading3"/>
      </w:pPr>
      <w:r>
        <w:rPr>
          <w:b w:val="0"/>
        </w:rPr>
        <w:t>Elements and basics</w:t>
      </w:r>
    </w:p>
    <w:p w14:paraId="61A43410" w14:textId="77777777" w:rsidR="00B844AC" w:rsidRDefault="00F62A06">
      <w:pPr>
        <w:pStyle w:val="ListBullet"/>
      </w:pPr>
      <w:r>
        <w:rPr>
          <w:b/>
        </w:rPr>
        <w:t>Three elements</w:t>
      </w:r>
      <w:r>
        <w:t xml:space="preserve"> (Botticello): </w:t>
      </w:r>
      <w:r>
        <w:rPr>
          <w:color w:val="B91C1C"/>
          <w:shd w:val="clear" w:color="auto" w:fill="FDE2E2"/>
        </w:rPr>
        <w:t xml:space="preserve">(1) principal's (P's) manifestation that the agent (A) will act for P; </w:t>
      </w:r>
      <w:r>
        <w:rPr>
          <w:color w:val="C2410C"/>
          <w:shd w:val="clear" w:color="auto" w:fill="FFE7D1"/>
        </w:rPr>
        <w:t xml:space="preserve">(2) A's acceptance; </w:t>
      </w:r>
      <w:r>
        <w:rPr>
          <w:color w:val="854D0E"/>
          <w:shd w:val="clear" w:color="auto" w:fill="FDF1A8"/>
        </w:rPr>
        <w:t xml:space="preserve">(3) understanding that P controls the undertaking.</w:t>
      </w:r>
    </w:p>
    <w:p w14:paraId="736E3AE0" w14:textId="77777777" w:rsidR="00B844AC" w:rsidRDefault="00F62A06">
      <w:pPr>
        <w:pStyle w:val="ListBullet"/>
      </w:pPr>
      <w:r>
        <w:rPr>
          <w:b/>
        </w:rPr>
        <w:t>Consent is required; a contract is not. Consideration is not required. A writing is generally not required</w:t>
      </w:r>
      <w:r>
        <w:t xml:space="preserve"> — except where the agent will sign Statute of Frauds (SOF) contracts (e.g., land), or the agency itself falls within the SOF (</w:t>
      </w:r>
      <w:r>
        <w:rPr>
          <w:i/>
          <w:color w:val="64748B"/>
        </w:rPr>
        <w:t>◆ the "equal dignities" rule</w:t>
      </w:r>
      <w:r>
        <w:t>; R3d § 3.02 — P may be estopped to deny the missing writing).</w:t>
      </w:r>
    </w:p>
    <w:p w14:paraId="66D5A73F" w14:textId="77777777" w:rsidR="00B844AC" w:rsidRDefault="00F62A06">
      <w:pPr>
        <w:pStyle w:val="ListBullet"/>
      </w:pPr>
      <w:r>
        <w:rPr>
          <w:b/>
        </w:rPr>
        <w:t>Labels don't control</w:t>
      </w:r>
      <w:r>
        <w:t xml:space="preserve"> (R3d § 1.02); agency is judged by actual practices (MJ &amp; Partners; Murphy). Manifestation = words or conduct (§ 1.03).</w:t>
      </w:r>
    </w:p>
    <w:p w14:paraId="2D7E101A" w14:textId="77777777" w:rsidR="00B844AC" w:rsidRDefault="00F62A06">
      <w:pPr>
        <w:pStyle w:val="ListBullet"/>
      </w:pPr>
      <w:r>
        <w:rPr>
          <w:b/>
        </w:rPr>
        <w:t>Control</w:t>
      </w:r>
      <w:r>
        <w:t xml:space="preserve"> can be minimal — directing the result/objective suffices; the right to control, not actual exercise, matters.</w:t>
      </w:r>
    </w:p>
    <w:p w14:paraId="583C84B8" w14:textId="77777777" w:rsidR="00B844AC" w:rsidRDefault="00F62A06">
      <w:pPr>
        <w:pStyle w:val="ListBullet"/>
      </w:pPr>
      <w:r>
        <w:rPr>
          <w:b/>
        </w:rPr>
        <w:t>Capacity:</w:t>
      </w:r>
      <w:r>
        <w:t xml:space="preserve"> P must have contractual capacity (a minor's appointment is voidable); A needs only minimal (mental) capacity (R3d §§ 3.04–3.05).</w:t>
      </w:r>
    </w:p>
    <w:p w14:paraId="24BC676E" w14:textId="77777777" w:rsidR="00B844AC" w:rsidRDefault="00F62A06">
      <w:pPr>
        <w:pStyle w:val="ListBullet"/>
      </w:pPr>
      <w:r>
        <w:rPr>
          <w:b/>
        </w:rPr>
        <w:t>Burden:</w:t>
      </w:r>
      <w:r>
        <w:t xml:space="preserve"> party asserting agency must prove it; may be shown circumstantially by course of dealing.</w:t>
      </w:r>
    </w:p>
    <w:p w14:paraId="6AD89F9B" w14:textId="77777777" w:rsidR="00B844AC" w:rsidRDefault="00F62A06">
      <w:pPr>
        <w:pStyle w:val="ListBullet"/>
      </w:pPr>
      <w:r>
        <w:rPr>
          <w:b/>
        </w:rPr>
        <w:t>Types:</w:t>
      </w:r>
      <w:r>
        <w:t xml:space="preserve"> general agent (continuous series of transactions) vs. special agent (single transaction) (R2d § 3); </w:t>
      </w:r>
      <w:r>
        <w:rPr>
          <w:b/>
        </w:rPr>
        <w:t>subagent</w:t>
      </w:r>
      <w:r>
        <w:t xml:space="preserve"> — appointed by A with actual/apparent authority, A answers to P, subagent is P's fiduciary (R3d §§ 1.04(8), 3.15); </w:t>
      </w:r>
      <w:r>
        <w:rPr>
          <w:b/>
        </w:rPr>
        <w:t>coagents</w:t>
      </w:r>
      <w:r>
        <w:t xml:space="preserve"> — multiple agents of one P (§ 1.04(1)); gratuitous agent (§ 1.04(3)).</w:t>
      </w:r>
    </w:p>
    <w:p w14:paraId="136FE370" w14:textId="77777777" w:rsidR="00B844AC" w:rsidRDefault="00F62A06">
      <w:pPr>
        <w:pStyle w:val="ListBullet"/>
      </w:pPr>
      <w:r>
        <w:rPr>
          <w:b/>
        </w:rPr>
        <w:t>Modes of creation:</w:t>
      </w:r>
      <w:r>
        <w:t xml:space="preserve"> by act/omission of the parties (express/implied agreement; P's conduct leading the third party (T) to believe; ratification) or by operation of law (estoppel; statute).</w:t>
      </w:r>
    </w:p>
    <w:p w14:paraId="46750958" w14:textId="77777777" w:rsidR="00B844AC" w:rsidRDefault="00F62A06">
      <w:pPr>
        <w:pStyle w:val="ListBullet"/>
      </w:pPr>
      <w:r>
        <w:rPr>
          <w:b/>
        </w:rPr>
        <w:t xml:space="preserve">PAT (principal–agent–third party) triangle:</w:t>
      </w:r>
      <w:r>
        <w:t xml:space="preserve"> </w:t>
      </w:r>
      <w:r>
        <w:rPr>
          <w:color w:val="B91C1C"/>
          <w:shd w:val="clear" w:color="auto" w:fill="FDE2E2"/>
        </w:rPr>
        <w:t xml:space="preserve">(1) P–A agency relationship → </w:t>
      </w:r>
      <w:r>
        <w:rPr>
          <w:color w:val="C2410C"/>
          <w:shd w:val="clear" w:color="auto" w:fill="FFE7D1"/>
        </w:rPr>
        <w:t xml:space="preserve">(2) A deals with T → </w:t>
      </w:r>
      <w:r>
        <w:rPr>
          <w:color w:val="854D0E"/>
          <w:shd w:val="clear" w:color="auto" w:fill="FDF1A8"/>
        </w:rPr>
        <w:t xml:space="preserve">(3) creates P's liability to T (contract, or direct/vicarious tort) and maybe A's own.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EEDEA7D" w14:textId="77777777">
        <w:trPr>
          <w:cantSplit/>
          <w:jc w:val="center"/>
        </w:trPr>
        <w:tc>
          <w:tcPr>
            <w:tcW w:w="10080" w:type="dxa"/>
            <w:tcBorders>
              <w:top w:val="nil"/>
              <w:left w:val="single" w:sz="30" w:space="0" w:color="DB2777"/>
              <w:bottom w:val="nil"/>
              <w:right w:val="nil"/>
            </w:tcBorders>
            <w:shd w:val="clear" w:color="auto" w:fill="FDEFF6"/>
          </w:tcPr>
          <w:p w14:paraId="12F43DA7" w14:textId="77777777" w:rsidR="00B844AC" w:rsidRDefault="00F62A06">
            <w:pPr>
              <w:spacing w:after="0"/>
            </w:pPr>
            <w:r>
              <w:rPr>
                <w:b/>
                <w:color w:val="9D174D"/>
                <w:sz w:val="17"/>
              </w:rPr>
              <w:t xml:space="preserve">TIP  </w:t>
            </w:r>
            <w:r>
              <w:t>When the facts are a creditor, franchisor, lender or investor "helping" a struggling business, ask whether it crossed from protecting its investment (veto power, information rights, standards) into running the business (directing which contracts get made, day-to-day control). Compare Cargill (principal) with Martin v. Peyton (lender) and Murphy/Kerl (franchisor).</w:t>
            </w:r>
          </w:p>
        </w:tc>
      </w:tr>
    </w:tbl>
    <w:p w14:paraId="48498770" w14:textId="77777777" w:rsidR="00B844AC" w:rsidRDefault="00B844AC">
      <w:pPr>
        <w:spacing w:after="0" w:line="100" w:lineRule="exact"/>
      </w:pPr>
    </w:p>
    <w:p w14:paraId="47DDBF36" w14:textId="77777777" w:rsidR="00B844AC" w:rsidRDefault="00F62A06">
      <w:pPr>
        <w:pStyle w:val="Heading3"/>
      </w:pPr>
      <w:r>
        <w:rPr>
          <w:b w:val="0"/>
        </w:rPr>
        <w:t>Cases</w:t>
      </w:r>
    </w:p>
    <w:p w14:paraId="20FD4732" w14:textId="77777777" w:rsidR="00B844AC" w:rsidRDefault="00F62A06">
      <w:pPr>
        <w:keepNext/>
        <w:pBdr>
          <w:left w:val="single" w:sz="18" w:space="6" w:color="DC2626"/>
        </w:pBdr>
        <w:spacing w:before="100" w:after="20"/>
        <w:ind w:left="173"/>
      </w:pPr>
      <w:r>
        <w:rPr>
          <w:b/>
          <w:color w:val="B91C1C"/>
          <w:sz w:val="21"/>
        </w:rPr>
        <w:t>Gorton v. Doty (Idaho 1937)</w:t>
      </w:r>
      <w:r>
        <w:rPr>
          <w:color w:val="B91C1C"/>
          <w:sz w:val="15"/>
        </w:rPr>
        <w:t xml:space="preserve">  </w:t>
      </w:r>
      <w:r>
        <w:rPr>
          <w:b/>
          <w:color w:val="FFFFFF"/>
          <w:sz w:val="15"/>
          <w:shd w:val="clear" w:color="auto" w:fill="DC2626"/>
        </w:rPr>
        <w:t> MAIN CASE · CLASS 1 </w:t>
      </w:r>
    </w:p>
    <w:p w14:paraId="2FA11511" w14:textId="77777777" w:rsidR="00B844AC" w:rsidRDefault="00F62A06">
      <w:pPr>
        <w:keepNext/>
        <w:pBdr>
          <w:left w:val="single" w:sz="18" w:space="6" w:color="DC2626"/>
        </w:pBdr>
        <w:shd w:val="clear" w:color="auto" w:fill="EAF2FF"/>
        <w:spacing w:after="30"/>
        <w:ind w:left="173"/>
      </w:pPr>
      <w:r>
        <w:rPr>
          <w:b/>
          <w:color w:val="1D4ED8"/>
        </w:rPr>
        <w:t xml:space="preserve">Facts:  </w:t>
      </w:r>
      <w:r>
        <w:t>A teacher offered her car for the football team's away game on one condition — that the coach drive it. She wasn't paid. The coach crashed and injured a player, who sued the teacher.</w:t>
      </w:r>
    </w:p>
    <w:p w14:paraId="51B20717" w14:textId="77777777" w:rsidR="00B844AC" w:rsidRDefault="00F62A06">
      <w:pPr>
        <w:keepNext/>
        <w:pBdr>
          <w:left w:val="single" w:sz="18" w:space="6" w:color="DC2626"/>
        </w:pBdr>
        <w:shd w:val="clear" w:color="auto" w:fill="E7F8EE"/>
        <w:spacing w:after="30"/>
        <w:ind w:left="173"/>
      </w:pPr>
      <w:r>
        <w:rPr>
          <w:b/>
          <w:color w:val="15803D"/>
        </w:rPr>
        <w:t xml:space="preserve">Held:  </w:t>
      </w:r>
      <w:r>
        <w:t>The coach was her agent. She consented to his acting for her (the condition), he consented by driving, and naming the driver was control. No contract or payment is needed for agency. Dissent: just a friendly loan.</w:t>
      </w:r>
    </w:p>
    <w:p w14:paraId="35C6D5FF" w14:textId="77777777" w:rsidR="00B844AC" w:rsidRDefault="00F62A06">
      <w:pPr>
        <w:pBdr>
          <w:left w:val="single" w:sz="18" w:space="6" w:color="DC2626"/>
        </w:pBdr>
        <w:shd w:val="clear" w:color="auto" w:fill="FEF6C2"/>
        <w:spacing w:after="80"/>
        <w:ind w:left="173"/>
      </w:pPr>
      <w:r>
        <w:rPr>
          <w:b/>
          <w:color w:val="8A6100"/>
        </w:rPr>
        <w:t xml:space="preserve">Why it matters:  </w:t>
      </w:r>
      <w:r>
        <w:t>Shows how little it takes to form agency — a gratuitous favor with one condition supplied consent and control, making her liable for his driving.</w:t>
      </w:r>
    </w:p>
    <w:p w14:paraId="280C6CE8" w14:textId="77777777" w:rsidR="00B844AC" w:rsidRDefault="00F62A06">
      <w:pPr>
        <w:keepNext/>
        <w:pBdr>
          <w:left w:val="single" w:sz="18" w:space="6" w:color="DC2626"/>
        </w:pBdr>
        <w:spacing w:before="100" w:after="20"/>
        <w:ind w:left="173"/>
      </w:pPr>
      <w:r>
        <w:rPr>
          <w:b/>
          <w:color w:val="B91C1C"/>
          <w:sz w:val="21"/>
        </w:rPr>
        <w:lastRenderedPageBreak/>
        <w:t>MJ &amp; Partners Restaurant LP v. Zadikoff (N.D. Ill. 1998)</w:t>
      </w:r>
      <w:r>
        <w:rPr>
          <w:color w:val="B91C1C"/>
          <w:sz w:val="15"/>
        </w:rPr>
        <w:t xml:space="preserve">  </w:t>
      </w:r>
      <w:r>
        <w:rPr>
          <w:b/>
          <w:color w:val="FFFFFF"/>
          <w:sz w:val="15"/>
          <w:shd w:val="clear" w:color="auto" w:fill="DC2626"/>
        </w:rPr>
        <w:t> MAIN CASE · CLASS 1 </w:t>
      </w:r>
    </w:p>
    <w:p w14:paraId="7FBACEE1" w14:textId="77777777" w:rsidR="00B844AC" w:rsidRDefault="00F62A06">
      <w:pPr>
        <w:keepNext/>
        <w:pBdr>
          <w:left w:val="single" w:sz="18" w:space="6" w:color="DC2626"/>
        </w:pBdr>
        <w:shd w:val="clear" w:color="auto" w:fill="EAF2FF"/>
        <w:spacing w:after="30"/>
        <w:ind w:left="173"/>
      </w:pPr>
      <w:r>
        <w:rPr>
          <w:b/>
          <w:color w:val="1D4ED8"/>
        </w:rPr>
        <w:t xml:space="preserve">Facts:  </w:t>
      </w:r>
      <w:r>
        <w:t>Zadikoff ran Michael Jordan's Restaurant day to day (menu, prices, staff, budgets, checks) while his contracts called him an outside consultant. He secretly helped Jordan plan a competing Jordan restaurant and recruited the plaintiffs' investors and staff.</w:t>
      </w:r>
    </w:p>
    <w:p w14:paraId="3C9F7C55" w14:textId="77777777" w:rsidR="00B844AC" w:rsidRDefault="00F62A06">
      <w:pPr>
        <w:keepNext/>
        <w:pBdr>
          <w:left w:val="single" w:sz="18" w:space="6" w:color="DC2626"/>
        </w:pBdr>
        <w:shd w:val="clear" w:color="auto" w:fill="E7F8EE"/>
        <w:spacing w:after="30"/>
        <w:ind w:left="173"/>
      </w:pPr>
      <w:r>
        <w:rPr>
          <w:b/>
          <w:color w:val="15803D"/>
        </w:rPr>
        <w:t xml:space="preserve">Held:  </w:t>
      </w:r>
      <w:r>
        <w:t>Breach-of-fiduciary-duty claim survives dismissal. Agency turns on the parties' actual practices — right to control and power to bind — not on contract labels.</w:t>
      </w:r>
    </w:p>
    <w:p w14:paraId="4D71A69D" w14:textId="77777777" w:rsidR="00B844AC" w:rsidRDefault="00F62A06">
      <w:pPr>
        <w:pBdr>
          <w:left w:val="single" w:sz="18" w:space="6" w:color="DC2626"/>
        </w:pBdr>
        <w:shd w:val="clear" w:color="auto" w:fill="FEF6C2"/>
        <w:spacing w:after="80"/>
        <w:ind w:left="173"/>
      </w:pPr>
      <w:r>
        <w:rPr>
          <w:b/>
          <w:color w:val="8A6100"/>
        </w:rPr>
        <w:t xml:space="preserve">Why it matters:  </w:t>
      </w:r>
      <w:r>
        <w:t>Labels like "consultant" don't decide agency; if he is an agent, he owes loyalty and can't build a competitor while managing the restaurant.</w:t>
      </w:r>
    </w:p>
    <w:p w14:paraId="1C11B7CB" w14:textId="77777777" w:rsidR="00B844AC" w:rsidRDefault="00F62A06">
      <w:pPr>
        <w:keepNext/>
        <w:pBdr>
          <w:left w:val="single" w:sz="18" w:space="6" w:color="DC2626"/>
        </w:pBdr>
        <w:spacing w:before="100" w:after="20"/>
        <w:ind w:left="173"/>
      </w:pPr>
      <w:r>
        <w:rPr>
          <w:b/>
          <w:color w:val="B91C1C"/>
          <w:sz w:val="21"/>
        </w:rPr>
        <w:t>Rose v. Giamatti (S.D. Ohio 1989)</w:t>
      </w:r>
      <w:r>
        <w:rPr>
          <w:color w:val="B91C1C"/>
          <w:sz w:val="15"/>
        </w:rPr>
        <w:t xml:space="preserve">  </w:t>
      </w:r>
      <w:r>
        <w:rPr>
          <w:b/>
          <w:color w:val="FFFFFF"/>
          <w:sz w:val="15"/>
          <w:shd w:val="clear" w:color="auto" w:fill="DC2626"/>
        </w:rPr>
        <w:t> MAIN CASE · CLASS 1 </w:t>
      </w:r>
    </w:p>
    <w:p w14:paraId="6EC4A9A8" w14:textId="77777777" w:rsidR="00B844AC" w:rsidRDefault="00F62A06">
      <w:pPr>
        <w:keepNext/>
        <w:pBdr>
          <w:left w:val="single" w:sz="18" w:space="6" w:color="DC2626"/>
        </w:pBdr>
        <w:shd w:val="clear" w:color="auto" w:fill="EAF2FF"/>
        <w:spacing w:after="30"/>
        <w:ind w:left="173"/>
      </w:pPr>
      <w:r>
        <w:rPr>
          <w:b/>
          <w:color w:val="1D4ED8"/>
        </w:rPr>
        <w:t xml:space="preserve">Facts:  </w:t>
      </w:r>
      <w:r>
        <w:t xml:space="preserve">Pete Rose sued the Baseball Commissioner and Major League Baseball (MLB) to stop a gambling hearing. Federal jurisdiction depended on whether MLB (an Ohio citizen) was only a nominal party, which turned on whether the Commissioner acted as MLB's agent.</w:t>
      </w:r>
    </w:p>
    <w:p w14:paraId="09AD73BE" w14:textId="77777777" w:rsidR="00B844AC" w:rsidRDefault="00F62A06">
      <w:pPr>
        <w:keepNext/>
        <w:pBdr>
          <w:left w:val="single" w:sz="18" w:space="6" w:color="DC2626"/>
        </w:pBdr>
        <w:shd w:val="clear" w:color="auto" w:fill="E7F8EE"/>
        <w:spacing w:after="30"/>
        <w:ind w:left="173"/>
      </w:pPr>
      <w:r>
        <w:rPr>
          <w:b/>
          <w:color w:val="15803D"/>
        </w:rPr>
        <w:t xml:space="preserve">Held:  </w:t>
      </w:r>
      <w:r>
        <w:t>Not an agent for discipline. The clubs had given the Commissioner exclusive, independent authority they couldn't control, like an arbitrator. MLB was a nominal party; removal proper.</w:t>
      </w:r>
    </w:p>
    <w:p w14:paraId="5E3DEE1A" w14:textId="77777777" w:rsidR="00B844AC" w:rsidRDefault="00F62A06">
      <w:pPr>
        <w:pBdr>
          <w:left w:val="single" w:sz="18" w:space="6" w:color="DC2626"/>
        </w:pBdr>
        <w:shd w:val="clear" w:color="auto" w:fill="FEF6C2"/>
        <w:spacing w:after="80"/>
        <w:ind w:left="173"/>
      </w:pPr>
      <w:r>
        <w:rPr>
          <w:b/>
          <w:color w:val="8A6100"/>
        </w:rPr>
        <w:t xml:space="preserve">Why it matters:  </w:t>
      </w:r>
      <w:r>
        <w:t>No control, no agency — and someone can be an agent for some purposes but not others.</w:t>
      </w:r>
    </w:p>
    <w:p w14:paraId="08E4507D" w14:textId="77777777" w:rsidR="00B844AC" w:rsidRDefault="00F62A06">
      <w:pPr>
        <w:keepNext/>
        <w:pBdr>
          <w:left w:val="single" w:sz="18" w:space="6" w:color="DC2626"/>
        </w:pBdr>
        <w:spacing w:before="100" w:after="20"/>
        <w:ind w:left="173"/>
      </w:pPr>
      <w:r>
        <w:rPr>
          <w:b/>
          <w:color w:val="B91C1C"/>
          <w:sz w:val="21"/>
        </w:rPr>
        <w:t>A. Gay Jenson Farms Co. v. Cargill, Inc. (Minn. 1981)</w:t>
      </w:r>
      <w:r>
        <w:rPr>
          <w:color w:val="B91C1C"/>
          <w:sz w:val="15"/>
        </w:rPr>
        <w:t xml:space="preserve">  </w:t>
      </w:r>
      <w:r>
        <w:rPr>
          <w:b/>
          <w:color w:val="FFFFFF"/>
          <w:sz w:val="15"/>
          <w:shd w:val="clear" w:color="auto" w:fill="DC2626"/>
        </w:rPr>
        <w:t> MAIN CASE · CLASS 1 </w:t>
      </w:r>
    </w:p>
    <w:p w14:paraId="39F0743F" w14:textId="77777777" w:rsidR="00B844AC" w:rsidRDefault="00F62A06">
      <w:pPr>
        <w:keepNext/>
        <w:pBdr>
          <w:left w:val="single" w:sz="18" w:space="6" w:color="DC2626"/>
        </w:pBdr>
        <w:shd w:val="clear" w:color="auto" w:fill="EAF2FF"/>
        <w:spacing w:after="30"/>
        <w:ind w:left="173"/>
      </w:pPr>
      <w:r>
        <w:rPr>
          <w:b/>
          <w:color w:val="1D4ED8"/>
        </w:rPr>
        <w:t xml:space="preserve">Facts:  </w:t>
      </w:r>
      <w:r>
        <w:t>Cargill financed a small grain elevator (Warren) with a growing credit line, bought most of its grain, and also approved its major decisions, audited it, criticized its management daily, and supplied Cargill-printed forms ("needs very strong paternal guidance"). Warren collapsed owing 86 farmers $2 million for grain.</w:t>
      </w:r>
    </w:p>
    <w:p w14:paraId="58A86E80" w14:textId="77777777" w:rsidR="00B844AC" w:rsidRDefault="00F62A06">
      <w:pPr>
        <w:keepNext/>
        <w:pBdr>
          <w:left w:val="single" w:sz="18" w:space="6" w:color="DC2626"/>
        </w:pBdr>
        <w:shd w:val="clear" w:color="auto" w:fill="E7F8EE"/>
        <w:spacing w:after="30"/>
        <w:ind w:left="173"/>
      </w:pPr>
      <w:r>
        <w:rPr>
          <w:b/>
          <w:color w:val="15803D"/>
        </w:rPr>
        <w:t xml:space="preserve">Held:  </w:t>
      </w:r>
      <w:r>
        <w:t>Cargill was Warren's principal and owes the farmers. Its course of dealing showed consent, Warren acting for Cargill, and de facto control (nine factors). A creditor that takes over management becomes a principal (R2d § 14O); Warren was no independent supplier (§ 14K).</w:t>
      </w:r>
    </w:p>
    <w:p w14:paraId="50A407A1" w14:textId="77777777" w:rsidR="00B844AC" w:rsidRDefault="00F62A06">
      <w:pPr>
        <w:pBdr>
          <w:left w:val="single" w:sz="18" w:space="6" w:color="DC2626"/>
        </w:pBdr>
        <w:shd w:val="clear" w:color="auto" w:fill="FEF6C2"/>
        <w:spacing w:after="80"/>
        <w:ind w:left="173"/>
      </w:pPr>
      <w:r>
        <w:rPr>
          <w:b/>
          <w:color w:val="8A6100"/>
        </w:rPr>
        <w:t xml:space="preserve">Why it matters:  </w:t>
      </w:r>
      <w:r>
        <w:t>Agency can arise without intent from a course of dealing; a lender or buyer that runs the borrower's business inherits its debts (contrast Martin v. Peyton).</w:t>
      </w:r>
    </w:p>
    <w:p w14:paraId="3FC5913E" w14:textId="77777777" w:rsidR="00B844AC" w:rsidRDefault="00F62A06">
      <w:pPr>
        <w:pStyle w:val="Heading2"/>
        <w:pBdr>
          <w:bottom w:val="single" w:sz="8" w:space="2" w:color="C55A11"/>
        </w:pBdr>
      </w:pPr>
      <w:bookmarkStart w:id="2" w:name="_Toc243216099"/>
      <w:r>
        <w:rPr>
          <w:b w:val="0"/>
        </w:rPr>
        <w:t>2. Contract Liability of Principal — Authority</w:t>
      </w:r>
      <w:bookmarkEnd w:id="2"/>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6C10471" w14:textId="77777777">
        <w:trPr>
          <w:cantSplit/>
          <w:jc w:val="center"/>
        </w:trPr>
        <w:tc>
          <w:tcPr>
            <w:tcW w:w="10080" w:type="dxa"/>
            <w:tcBorders>
              <w:top w:val="nil"/>
              <w:left w:val="single" w:sz="30" w:space="0" w:color="7C3AED"/>
              <w:bottom w:val="nil"/>
              <w:right w:val="nil"/>
            </w:tcBorders>
            <w:shd w:val="clear" w:color="auto" w:fill="F3EEFF"/>
          </w:tcPr>
          <w:p w14:paraId="1961C4A1" w14:textId="77777777" w:rsidR="00B844AC" w:rsidRDefault="00F62A06">
            <w:pPr>
              <w:spacing w:after="0"/>
            </w:pPr>
            <w:r>
              <w:rPr>
                <w:b/>
                <w:color w:val="6D28D9"/>
                <w:sz w:val="17"/>
              </w:rPr>
              <w:t xml:space="preserve">RULE  </w:t>
            </w:r>
            <w:r>
              <w:t xml:space="preserve">An agent binds P to a contract if A </w:t>
            </w:r>
            <w:r>
              <w:rPr>
                <w:color w:val="B91C1C"/>
                <w:shd w:val="clear" w:color="auto" w:fill="FDE2E2"/>
              </w:rPr>
              <w:t xml:space="preserve">(1) acts on P's behalf, </w:t>
            </w:r>
            <w:r>
              <w:rPr>
                <w:color w:val="C2410C"/>
                <w:shd w:val="clear" w:color="auto" w:fill="FFE7D1"/>
              </w:rPr>
              <w:t xml:space="preserve">(2) with proper authority, and </w:t>
            </w:r>
            <w:r>
              <w:rPr>
                <w:color w:val="854D0E"/>
                <w:shd w:val="clear" w:color="auto" w:fill="FDF1A8"/>
              </w:rPr>
              <w:t xml:space="preserve">(3) P had not terminated that authority.</w:t>
            </w:r>
            <w:r>
              <w:t xml:space="preserve"> Analyze authority IN ORDER: </w:t>
            </w:r>
            <w:r>
              <w:rPr>
                <w:color w:val="B91C1C"/>
                <w:shd w:val="clear" w:color="auto" w:fill="FDE2E2"/>
              </w:rPr>
              <w:t xml:space="preserve">(1) actual — express, then implied; </w:t>
            </w:r>
            <w:r>
              <w:rPr>
                <w:color w:val="C2410C"/>
                <w:shd w:val="clear" w:color="auto" w:fill="FFE7D1"/>
              </w:rPr>
              <w:t xml:space="preserve">(2) apparent; </w:t>
            </w:r>
            <w:r>
              <w:rPr>
                <w:color w:val="854D0E"/>
                <w:shd w:val="clear" w:color="auto" w:fill="FDF1A8"/>
              </w:rPr>
              <w:t xml:space="preserve">(3) ratification; </w:t>
            </w:r>
            <w:r>
              <w:rPr>
                <w:color w:val="15803D"/>
                <w:shd w:val="clear" w:color="auto" w:fill="D7F5E1"/>
              </w:rPr>
              <w:t xml:space="preserve">(4) by operation of law — inherent authority and estoppel.</w:t>
            </w:r>
          </w:p>
        </w:tc>
      </w:tr>
    </w:tbl>
    <w:p w14:paraId="45D4467B" w14:textId="77777777" w:rsidR="00B844AC" w:rsidRDefault="00B844AC">
      <w:pPr>
        <w:spacing w:after="0" w:line="100" w:lineRule="exact"/>
      </w:pPr>
    </w:p>
    <w:p w14:paraId="7BA0B7F1" w14:textId="77777777" w:rsidR="00B844AC" w:rsidRDefault="00F62A06">
      <w:pPr>
        <w:pStyle w:val="Heading3"/>
      </w:pPr>
      <w:r>
        <w:rPr>
          <w:b w:val="0"/>
        </w:rPr>
        <w:t>Actual authority</w:t>
      </w:r>
    </w:p>
    <w:p w14:paraId="5FBDA1E5" w14:textId="77777777" w:rsidR="00B844AC" w:rsidRDefault="00F62A06">
      <w:pPr>
        <w:pStyle w:val="ListBullet"/>
      </w:pPr>
      <w:r>
        <w:rPr>
          <w:b/>
        </w:rPr>
        <w:t>Test:</w:t>
      </w:r>
      <w:r>
        <w:t xml:space="preserve"> would P's words/conduct lead a reasonable person in A's position to believe A is authorized to act this way? (R3d §§ 2.01–2.02, 3.01; R2d §§ 7, 26, 33–35.) Focus on the </w:t>
      </w:r>
      <w:r>
        <w:rPr>
          <w:b/>
        </w:rPr>
        <w:t>agent's</w:t>
      </w:r>
      <w:r>
        <w:t xml:space="preserve"> reasonable understanding of </w:t>
      </w:r>
      <w:r>
        <w:rPr>
          <w:b/>
        </w:rPr>
        <w:t>P's</w:t>
      </w:r>
      <w:r>
        <w:t xml:space="preserve"> manifestations.</w:t>
      </w:r>
    </w:p>
    <w:p w14:paraId="08F8A616" w14:textId="77777777" w:rsidR="00B844AC" w:rsidRDefault="00F62A06">
      <w:pPr>
        <w:pStyle w:val="ListBullet"/>
      </w:pPr>
      <w:r>
        <w:rPr>
          <w:b/>
        </w:rPr>
        <w:t>Express:</w:t>
      </w:r>
      <w:r>
        <w:t xml:space="preserve"> explicitly conveyed (oral/written); effective even if granted by mistake or misrepresentation; all-or-nothing for the specific act.</w:t>
      </w:r>
    </w:p>
    <w:p w14:paraId="46084FF1" w14:textId="77777777" w:rsidR="00B844AC" w:rsidRDefault="00F62A06">
      <w:pPr>
        <w:pStyle w:val="ListBullet"/>
      </w:pPr>
      <w:r>
        <w:rPr>
          <w:b/>
        </w:rPr>
        <w:t>Implied</w:t>
      </w:r>
      <w:r>
        <w:t xml:space="preserve"> (actual authority proven circumstantially): incidental/reasonably necessary to express duties; custom or trade; present or past conduct (prior practice is among the most important factors); emergencies; delegation of ministerial acts or where necessary/customary; pay for and accept goods when authorized to buy; give customary warranties and collect payment when authorized to sell.</w:t>
      </w:r>
    </w:p>
    <w:p w14:paraId="47EFA1FF" w14:textId="77777777" w:rsidR="00B844AC" w:rsidRDefault="00F62A06">
      <w:pPr>
        <w:pStyle w:val="ListBullet"/>
      </w:pPr>
      <w:r>
        <w:rPr>
          <w:b/>
        </w:rPr>
        <w:t>Termination:</w:t>
      </w:r>
      <w:r>
        <w:t xml:space="preserve"> agreement; notice by either party; event (purpose fulfilled); lapse of reasonable time; changed circumstances; agent's breach of fiduciary duty; unilateral termination (power, even if not the right); operation of law (P's death/incapacity). Terminating actual authority does </w:t>
      </w:r>
      <w:r>
        <w:rPr>
          <w:b/>
        </w:rPr>
        <w:t>not</w:t>
      </w:r>
      <w:r>
        <w:t xml:space="preserve"> automatically end apparent authority.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79AD5A3" w14:textId="77777777">
        <w:trPr>
          <w:cantSplit/>
          <w:jc w:val="center"/>
        </w:trPr>
        <w:tc>
          <w:tcPr>
            <w:tcW w:w="10080" w:type="dxa"/>
            <w:tcBorders>
              <w:top w:val="nil"/>
              <w:left w:val="single" w:sz="30" w:space="0" w:color="DB2777"/>
              <w:bottom w:val="nil"/>
              <w:right w:val="nil"/>
            </w:tcBorders>
            <w:shd w:val="clear" w:color="auto" w:fill="FDEFF6"/>
          </w:tcPr>
          <w:p w14:paraId="4F269E7C" w14:textId="77777777" w:rsidR="00B844AC" w:rsidRDefault="00F62A06">
            <w:pPr>
              <w:spacing w:after="0"/>
            </w:pPr>
            <w:r>
              <w:rPr>
                <w:b/>
                <w:color w:val="9D174D"/>
                <w:sz w:val="17"/>
              </w:rPr>
              <w:t xml:space="preserve">TIP  </w:t>
            </w:r>
            <w:r>
              <w:t>Apartment-manager hypos — told to hire lawn service = express; hires janitor with no instructions = implied (incidental/custom); told NOT to hire janitor but custom allows = no actual authority, but possible apparent authority to a third party who relies on the position.</w:t>
            </w:r>
          </w:p>
        </w:tc>
      </w:tr>
    </w:tbl>
    <w:p w14:paraId="2A0298D8" w14:textId="77777777" w:rsidR="00B844AC" w:rsidRDefault="00B844AC">
      <w:pPr>
        <w:spacing w:after="0" w:line="100" w:lineRule="exact"/>
      </w:pPr>
    </w:p>
    <w:p w14:paraId="40AE6D03" w14:textId="77777777" w:rsidR="00B844AC" w:rsidRDefault="00F62A06">
      <w:pPr>
        <w:keepNext/>
        <w:pBdr>
          <w:left w:val="single" w:sz="18" w:space="6" w:color="DC2626"/>
        </w:pBdr>
        <w:spacing w:before="100" w:after="20"/>
        <w:ind w:left="173"/>
      </w:pPr>
      <w:r>
        <w:rPr>
          <w:b/>
          <w:color w:val="B91C1C"/>
          <w:sz w:val="21"/>
        </w:rPr>
        <w:lastRenderedPageBreak/>
        <w:t>Mill Street Church of Christ v. Hogan (Ky. 1990)</w:t>
      </w:r>
      <w:r>
        <w:rPr>
          <w:color w:val="B91C1C"/>
          <w:sz w:val="15"/>
        </w:rPr>
        <w:t xml:space="preserve">  </w:t>
      </w:r>
      <w:r>
        <w:rPr>
          <w:b/>
          <w:color w:val="FFFFFF"/>
          <w:sz w:val="15"/>
          <w:shd w:val="clear" w:color="auto" w:fill="DC2626"/>
        </w:rPr>
        <w:t> MAIN CASE · CLASS 1 </w:t>
      </w:r>
    </w:p>
    <w:p w14:paraId="7E98DE0F" w14:textId="77777777" w:rsidR="00B844AC" w:rsidRDefault="00F62A06">
      <w:pPr>
        <w:keepNext/>
        <w:pBdr>
          <w:left w:val="single" w:sz="18" w:space="6" w:color="DC2626"/>
        </w:pBdr>
        <w:shd w:val="clear" w:color="auto" w:fill="EAF2FF"/>
        <w:spacing w:after="30"/>
        <w:ind w:left="173"/>
      </w:pPr>
      <w:r>
        <w:rPr>
          <w:b/>
          <w:color w:val="1D4ED8"/>
        </w:rPr>
        <w:t xml:space="preserve">Facts:  </w:t>
      </w:r>
      <w:r>
        <w:t>A church hired Bill to paint it. In past jobs it had let him hire his brother Sam as a helper; this time the elders privately planned a different helper but never told Bill. The work couldn't be done alone, so Bill hired Sam, who fell and broke his arm.</w:t>
      </w:r>
    </w:p>
    <w:p w14:paraId="498BDAB6" w14:textId="77777777" w:rsidR="00B844AC" w:rsidRDefault="00F62A06">
      <w:pPr>
        <w:keepNext/>
        <w:pBdr>
          <w:left w:val="single" w:sz="18" w:space="6" w:color="DC2626"/>
        </w:pBdr>
        <w:shd w:val="clear" w:color="auto" w:fill="E7F8EE"/>
        <w:spacing w:after="30"/>
        <w:ind w:left="173"/>
      </w:pPr>
      <w:r>
        <w:rPr>
          <w:b/>
          <w:color w:val="15803D"/>
        </w:rPr>
        <w:t xml:space="preserve">Held:  </w:t>
      </w:r>
      <w:r>
        <w:t>Bill had implied actual authority to hire Sam, so Sam was the church's employee for workers' comp. Implied authority rests on the agent's reasonable understanding from the principal's past conduct and the job's needs.</w:t>
      </w:r>
    </w:p>
    <w:p w14:paraId="15525C4D" w14:textId="77777777" w:rsidR="00B844AC" w:rsidRDefault="00F62A06">
      <w:pPr>
        <w:pBdr>
          <w:left w:val="single" w:sz="18" w:space="6" w:color="DC2626"/>
        </w:pBdr>
        <w:shd w:val="clear" w:color="auto" w:fill="FEF6C2"/>
        <w:spacing w:after="80"/>
        <w:ind w:left="173"/>
      </w:pPr>
      <w:r>
        <w:rPr>
          <w:b/>
          <w:color w:val="8A6100"/>
        </w:rPr>
        <w:t xml:space="preserve">Why it matters:  </w:t>
      </w:r>
      <w:r>
        <w:t>The model implied-authority case — prior practice and necessity, not the principal's secret change of plans, controls.</w:t>
      </w:r>
    </w:p>
    <w:p w14:paraId="13ABA3D5" w14:textId="77777777" w:rsidR="00B844AC" w:rsidRDefault="00F62A06">
      <w:pPr>
        <w:keepNext/>
        <w:pBdr>
          <w:left w:val="single" w:sz="18" w:space="6" w:color="DC2626"/>
        </w:pBdr>
        <w:spacing w:before="100" w:after="20"/>
        <w:ind w:left="173"/>
      </w:pPr>
      <w:r>
        <w:rPr>
          <w:b/>
          <w:color w:val="B91C1C"/>
          <w:sz w:val="21"/>
        </w:rPr>
        <w:t>Karl Rove &amp; Co. v. Thornburgh (5th Cir. 1994)</w:t>
      </w:r>
      <w:r>
        <w:rPr>
          <w:color w:val="B91C1C"/>
          <w:sz w:val="15"/>
        </w:rPr>
        <w:t xml:space="preserve">  </w:t>
      </w:r>
      <w:r>
        <w:rPr>
          <w:b/>
          <w:color w:val="FFFFFF"/>
          <w:sz w:val="15"/>
          <w:shd w:val="clear" w:color="auto" w:fill="DC2626"/>
        </w:rPr>
        <w:t> MAIN CASE · CLASS 1 </w:t>
      </w:r>
    </w:p>
    <w:p w14:paraId="3AB8DC26" w14:textId="77777777" w:rsidR="00B844AC" w:rsidRDefault="00F62A06">
      <w:pPr>
        <w:keepNext/>
        <w:pBdr>
          <w:left w:val="single" w:sz="18" w:space="6" w:color="DC2626"/>
        </w:pBdr>
        <w:shd w:val="clear" w:color="auto" w:fill="EAF2FF"/>
        <w:spacing w:after="30"/>
        <w:ind w:left="173"/>
      </w:pPr>
      <w:r>
        <w:rPr>
          <w:b/>
          <w:color w:val="1D4ED8"/>
        </w:rPr>
        <w:t xml:space="preserve">Facts:  </w:t>
      </w:r>
      <w:r>
        <w:t>Rove's firm did fundraising mail for Thornburgh's Senate campaign under a contract with his campaign committee, approved by his aide Dickman. Thornburgh signed letters, supplied donor lists and could stop the mailings. The insolvent committee left $169,732 unpaid.</w:t>
      </w:r>
    </w:p>
    <w:p w14:paraId="60E2795E" w14:textId="77777777" w:rsidR="00B844AC" w:rsidRDefault="00F62A06">
      <w:pPr>
        <w:keepNext/>
        <w:pBdr>
          <w:left w:val="single" w:sz="18" w:space="6" w:color="DC2626"/>
        </w:pBdr>
        <w:shd w:val="clear" w:color="auto" w:fill="E7F8EE"/>
        <w:spacing w:after="30"/>
        <w:ind w:left="173"/>
      </w:pPr>
      <w:r>
        <w:rPr>
          <w:b/>
          <w:color w:val="15803D"/>
        </w:rPr>
        <w:t xml:space="preserve">Held:  </w:t>
      </w:r>
      <w:r>
        <w:t>Thornburgh is personally liable. A member of an unincorporated association is bound by contracts he authorized, assented to, or ratified, personally or through an agent; Dickman was his controlled agent and approved the deal.</w:t>
      </w:r>
    </w:p>
    <w:p w14:paraId="6B56E3A3" w14:textId="77777777" w:rsidR="00B844AC" w:rsidRDefault="00F62A06">
      <w:pPr>
        <w:pBdr>
          <w:left w:val="single" w:sz="18" w:space="6" w:color="DC2626"/>
        </w:pBdr>
        <w:shd w:val="clear" w:color="auto" w:fill="FEF6C2"/>
        <w:spacing w:after="80"/>
        <w:ind w:left="173"/>
      </w:pPr>
      <w:r>
        <w:rPr>
          <w:b/>
          <w:color w:val="8A6100"/>
        </w:rPr>
        <w:t xml:space="preserve">Why it matters:  </w:t>
      </w:r>
      <w:r>
        <w:t>Shows a principal bound through his agent's assent and control as the key to finding agency despite denials.</w:t>
      </w:r>
    </w:p>
    <w:p w14:paraId="7F67D1E8" w14:textId="77777777" w:rsidR="00B844AC" w:rsidRDefault="00F62A06">
      <w:pPr>
        <w:pStyle w:val="Heading3"/>
      </w:pPr>
      <w:r>
        <w:rPr>
          <w:b w:val="0"/>
        </w:rPr>
        <w:t>Apparent authority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EEEB8F8" w14:textId="77777777">
        <w:trPr>
          <w:cantSplit/>
          <w:jc w:val="center"/>
        </w:trPr>
        <w:tc>
          <w:tcPr>
            <w:tcW w:w="10080" w:type="dxa"/>
            <w:tcBorders>
              <w:top w:val="nil"/>
              <w:left w:val="single" w:sz="30" w:space="0" w:color="7C3AED"/>
              <w:bottom w:val="nil"/>
              <w:right w:val="nil"/>
            </w:tcBorders>
            <w:shd w:val="clear" w:color="auto" w:fill="F3EEFF"/>
          </w:tcPr>
          <w:p w14:paraId="4CECAE7C" w14:textId="77777777" w:rsidR="00B844AC" w:rsidRDefault="00F62A06">
            <w:pPr>
              <w:spacing w:after="0"/>
            </w:pPr>
            <w:r>
              <w:rPr>
                <w:b/>
                <w:color w:val="6D28D9"/>
                <w:sz w:val="17"/>
              </w:rPr>
              <w:t xml:space="preserve">RULE  </w:t>
            </w:r>
            <w:r>
              <w:t>Apparent authority exists when P "holds out" A as authorized and a third party reasonably believes A has authority, and that belief is traceable to P's manifestations (R3d §§ 2.03, 3.03; R2d §§ 8, 27, 159). The manifestation must come from the principal, never solely from the agent.</w:t>
            </w:r>
          </w:p>
        </w:tc>
      </w:tr>
    </w:tbl>
    <w:p w14:paraId="173AC77B" w14:textId="77777777" w:rsidR="00B844AC" w:rsidRDefault="00B844AC">
      <w:pPr>
        <w:spacing w:after="0" w:line="100" w:lineRule="exact"/>
      </w:pPr>
    </w:p>
    <w:p w14:paraId="450374CD" w14:textId="77777777" w:rsidR="00B844AC" w:rsidRDefault="00F62A06">
      <w:pPr>
        <w:pStyle w:val="ListBullet"/>
      </w:pPr>
      <w:r>
        <w:rPr>
          <w:b/>
        </w:rPr>
        <w:t>Types:</w:t>
      </w:r>
      <w:r>
        <w:t xml:space="preserve"> agent exceeds authority (prior acts; position of power) and agent has no authority (unilateral agent representations — insufficient alone; impostors; lingering apparent authority after termination; writing manifesting prior authority).</w:t>
      </w:r>
    </w:p>
    <w:p w14:paraId="30A4C260" w14:textId="77777777" w:rsidR="00B844AC" w:rsidRDefault="00F62A06">
      <w:pPr>
        <w:pStyle w:val="ListBullet"/>
      </w:pPr>
      <w:r>
        <w:rPr>
          <w:b/>
        </w:rPr>
        <w:t>Position = manifestation:</w:t>
      </w:r>
      <w:r>
        <w:t xml:space="preserve"> placing A in a role whose holders customarily have certain authority; T need not inquire into undisclosed limits (R3d § 3.03 cmt. b). Secret limits on incidental terms don't bind T without notice (R2d § 160).</w:t>
      </w:r>
    </w:p>
    <w:p w14:paraId="3BC1B7EA" w14:textId="77777777" w:rsidR="00B844AC" w:rsidRDefault="00F62A06">
      <w:pPr>
        <w:pStyle w:val="ListBullet"/>
      </w:pPr>
      <w:r>
        <w:rPr>
          <w:b/>
        </w:rPr>
        <w:t>Ends when T has notice</w:t>
      </w:r>
      <w:r>
        <w:t xml:space="preserve"> that authority ended, P no longer consents, or A acts under basic error; notice by P's statement or a reasonable time after P's writing reaches T.</w:t>
      </w:r>
    </w:p>
    <w:p w14:paraId="11B95A16" w14:textId="77777777" w:rsidR="00B844AC" w:rsidRDefault="00F62A06">
      <w:pPr>
        <w:pStyle w:val="ListBullet"/>
      </w:pPr>
      <w:r>
        <w:t>Distinguish: apparent authority binds both P and T to the contract; estoppel only compensates a relying 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94EC86B" w14:textId="77777777">
        <w:trPr>
          <w:cantSplit/>
          <w:jc w:val="center"/>
        </w:trPr>
        <w:tc>
          <w:tcPr>
            <w:tcW w:w="10080" w:type="dxa"/>
            <w:tcBorders>
              <w:top w:val="nil"/>
              <w:left w:val="single" w:sz="30" w:space="0" w:color="DB2777"/>
              <w:bottom w:val="nil"/>
              <w:right w:val="nil"/>
            </w:tcBorders>
            <w:shd w:val="clear" w:color="auto" w:fill="FDEFF6"/>
          </w:tcPr>
          <w:p w14:paraId="0EC1BBD0" w14:textId="77777777" w:rsidR="00B844AC" w:rsidRDefault="00F62A06">
            <w:pPr>
              <w:spacing w:after="0"/>
            </w:pPr>
            <w:r>
              <w:rPr>
                <w:b/>
                <w:color w:val="9D174D"/>
                <w:sz w:val="17"/>
              </w:rPr>
              <w:t xml:space="preserve">TIP  </w:t>
            </w:r>
            <w:r>
              <w:t>Apparent authority always needs a manifestation BY THE PRINCIPAL to the third party — position, prior course of dealing, documents, silence where one would speak. The agent's own say-so ("I'm authorized") never suffices, though it can bolster reasonableness once P's manifestation exists (Ackerman).</w:t>
            </w:r>
          </w:p>
        </w:tc>
      </w:tr>
    </w:tbl>
    <w:p w14:paraId="1E6B9102" w14:textId="77777777" w:rsidR="00B844AC" w:rsidRDefault="00B844AC">
      <w:pPr>
        <w:spacing w:after="0" w:line="100" w:lineRule="exact"/>
      </w:pPr>
    </w:p>
    <w:p w14:paraId="1FA6AEEE" w14:textId="77777777" w:rsidR="00B844AC" w:rsidRDefault="00F62A06">
      <w:pPr>
        <w:keepNext/>
        <w:pBdr>
          <w:left w:val="single" w:sz="18" w:space="6" w:color="DC2626"/>
        </w:pBdr>
        <w:spacing w:before="100" w:after="20"/>
        <w:ind w:left="173"/>
      </w:pPr>
      <w:r>
        <w:rPr>
          <w:b/>
          <w:color w:val="B91C1C"/>
          <w:sz w:val="21"/>
        </w:rPr>
        <w:t>Lind v. Schenley Industries, Inc. (3d Cir. 1960) (en banc)</w:t>
      </w:r>
      <w:r>
        <w:rPr>
          <w:color w:val="B91C1C"/>
          <w:sz w:val="15"/>
        </w:rPr>
        <w:t xml:space="preserve">  </w:t>
      </w:r>
      <w:r>
        <w:rPr>
          <w:b/>
          <w:color w:val="FFFFFF"/>
          <w:sz w:val="15"/>
          <w:shd w:val="clear" w:color="auto" w:fill="DC2626"/>
        </w:rPr>
        <w:t> MAIN CASE · CLASS 2 </w:t>
      </w:r>
    </w:p>
    <w:p w14:paraId="58919296" w14:textId="77777777" w:rsidR="00B844AC" w:rsidRDefault="00F62A06">
      <w:pPr>
        <w:keepNext/>
        <w:pBdr>
          <w:left w:val="single" w:sz="18" w:space="6" w:color="DC2626"/>
        </w:pBdr>
        <w:shd w:val="clear" w:color="auto" w:fill="EAF2FF"/>
        <w:spacing w:after="30"/>
        <w:ind w:left="173"/>
      </w:pPr>
      <w:r>
        <w:rPr>
          <w:b/>
          <w:color w:val="1D4ED8"/>
        </w:rPr>
        <w:t xml:space="preserve">Facts:  </w:t>
      </w:r>
      <w:r>
        <w:t xml:space="preserve">A vice president (VP) told newly promoted salesman Lind to see his new boss, Kaufman, about salary. Kaufman promised a 1% commission on his salesmen's sales, though only the president could set pay.</w:t>
      </w:r>
    </w:p>
    <w:p w14:paraId="63B1722F" w14:textId="77777777" w:rsidR="00B844AC" w:rsidRDefault="00F62A06">
      <w:pPr>
        <w:keepNext/>
        <w:pBdr>
          <w:left w:val="single" w:sz="18" w:space="6" w:color="DC2626"/>
        </w:pBdr>
        <w:shd w:val="clear" w:color="auto" w:fill="E7F8EE"/>
        <w:spacing w:after="30"/>
        <w:ind w:left="173"/>
      </w:pPr>
      <w:r>
        <w:rPr>
          <w:b/>
          <w:color w:val="15803D"/>
        </w:rPr>
        <w:t xml:space="preserve">Held:  </w:t>
      </w:r>
      <w:r>
        <w:t>Lind can recover ($37,000 verdict reinstated). By sending Lind to Kaufman and making him Lind's superior, the company held Kaufman out as its spokesman — apparent (and inherent) authority. Kaufman's lack of actual authority is irrelevant.</w:t>
      </w:r>
    </w:p>
    <w:p w14:paraId="29767248" w14:textId="77777777" w:rsidR="00B844AC" w:rsidRDefault="00F62A06">
      <w:pPr>
        <w:pBdr>
          <w:left w:val="single" w:sz="18" w:space="6" w:color="DC2626"/>
        </w:pBdr>
        <w:shd w:val="clear" w:color="auto" w:fill="FEF6C2"/>
        <w:spacing w:after="80"/>
        <w:ind w:left="173"/>
      </w:pPr>
      <w:r>
        <w:rPr>
          <w:b/>
          <w:color w:val="8A6100"/>
        </w:rPr>
        <w:t xml:space="preserve">Why it matters:  </w:t>
      </w:r>
      <w:r>
        <w:t>Apparent authority comes from the principal's manifestations (the position it gave the agent), not from the agent's own say-so.</w:t>
      </w:r>
    </w:p>
    <w:p w14:paraId="400AFBA3" w14:textId="77777777" w:rsidR="00B844AC" w:rsidRDefault="00F62A06">
      <w:pPr>
        <w:keepNext/>
        <w:pBdr>
          <w:left w:val="single" w:sz="18" w:space="6" w:color="DC2626"/>
        </w:pBdr>
        <w:spacing w:before="100" w:after="20"/>
        <w:ind w:left="173"/>
      </w:pPr>
      <w:r>
        <w:rPr>
          <w:b/>
          <w:color w:val="B91C1C"/>
          <w:sz w:val="21"/>
        </w:rPr>
        <w:t>Ackerman v. Sobol Family Partnership, LLP (Conn. 2010)</w:t>
      </w:r>
      <w:r>
        <w:rPr>
          <w:color w:val="B91C1C"/>
          <w:sz w:val="15"/>
        </w:rPr>
        <w:t xml:space="preserve">  </w:t>
      </w:r>
      <w:r>
        <w:rPr>
          <w:b/>
          <w:color w:val="FFFFFF"/>
          <w:sz w:val="15"/>
          <w:shd w:val="clear" w:color="auto" w:fill="DC2626"/>
        </w:rPr>
        <w:t> MAIN CASE · CLASS 2 </w:t>
      </w:r>
    </w:p>
    <w:p w14:paraId="006480FF" w14:textId="77777777" w:rsidR="00B844AC" w:rsidRDefault="00F62A06">
      <w:pPr>
        <w:keepNext/>
        <w:pBdr>
          <w:left w:val="single" w:sz="18" w:space="6" w:color="DC2626"/>
        </w:pBdr>
        <w:shd w:val="clear" w:color="auto" w:fill="EAF2FF"/>
        <w:spacing w:after="30"/>
        <w:ind w:left="173"/>
      </w:pPr>
      <w:r>
        <w:rPr>
          <w:b/>
          <w:color w:val="1D4ED8"/>
        </w:rPr>
        <w:t xml:space="preserve">Facts:  </w:t>
      </w:r>
      <w:r>
        <w:t>The plaintiffs' lawyer negotiated a $1.1 million global settlement, repeatedly assuring defense counsel he had authority. His client attended the mediation, conferred with him during final talks, and never limited his authority — then claimed he had none.</w:t>
      </w:r>
    </w:p>
    <w:p w14:paraId="2AB575E1" w14:textId="77777777" w:rsidR="00B844AC" w:rsidRDefault="00F62A06">
      <w:pPr>
        <w:keepNext/>
        <w:pBdr>
          <w:left w:val="single" w:sz="18" w:space="6" w:color="DC2626"/>
        </w:pBdr>
        <w:shd w:val="clear" w:color="auto" w:fill="E7F8EE"/>
        <w:spacing w:after="30"/>
        <w:ind w:left="173"/>
      </w:pPr>
      <w:r>
        <w:rPr>
          <w:b/>
          <w:color w:val="15803D"/>
        </w:rPr>
        <w:t xml:space="preserve">Held:  </w:t>
      </w:r>
      <w:r>
        <w:t>The settlement is enforceable through apparent authority: the clients' conduct held him out, and opposing counsel reasonably believed him. Hiring a lawyer alone isn't enough; the clients' conduct was.</w:t>
      </w:r>
    </w:p>
    <w:p w14:paraId="0E77F7E8" w14:textId="77777777" w:rsidR="00B844AC" w:rsidRDefault="00F62A06">
      <w:pPr>
        <w:pBdr>
          <w:left w:val="single" w:sz="18" w:space="6" w:color="DC2626"/>
        </w:pBdr>
        <w:shd w:val="clear" w:color="auto" w:fill="FEF6C2"/>
        <w:spacing w:after="80"/>
        <w:ind w:left="173"/>
      </w:pPr>
      <w:r>
        <w:rPr>
          <w:b/>
          <w:color w:val="8A6100"/>
        </w:rPr>
        <w:t xml:space="preserve">Why it matters:  </w:t>
      </w:r>
      <w:r>
        <w:t>Apparent authority can come from the principal's conduct and silence, and binds even if the agent misread his instructions.</w:t>
      </w:r>
    </w:p>
    <w:p w14:paraId="2B6E45DE" w14:textId="77777777" w:rsidR="00B844AC" w:rsidRDefault="00F62A06">
      <w:pPr>
        <w:keepNext/>
        <w:pBdr>
          <w:left w:val="single" w:sz="18" w:space="6" w:color="DC2626"/>
        </w:pBdr>
        <w:spacing w:before="100" w:after="20"/>
        <w:ind w:left="173"/>
      </w:pPr>
      <w:r>
        <w:rPr>
          <w:b/>
          <w:color w:val="B91C1C"/>
          <w:sz w:val="21"/>
        </w:rPr>
        <w:lastRenderedPageBreak/>
        <w:t>Williams v. Dimensions Health Corporation (Md. 2022)</w:t>
      </w:r>
      <w:r>
        <w:rPr>
          <w:color w:val="B91C1C"/>
          <w:sz w:val="15"/>
        </w:rPr>
        <w:t xml:space="preserve">  </w:t>
      </w:r>
      <w:r>
        <w:rPr>
          <w:b/>
          <w:color w:val="FFFFFF"/>
          <w:sz w:val="15"/>
          <w:shd w:val="clear" w:color="auto" w:fill="DC2626"/>
        </w:rPr>
        <w:t> MAIN CASE · CLASS 2 </w:t>
      </w:r>
    </w:p>
    <w:p w14:paraId="407B0D2C" w14:textId="77777777" w:rsidR="00B844AC" w:rsidRDefault="00F62A06">
      <w:pPr>
        <w:keepNext/>
        <w:pBdr>
          <w:left w:val="single" w:sz="18" w:space="6" w:color="DC2626"/>
        </w:pBdr>
        <w:shd w:val="clear" w:color="auto" w:fill="EAF2FF"/>
        <w:spacing w:after="30"/>
        <w:ind w:left="173"/>
      </w:pPr>
      <w:r>
        <w:rPr>
          <w:b/>
          <w:color w:val="1D4ED8"/>
        </w:rPr>
        <w:t xml:space="preserve">Facts:  </w:t>
      </w:r>
      <w:r>
        <w:t xml:space="preserve">Emergency medical services (EMS) brought a crash victim to the hospital's trauma center, where an on-call independent-contractor surgeon operated, allegedly negligently. A disclaimer saying doctors aren't hospital agents was buried in a consent form the intubated patient never signed.</w:t>
      </w:r>
    </w:p>
    <w:p w14:paraId="4BB51B50" w14:textId="77777777" w:rsidR="00B844AC" w:rsidRDefault="00F62A06">
      <w:pPr>
        <w:keepNext/>
        <w:pBdr>
          <w:left w:val="single" w:sz="18" w:space="6" w:color="DC2626"/>
        </w:pBdr>
        <w:shd w:val="clear" w:color="auto" w:fill="E7F8EE"/>
        <w:spacing w:after="30"/>
        <w:ind w:left="173"/>
      </w:pPr>
      <w:r>
        <w:rPr>
          <w:b/>
          <w:color w:val="15803D"/>
        </w:rPr>
        <w:t xml:space="preserve">Held:  </w:t>
      </w:r>
      <w:r>
        <w:t>The hospital can be vicariously liable for its apparent agent under R2d § 267: representation (holding out a trauma center with surgeons), reliance (patients look to the facility), and reasonableness. Dissent: patient's own belief required.</w:t>
      </w:r>
    </w:p>
    <w:p w14:paraId="7DE5AD17" w14:textId="77777777" w:rsidR="00B844AC" w:rsidRDefault="00F62A06">
      <w:pPr>
        <w:pBdr>
          <w:left w:val="single" w:sz="18" w:space="6" w:color="DC2626"/>
        </w:pBdr>
        <w:shd w:val="clear" w:color="auto" w:fill="FEF6C2"/>
        <w:spacing w:after="80"/>
        <w:ind w:left="173"/>
      </w:pPr>
      <w:r>
        <w:rPr>
          <w:b/>
          <w:color w:val="8A6100"/>
        </w:rPr>
        <w:t xml:space="preserve">Why it matters:  </w:t>
      </w:r>
      <w:r>
        <w:t>Apparent agency can make a principal liable in tort for an independent contractor; disclaimers must be meaningful.</w:t>
      </w:r>
    </w:p>
    <w:p w14:paraId="6F2E542C" w14:textId="77777777" w:rsidR="00B844AC" w:rsidRDefault="00F62A06">
      <w:pPr>
        <w:pStyle w:val="Heading3"/>
      </w:pPr>
      <w:r>
        <w:rPr>
          <w:b w:val="0"/>
        </w:rPr>
        <w:t>Inherent authority (R2d) → R3d replacements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034EC466" w14:textId="77777777">
        <w:trPr>
          <w:cantSplit/>
          <w:jc w:val="center"/>
        </w:trPr>
        <w:tc>
          <w:tcPr>
            <w:tcW w:w="10080" w:type="dxa"/>
            <w:tcBorders>
              <w:top w:val="nil"/>
              <w:left w:val="single" w:sz="30" w:space="0" w:color="7C3AED"/>
              <w:bottom w:val="nil"/>
              <w:right w:val="nil"/>
            </w:tcBorders>
            <w:shd w:val="clear" w:color="auto" w:fill="F3EEFF"/>
          </w:tcPr>
          <w:p w14:paraId="5F600FE6" w14:textId="77777777" w:rsidR="00B844AC" w:rsidRDefault="00F62A06">
            <w:pPr>
              <w:spacing w:after="0"/>
            </w:pPr>
            <w:r>
              <w:rPr>
                <w:b/>
                <w:color w:val="6D28D9"/>
                <w:sz w:val="17"/>
              </w:rPr>
              <w:t xml:space="preserve">RULE  </w:t>
            </w:r>
            <w:r>
              <w:t>R2d § 8A — power derived not from authority, apparent authority or estoppel, but solely from the agency relation, to protect those dealing with agents. § 161: general agent of disclosed P binds P for acts usually incidental to authorized transactions, though forbidden, if T reasonably believes authorized. §§ 194–195: undisclosed P bound for usual acts of an agent it put in charge of its business, despite contrary orders.</w:t>
            </w:r>
          </w:p>
        </w:tc>
      </w:tr>
    </w:tbl>
    <w:p w14:paraId="7FD1285C" w14:textId="77777777" w:rsidR="00B844AC" w:rsidRDefault="00B844AC">
      <w:pPr>
        <w:spacing w:after="0" w:line="100" w:lineRule="exact"/>
      </w:pPr>
    </w:p>
    <w:p w14:paraId="1606512E" w14:textId="77777777" w:rsidR="00B844AC" w:rsidRDefault="00F62A06">
      <w:pPr>
        <w:pStyle w:val="ListBullet"/>
      </w:pPr>
      <w:r>
        <w:rPr>
          <w:b/>
        </w:rPr>
        <w:t>R3d abandons inherent authority:</w:t>
      </w:r>
      <w:r>
        <w:t xml:space="preserve"> § 2.06(1) — undisclosed P liable to T who detrimentally relies, if P, on notice of A's conduct, failed to take reasonable steps to notify (estoppel-like, narrower); § 2.06(2) — undisclosed P can't rely on instructions reducing authority below what T would assume if P were disclosed; § 1.03 positional/customary authority.</w:t>
      </w:r>
    </w:p>
    <w:p w14:paraId="0B651094" w14:textId="77777777" w:rsidR="00B844AC" w:rsidRDefault="00F62A06">
      <w:pPr>
        <w:pStyle w:val="ListBullet"/>
      </w:pPr>
      <w:r>
        <w:t>Rationale: P who selects an agent with discretion vouches for him; third parties shouldn't bear the risk of secret limits; the point of delegation is to avoid constant recourse to P.</w:t>
      </w:r>
    </w:p>
    <w:p w14:paraId="3F39C074" w14:textId="77777777" w:rsidR="00B844AC" w:rsidRDefault="00F62A06">
      <w:pPr>
        <w:keepNext/>
        <w:pBdr>
          <w:left w:val="single" w:sz="18" w:space="6" w:color="DC2626"/>
        </w:pBdr>
        <w:spacing w:before="100" w:after="20"/>
        <w:ind w:left="173"/>
      </w:pPr>
      <w:r>
        <w:rPr>
          <w:b/>
          <w:color w:val="B91C1C"/>
          <w:sz w:val="21"/>
        </w:rPr>
        <w:t>Watteau v. Fenwick (Q.B. 1892)</w:t>
      </w:r>
      <w:r>
        <w:rPr>
          <w:color w:val="B91C1C"/>
          <w:sz w:val="15"/>
        </w:rPr>
        <w:t xml:space="preserve">  </w:t>
      </w:r>
      <w:r>
        <w:rPr>
          <w:b/>
          <w:color w:val="FFFFFF"/>
          <w:sz w:val="15"/>
          <w:shd w:val="clear" w:color="auto" w:fill="DC2626"/>
        </w:rPr>
        <w:t> MAIN CASE · CLASS 2 </w:t>
      </w:r>
    </w:p>
    <w:p w14:paraId="2598EEF2" w14:textId="77777777" w:rsidR="00B844AC" w:rsidRDefault="00F62A06">
      <w:pPr>
        <w:keepNext/>
        <w:pBdr>
          <w:left w:val="single" w:sz="18" w:space="6" w:color="DC2626"/>
        </w:pBdr>
        <w:shd w:val="clear" w:color="auto" w:fill="EAF2FF"/>
        <w:spacing w:after="30"/>
        <w:ind w:left="173"/>
      </w:pPr>
      <w:r>
        <w:rPr>
          <w:b/>
          <w:color w:val="1D4ED8"/>
        </w:rPr>
        <w:t xml:space="preserve">Facts:  </w:t>
      </w:r>
      <w:r>
        <w:t>Brewers owned a pub but kept the former owner, Humble, as manager with his name over the door. They forbade him to buy cigars. He bought cigars on credit from a supplier who had never heard of the brewers.</w:t>
      </w:r>
    </w:p>
    <w:p w14:paraId="7713745B" w14:textId="77777777" w:rsidR="00B844AC" w:rsidRDefault="00F62A06">
      <w:pPr>
        <w:keepNext/>
        <w:pBdr>
          <w:left w:val="single" w:sz="18" w:space="6" w:color="DC2626"/>
        </w:pBdr>
        <w:shd w:val="clear" w:color="auto" w:fill="E7F8EE"/>
        <w:spacing w:after="30"/>
        <w:ind w:left="173"/>
      </w:pPr>
      <w:r>
        <w:rPr>
          <w:b/>
          <w:color w:val="15803D"/>
        </w:rPr>
        <w:t xml:space="preserve">Held:  </w:t>
      </w:r>
      <w:r>
        <w:t>The brewers must pay. An undisclosed principal is liable for acts within the authority usually given to such an agent, despite secret limits.</w:t>
      </w:r>
    </w:p>
    <w:p w14:paraId="4063BAF9" w14:textId="77777777" w:rsidR="00B844AC" w:rsidRDefault="00F62A06">
      <w:pPr>
        <w:pBdr>
          <w:left w:val="single" w:sz="18" w:space="6" w:color="DC2626"/>
        </w:pBdr>
        <w:shd w:val="clear" w:color="auto" w:fill="FEF6C2"/>
        <w:spacing w:after="80"/>
        <w:ind w:left="173"/>
      </w:pPr>
      <w:r>
        <w:rPr>
          <w:b/>
          <w:color w:val="8A6100"/>
        </w:rPr>
        <w:t xml:space="preserve">Why it matters:  </w:t>
      </w:r>
      <w:r>
        <w:t>No actual authority (forbidden) and no apparent authority (supplier didn't know the brewers existed) — yet liability: the classic inherent-agency-power case, replaced in R3d by § 2.06.</w:t>
      </w:r>
    </w:p>
    <w:p w14:paraId="4D08BC4C" w14:textId="77777777" w:rsidR="00B844AC" w:rsidRDefault="00F62A06">
      <w:pPr>
        <w:keepNext/>
        <w:pBdr>
          <w:left w:val="single" w:sz="18" w:space="6" w:color="DC2626"/>
        </w:pBdr>
        <w:spacing w:before="100" w:after="20"/>
        <w:ind w:left="173"/>
      </w:pPr>
      <w:r>
        <w:rPr>
          <w:b/>
          <w:color w:val="B91C1C"/>
          <w:sz w:val="21"/>
        </w:rPr>
        <w:t>Kidd v. Thomas A. Edison, Inc. (S.D.N.Y. 1917, L. Hand, J.)</w:t>
      </w:r>
      <w:r>
        <w:rPr>
          <w:color w:val="B91C1C"/>
          <w:sz w:val="15"/>
        </w:rPr>
        <w:t xml:space="preserve">  </w:t>
      </w:r>
      <w:r>
        <w:rPr>
          <w:b/>
          <w:color w:val="FFFFFF"/>
          <w:sz w:val="15"/>
          <w:shd w:val="clear" w:color="auto" w:fill="DC2626"/>
        </w:rPr>
        <w:t> MAIN CASE · CLASS 2 </w:t>
      </w:r>
    </w:p>
    <w:p w14:paraId="632C8148" w14:textId="77777777" w:rsidR="00B844AC" w:rsidRDefault="00F62A06">
      <w:pPr>
        <w:keepNext/>
        <w:pBdr>
          <w:left w:val="single" w:sz="18" w:space="6" w:color="DC2626"/>
        </w:pBdr>
        <w:shd w:val="clear" w:color="auto" w:fill="EAF2FF"/>
        <w:spacing w:after="30"/>
        <w:ind w:left="173"/>
      </w:pPr>
      <w:r>
        <w:rPr>
          <w:b/>
          <w:color w:val="1D4ED8"/>
        </w:rPr>
        <w:t xml:space="preserve">Facts:  </w:t>
      </w:r>
      <w:r>
        <w:t>Edison's agent Fuller was told secretly to hire singers only for recitals dealers later booked. He hired singer Kidd for an unconditional tour; Edison refused to pay.</w:t>
      </w:r>
    </w:p>
    <w:p w14:paraId="3D68808C" w14:textId="77777777" w:rsidR="00B844AC" w:rsidRDefault="00F62A06">
      <w:pPr>
        <w:keepNext/>
        <w:pBdr>
          <w:left w:val="single" w:sz="18" w:space="6" w:color="DC2626"/>
        </w:pBdr>
        <w:shd w:val="clear" w:color="auto" w:fill="E7F8EE"/>
        <w:spacing w:after="30"/>
        <w:ind w:left="173"/>
      </w:pPr>
      <w:r>
        <w:rPr>
          <w:b/>
          <w:color w:val="15803D"/>
        </w:rPr>
        <w:t xml:space="preserve">Held:  </w:t>
      </w:r>
      <w:r>
        <w:t>Edison is bound (L. Hand). Hiring singers without such an unusual condition was within the customary scope of the job, and the limit was never communicated; choosing an agent "vouches" for him.</w:t>
      </w:r>
    </w:p>
    <w:p w14:paraId="6D184915" w14:textId="77777777" w:rsidR="00B844AC" w:rsidRDefault="00F62A06">
      <w:pPr>
        <w:pBdr>
          <w:left w:val="single" w:sz="18" w:space="6" w:color="DC2626"/>
        </w:pBdr>
        <w:shd w:val="clear" w:color="auto" w:fill="FEF6C2"/>
        <w:spacing w:after="80"/>
        <w:ind w:left="173"/>
      </w:pPr>
      <w:r>
        <w:rPr>
          <w:b/>
          <w:color w:val="8A6100"/>
        </w:rPr>
        <w:t xml:space="preserve">Why it matters:  </w:t>
      </w:r>
      <w:r>
        <w:t>Third parties may rely on the customary scope of an agent's role; uncommunicated, unusual limits don't bind them.</w:t>
      </w:r>
    </w:p>
    <w:p w14:paraId="57B89CBE" w14:textId="77777777" w:rsidR="00B844AC" w:rsidRDefault="00F62A06">
      <w:pPr>
        <w:keepNext/>
        <w:pBdr>
          <w:left w:val="single" w:sz="18" w:space="6" w:color="DC2626"/>
        </w:pBdr>
        <w:spacing w:before="100" w:after="20"/>
        <w:ind w:left="173"/>
      </w:pPr>
      <w:r>
        <w:rPr>
          <w:b/>
          <w:color w:val="B91C1C"/>
          <w:sz w:val="21"/>
        </w:rPr>
        <w:t>Nogales Service Center v. Atlantic Richfield Co. (Ariz. App. 1980)</w:t>
      </w:r>
      <w:r>
        <w:rPr>
          <w:color w:val="B91C1C"/>
          <w:sz w:val="15"/>
        </w:rPr>
        <w:t xml:space="preserve">  </w:t>
      </w:r>
      <w:r>
        <w:rPr>
          <w:b/>
          <w:color w:val="FFFFFF"/>
          <w:sz w:val="15"/>
          <w:shd w:val="clear" w:color="auto" w:fill="DC2626"/>
        </w:rPr>
        <w:t> MAIN CASE · CLASS 2 </w:t>
      </w:r>
    </w:p>
    <w:p w14:paraId="60621770" w14:textId="77777777" w:rsidR="00B844AC" w:rsidRDefault="00F62A06">
      <w:pPr>
        <w:keepNext/>
        <w:pBdr>
          <w:left w:val="single" w:sz="18" w:space="6" w:color="DC2626"/>
        </w:pBdr>
        <w:shd w:val="clear" w:color="auto" w:fill="EAF2FF"/>
        <w:spacing w:after="30"/>
        <w:ind w:left="173"/>
      </w:pPr>
      <w:r>
        <w:rPr>
          <w:b/>
          <w:color w:val="1D4ED8"/>
        </w:rPr>
        <w:t xml:space="preserve">Facts:  </w:t>
      </w:r>
      <w:r>
        <w:t>A truck stop claimed ARCO's marketing manager promised a special fuel discount if it built a motel and restaurant; the manager could grant some discounts but not that one. The jury, instructed only on actual and apparent authority, found for ARCO.</w:t>
      </w:r>
    </w:p>
    <w:p w14:paraId="2E2A0B8A" w14:textId="77777777" w:rsidR="00B844AC" w:rsidRDefault="00F62A06">
      <w:pPr>
        <w:keepNext/>
        <w:pBdr>
          <w:left w:val="single" w:sz="18" w:space="6" w:color="DC2626"/>
        </w:pBdr>
        <w:shd w:val="clear" w:color="auto" w:fill="E7F8EE"/>
        <w:spacing w:after="30"/>
        <w:ind w:left="173"/>
      </w:pPr>
      <w:r>
        <w:rPr>
          <w:b/>
          <w:color w:val="15803D"/>
        </w:rPr>
        <w:t xml:space="preserve">Held:  </w:t>
      </w:r>
      <w:r>
        <w:t>Affirmed on procedural grounds, but the court explained inherent authority (R2d § 161): a general agent can bind the principal to acts usual in his authorized dealings, even if forbidden, without any manifestation by the principal.</w:t>
      </w:r>
    </w:p>
    <w:p w14:paraId="1E097D89" w14:textId="77777777" w:rsidR="00B844AC" w:rsidRDefault="00F62A06">
      <w:pPr>
        <w:pBdr>
          <w:left w:val="single" w:sz="18" w:space="6" w:color="DC2626"/>
        </w:pBdr>
        <w:shd w:val="clear" w:color="auto" w:fill="FEF6C2"/>
        <w:spacing w:after="80"/>
        <w:ind w:left="173"/>
      </w:pPr>
      <w:r>
        <w:rPr>
          <w:b/>
          <w:color w:val="8A6100"/>
        </w:rPr>
        <w:t xml:space="preserve">Why it matters:  </w:t>
      </w:r>
      <w:r>
        <w:t>Draws the line between apparent authority (principal's manifestation) and inherent authority (from the agency relationship itself).</w:t>
      </w:r>
    </w:p>
    <w:p w14:paraId="6D21A06C" w14:textId="77777777" w:rsidR="00B844AC" w:rsidRDefault="00F62A06">
      <w:pPr>
        <w:pStyle w:val="Heading3"/>
      </w:pPr>
      <w:r>
        <w:rPr>
          <w:b w:val="0"/>
        </w:rPr>
        <w:t>Ratification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97AECFE" w14:textId="77777777">
        <w:trPr>
          <w:cantSplit/>
          <w:jc w:val="center"/>
        </w:trPr>
        <w:tc>
          <w:tcPr>
            <w:tcW w:w="10080" w:type="dxa"/>
            <w:tcBorders>
              <w:top w:val="nil"/>
              <w:left w:val="single" w:sz="30" w:space="0" w:color="7C3AED"/>
              <w:bottom w:val="nil"/>
              <w:right w:val="nil"/>
            </w:tcBorders>
            <w:shd w:val="clear" w:color="auto" w:fill="F3EEFF"/>
          </w:tcPr>
          <w:p w14:paraId="3E143D28" w14:textId="77777777" w:rsidR="00B844AC" w:rsidRDefault="00F62A06">
            <w:pPr>
              <w:spacing w:after="0"/>
            </w:pPr>
            <w:r>
              <w:rPr>
                <w:b/>
                <w:color w:val="6D28D9"/>
                <w:sz w:val="17"/>
              </w:rPr>
              <w:t xml:space="preserve">RULE  </w:t>
            </w:r>
            <w:r>
              <w:t>A post-fact affirmance of an unauthorized act done (or purportedly done) on P's behalf that relates back and gives it the effect of actual authority (R2d § 82; R3d §§ 4.01–4.02). It relieves A of liability for exceeding authority.</w:t>
            </w:r>
          </w:p>
        </w:tc>
      </w:tr>
    </w:tbl>
    <w:p w14:paraId="6BE28E5C" w14:textId="77777777" w:rsidR="00B844AC" w:rsidRDefault="00B844AC">
      <w:pPr>
        <w:spacing w:after="0" w:line="100" w:lineRule="exact"/>
      </w:pPr>
    </w:p>
    <w:p w14:paraId="6D7C4133" w14:textId="77777777" w:rsidR="00B844AC" w:rsidRDefault="00F62A06">
      <w:pPr>
        <w:pStyle w:val="ListBullet"/>
      </w:pPr>
      <w:r>
        <w:rPr>
          <w:b/>
        </w:rPr>
        <w:t>Express or implied</w:t>
      </w:r>
      <w:r>
        <w:t xml:space="preserve"> — most commonly by accepting benefits; also silence where there was a duty to speak/disaffirm.</w:t>
      </w:r>
    </w:p>
    <w:p w14:paraId="52DE4361" w14:textId="77777777" w:rsidR="00B844AC" w:rsidRDefault="00F62A06">
      <w:pPr>
        <w:pStyle w:val="ListBullet"/>
      </w:pPr>
      <w:r>
        <w:rPr>
          <w:b/>
        </w:rPr>
        <w:t>Requirements:</w:t>
      </w:r>
      <w:r>
        <w:t xml:space="preserve"> P has knowledge (or reason to know) of all material facts; accepts the </w:t>
      </w:r>
      <w:r>
        <w:rPr>
          <w:b/>
        </w:rPr>
        <w:t>entire</w:t>
      </w:r>
      <w:r>
        <w:t xml:space="preserve"> transaction (no partial ratification, § 4.07); has capacity (existed at time of act; capacity when ratifying, § 4.04); act was done or purported to be done on P's behalf (§ 4.03).</w:t>
      </w:r>
    </w:p>
    <w:p w14:paraId="33CBB1D6" w14:textId="77777777" w:rsidR="00B844AC" w:rsidRDefault="00F62A06">
      <w:pPr>
        <w:pStyle w:val="ListBullet"/>
      </w:pPr>
      <w:r>
        <w:rPr>
          <w:b/>
        </w:rPr>
        <w:t>Can't ratify if:</w:t>
      </w:r>
      <w:r>
        <w:t xml:space="preserve"> performance illegal at time of ratification; T has withdrawn; material change in circumstances (§ 4.05).</w:t>
      </w:r>
    </w:p>
    <w:p w14:paraId="2872312A" w14:textId="77777777" w:rsidR="00B844AC" w:rsidRDefault="00F62A06">
      <w:pPr>
        <w:pStyle w:val="ListBullet"/>
      </w:pPr>
      <w:r>
        <w:rPr>
          <w:b/>
        </w:rPr>
        <w:lastRenderedPageBreak/>
        <w:t>R2d:</w:t>
      </w:r>
      <w:r>
        <w:t xml:space="preserve"> only disclosed and unidentified Ps may ratify; </w:t>
      </w:r>
      <w:r>
        <w:rPr>
          <w:b/>
        </w:rPr>
        <w:t>R3d:</w:t>
      </w:r>
      <w:r>
        <w:t xml:space="preserve"> any P (incl. undisclosed).</w:t>
      </w:r>
    </w:p>
    <w:p w14:paraId="3FD4EA9B" w14:textId="77777777" w:rsidR="00B844AC" w:rsidRDefault="00F62A06">
      <w:pPr>
        <w:pStyle w:val="ListBullet"/>
      </w:pPr>
      <w:r>
        <w:rPr>
          <w:b/>
        </w:rPr>
        <w:t>No retroactive effect</w:t>
      </w:r>
      <w:r>
        <w:t xml:space="preserve"> if P lacked capacity at the time of the act, it would impair intervening third-party rights, or it would be unfair to bind an innocent T (§ 4.02).</w:t>
      </w:r>
    </w:p>
    <w:p w14:paraId="663907AF" w14:textId="77777777" w:rsidR="00B844AC" w:rsidRDefault="00F62A06">
      <w:pPr>
        <w:keepNext/>
        <w:pBdr>
          <w:left w:val="single" w:sz="18" w:space="6" w:color="DC2626"/>
        </w:pBdr>
        <w:spacing w:before="100" w:after="20"/>
        <w:ind w:left="173"/>
      </w:pPr>
      <w:r>
        <w:rPr>
          <w:b/>
          <w:color w:val="B91C1C"/>
          <w:sz w:val="21"/>
        </w:rPr>
        <w:t>Botticello v. Stefanovicz (Conn. 1979)</w:t>
      </w:r>
      <w:r>
        <w:rPr>
          <w:color w:val="B91C1C"/>
          <w:sz w:val="15"/>
        </w:rPr>
        <w:t xml:space="preserve">  </w:t>
      </w:r>
      <w:r>
        <w:rPr>
          <w:b/>
          <w:color w:val="FFFFFF"/>
          <w:sz w:val="15"/>
          <w:shd w:val="clear" w:color="auto" w:fill="DC2626"/>
        </w:rPr>
        <w:t> MAIN CASE · CLASS 2 </w:t>
      </w:r>
    </w:p>
    <w:p w14:paraId="34E8BA70" w14:textId="77777777" w:rsidR="00B844AC" w:rsidRDefault="00F62A06">
      <w:pPr>
        <w:keepNext/>
        <w:pBdr>
          <w:left w:val="single" w:sz="18" w:space="6" w:color="DC2626"/>
        </w:pBdr>
        <w:shd w:val="clear" w:color="auto" w:fill="EAF2FF"/>
        <w:spacing w:after="30"/>
        <w:ind w:left="173"/>
      </w:pPr>
      <w:r>
        <w:rPr>
          <w:b/>
          <w:color w:val="1D4ED8"/>
        </w:rPr>
        <w:t xml:space="preserve">Facts:  </w:t>
      </w:r>
      <w:r>
        <w:t>A husband and wife co-owned a farm. The husband alone signed a lease with an option to buy; the buyer later found the wife was a co-owner. She had received some rent and watched improvements.</w:t>
      </w:r>
    </w:p>
    <w:p w14:paraId="5F4529CF" w14:textId="77777777" w:rsidR="00B844AC" w:rsidRDefault="00F62A06">
      <w:pPr>
        <w:keepNext/>
        <w:pBdr>
          <w:left w:val="single" w:sz="18" w:space="6" w:color="DC2626"/>
        </w:pBdr>
        <w:shd w:val="clear" w:color="auto" w:fill="E7F8EE"/>
        <w:spacing w:after="30"/>
        <w:ind w:left="173"/>
      </w:pPr>
      <w:r>
        <w:rPr>
          <w:b/>
          <w:color w:val="15803D"/>
        </w:rPr>
        <w:t xml:space="preserve">Held:  </w:t>
      </w:r>
      <w:r>
        <w:t>The wife isn't bound. Marriage and co-ownership don't make one spouse the other's agent, and there was no ratification — she lacked full knowledge and intent, and he never claimed to act for her.</w:t>
      </w:r>
    </w:p>
    <w:p w14:paraId="7B61E335" w14:textId="77777777" w:rsidR="00B844AC" w:rsidRDefault="00F62A06">
      <w:pPr>
        <w:pBdr>
          <w:left w:val="single" w:sz="18" w:space="6" w:color="DC2626"/>
        </w:pBdr>
        <w:shd w:val="clear" w:color="auto" w:fill="FEF6C2"/>
        <w:spacing w:after="80"/>
        <w:ind w:left="173"/>
      </w:pPr>
      <w:r>
        <w:rPr>
          <w:b/>
          <w:color w:val="8A6100"/>
        </w:rPr>
        <w:t xml:space="preserve">Why it matters:  </w:t>
      </w:r>
      <w:r>
        <w:t>Agency must be proven, and you can only ratify an act done (or purportedly done) on your behalf, with full knowledge.</w:t>
      </w:r>
    </w:p>
    <w:p w14:paraId="75564F81" w14:textId="77777777" w:rsidR="00B844AC" w:rsidRDefault="00F62A06">
      <w:pPr>
        <w:keepNext/>
        <w:pBdr>
          <w:left w:val="single" w:sz="18" w:space="6" w:color="DC2626"/>
        </w:pBdr>
        <w:spacing w:before="100" w:after="20"/>
        <w:ind w:left="173"/>
      </w:pPr>
      <w:r>
        <w:rPr>
          <w:b/>
          <w:color w:val="B91C1C"/>
          <w:sz w:val="21"/>
        </w:rPr>
        <w:t>Ercanbrack v. Crandall-Walker Motor Co. (Utah 1976)</w:t>
      </w:r>
      <w:r>
        <w:rPr>
          <w:color w:val="B91C1C"/>
          <w:sz w:val="15"/>
        </w:rPr>
        <w:t xml:space="preserve">  </w:t>
      </w:r>
      <w:r>
        <w:rPr>
          <w:b/>
          <w:color w:val="FFFFFF"/>
          <w:sz w:val="15"/>
          <w:shd w:val="clear" w:color="auto" w:fill="DC2626"/>
        </w:rPr>
        <w:t> MAIN CASE · CLASS 2 </w:t>
      </w:r>
    </w:p>
    <w:p w14:paraId="0B34ED65" w14:textId="77777777" w:rsidR="00B844AC" w:rsidRDefault="00F62A06">
      <w:pPr>
        <w:keepNext/>
        <w:pBdr>
          <w:left w:val="single" w:sz="18" w:space="6" w:color="DC2626"/>
        </w:pBdr>
        <w:shd w:val="clear" w:color="auto" w:fill="EAF2FF"/>
        <w:spacing w:after="30"/>
        <w:ind w:left="173"/>
      </w:pPr>
      <w:r>
        <w:rPr>
          <w:b/>
          <w:color w:val="1D4ED8"/>
        </w:rPr>
        <w:t xml:space="preserve">Facts:  </w:t>
      </w:r>
      <w:r>
        <w:t>A buyer signed a truck order that a salesman signed; the form said it wasn't valid unless accepted by a manager or officer, and none signed. When the price rose, the buyer argued the dealer ratified the order by not objecting.</w:t>
      </w:r>
    </w:p>
    <w:p w14:paraId="0883F3F7" w14:textId="77777777" w:rsidR="00B844AC" w:rsidRDefault="00F62A06">
      <w:pPr>
        <w:keepNext/>
        <w:pBdr>
          <w:left w:val="single" w:sz="18" w:space="6" w:color="DC2626"/>
        </w:pBdr>
        <w:shd w:val="clear" w:color="auto" w:fill="E7F8EE"/>
        <w:spacing w:after="30"/>
        <w:ind w:left="173"/>
      </w:pPr>
      <w:r>
        <w:rPr>
          <w:b/>
          <w:color w:val="15803D"/>
        </w:rPr>
        <w:t xml:space="preserve">Held:  </w:t>
      </w:r>
      <w:r>
        <w:t>No contract. Silence can ratify only if the principal knows of the deal, and no officer knew. "Ratification of an act about which the principal knows nothing is inherently impossible."</w:t>
      </w:r>
    </w:p>
    <w:p w14:paraId="49330E04" w14:textId="77777777" w:rsidR="00B844AC" w:rsidRDefault="00F62A06">
      <w:pPr>
        <w:pBdr>
          <w:left w:val="single" w:sz="18" w:space="6" w:color="DC2626"/>
        </w:pBdr>
        <w:shd w:val="clear" w:color="auto" w:fill="FEF6C2"/>
        <w:spacing w:after="80"/>
        <w:ind w:left="173"/>
      </w:pPr>
      <w:r>
        <w:rPr>
          <w:b/>
          <w:color w:val="8A6100"/>
        </w:rPr>
        <w:t xml:space="preserve">Why it matters:  </w:t>
      </w:r>
      <w:r>
        <w:t>Ratification requires the principal's knowledge.</w:t>
      </w:r>
    </w:p>
    <w:p w14:paraId="46AD8DA3" w14:textId="77777777" w:rsidR="00B844AC" w:rsidRDefault="00F62A06">
      <w:pPr>
        <w:pStyle w:val="Heading3"/>
      </w:pPr>
      <w:r>
        <w:rPr>
          <w:b w:val="0"/>
        </w:rPr>
        <w:t>Estoppel</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45AB56B" w14:textId="77777777">
        <w:trPr>
          <w:cantSplit/>
          <w:jc w:val="center"/>
        </w:trPr>
        <w:tc>
          <w:tcPr>
            <w:tcW w:w="10080" w:type="dxa"/>
            <w:tcBorders>
              <w:top w:val="nil"/>
              <w:left w:val="single" w:sz="30" w:space="0" w:color="7C3AED"/>
              <w:bottom w:val="nil"/>
              <w:right w:val="nil"/>
            </w:tcBorders>
            <w:shd w:val="clear" w:color="auto" w:fill="F3EEFF"/>
          </w:tcPr>
          <w:p w14:paraId="0B1F8C6C" w14:textId="77777777" w:rsidR="00B844AC" w:rsidRDefault="00F62A06">
            <w:pPr>
              <w:spacing w:after="0"/>
            </w:pPr>
            <w:r>
              <w:rPr>
                <w:b/>
                <w:color w:val="6D28D9"/>
                <w:sz w:val="17"/>
              </w:rPr>
              <w:t xml:space="preserve">RULE  </w:t>
            </w:r>
            <w:r>
              <w:t>A person not otherwise liable is liable to a third party justifiably induced to make a detrimental change of position, if the person intentionally or carelessly caused the belief that the transaction was on its account, or, knowing of the belief, failed to take reasonable steps to correct it (R3d § 2.05; R2d § 8B).</w:t>
            </w:r>
          </w:p>
        </w:tc>
      </w:tr>
    </w:tbl>
    <w:p w14:paraId="36EEADD4" w14:textId="77777777" w:rsidR="00B844AC" w:rsidRDefault="00B844AC">
      <w:pPr>
        <w:spacing w:after="0" w:line="100" w:lineRule="exact"/>
      </w:pPr>
    </w:p>
    <w:p w14:paraId="7D8F5D54" w14:textId="77777777" w:rsidR="00B844AC" w:rsidRDefault="00F62A06">
      <w:pPr>
        <w:keepNext/>
        <w:pBdr>
          <w:left w:val="single" w:sz="18" w:space="6" w:color="DC2626"/>
        </w:pBdr>
        <w:spacing w:before="100" w:after="20"/>
        <w:ind w:left="173"/>
      </w:pPr>
      <w:r>
        <w:rPr>
          <w:b/>
          <w:color w:val="B91C1C"/>
          <w:sz w:val="21"/>
        </w:rPr>
        <w:t>Hoddeson v. Koos Bros. (N.J. App. Div. 1957)</w:t>
      </w:r>
      <w:r>
        <w:rPr>
          <w:color w:val="B91C1C"/>
          <w:sz w:val="15"/>
        </w:rPr>
        <w:t xml:space="preserve">  </w:t>
      </w:r>
      <w:r>
        <w:rPr>
          <w:b/>
          <w:color w:val="FFFFFF"/>
          <w:sz w:val="15"/>
          <w:shd w:val="clear" w:color="auto" w:fill="DC2626"/>
        </w:rPr>
        <w:t> MAIN CASE · CLASS 3 </w:t>
      </w:r>
    </w:p>
    <w:p w14:paraId="7FFC4C02" w14:textId="77777777" w:rsidR="00B844AC" w:rsidRDefault="00F62A06">
      <w:pPr>
        <w:keepNext/>
        <w:pBdr>
          <w:left w:val="single" w:sz="18" w:space="6" w:color="DC2626"/>
        </w:pBdr>
        <w:shd w:val="clear" w:color="auto" w:fill="EAF2FF"/>
        <w:spacing w:after="30"/>
        <w:ind w:left="173"/>
      </w:pPr>
      <w:r>
        <w:rPr>
          <w:b/>
          <w:color w:val="1D4ED8"/>
        </w:rPr>
        <w:t xml:space="preserve">Facts:  </w:t>
      </w:r>
      <w:r>
        <w:t>A man posing as a furniture salesman took a customer's $168.50 cash; the store had no record and said he was an impostor.</w:t>
      </w:r>
    </w:p>
    <w:p w14:paraId="0CFCE988" w14:textId="77777777" w:rsidR="00B844AC" w:rsidRDefault="00F62A06">
      <w:pPr>
        <w:keepNext/>
        <w:pBdr>
          <w:left w:val="single" w:sz="18" w:space="6" w:color="DC2626"/>
        </w:pBdr>
        <w:shd w:val="clear" w:color="auto" w:fill="E7F8EE"/>
        <w:spacing w:after="30"/>
        <w:ind w:left="173"/>
      </w:pPr>
      <w:r>
        <w:rPr>
          <w:b/>
          <w:color w:val="15803D"/>
        </w:rPr>
        <w:t xml:space="preserve">Held:  </w:t>
      </w:r>
      <w:r>
        <w:t>No apparent authority — it must come from the store's manifestations, not the impostor's acts. But new trial on estoppel: a store must use reasonable care to keep impostors from posing as staff. Plaintiff must prove the store's negligent appearance of authority, her reasonable reliance, and her change of position.</w:t>
      </w:r>
    </w:p>
    <w:p w14:paraId="5D97C32C" w14:textId="77777777" w:rsidR="00B844AC" w:rsidRDefault="00F62A06">
      <w:pPr>
        <w:pBdr>
          <w:left w:val="single" w:sz="18" w:space="6" w:color="DC2626"/>
        </w:pBdr>
        <w:shd w:val="clear" w:color="auto" w:fill="FEF6C2"/>
        <w:spacing w:after="80"/>
        <w:ind w:left="173"/>
      </w:pPr>
      <w:r>
        <w:rPr>
          <w:b/>
          <w:color w:val="8A6100"/>
        </w:rPr>
        <w:t xml:space="preserve">Why it matters:  </w:t>
      </w:r>
      <w:r>
        <w:t>Separates apparent authority from estoppel based on the principal's carelessness plus detrimental reliance.</w:t>
      </w:r>
    </w:p>
    <w:p w14:paraId="222754BD" w14:textId="77777777" w:rsidR="00B844AC" w:rsidRDefault="00F62A06">
      <w:pPr>
        <w:keepNext/>
        <w:pBdr>
          <w:left w:val="single" w:sz="18" w:space="6" w:color="DC2626"/>
        </w:pBdr>
        <w:spacing w:before="100" w:after="20"/>
        <w:ind w:left="173"/>
      </w:pPr>
      <w:r>
        <w:rPr>
          <w:b/>
          <w:color w:val="B91C1C"/>
          <w:sz w:val="21"/>
        </w:rPr>
        <w:t>Trustees of the American Federation of Musicians &amp; Employers' Pension Fund v. Steven Scott Enterprises, Inc. (S.D.N.Y. 1999)</w:t>
      </w:r>
      <w:r>
        <w:rPr>
          <w:color w:val="B91C1C"/>
          <w:sz w:val="15"/>
        </w:rPr>
        <w:t xml:space="preserve">  </w:t>
      </w:r>
      <w:r>
        <w:rPr>
          <w:b/>
          <w:color w:val="FFFFFF"/>
          <w:sz w:val="15"/>
          <w:shd w:val="clear" w:color="auto" w:fill="DC2626"/>
        </w:rPr>
        <w:t> MAIN CASE · CLASS 3 </w:t>
      </w:r>
    </w:p>
    <w:p w14:paraId="59EAA3C3" w14:textId="77777777" w:rsidR="00B844AC" w:rsidRDefault="00F62A06">
      <w:pPr>
        <w:keepNext/>
        <w:pBdr>
          <w:left w:val="single" w:sz="18" w:space="6" w:color="DC2626"/>
        </w:pBdr>
        <w:shd w:val="clear" w:color="auto" w:fill="EAF2FF"/>
        <w:spacing w:after="30"/>
        <w:ind w:left="173"/>
      </w:pPr>
      <w:r>
        <w:rPr>
          <w:b/>
          <w:color w:val="1D4ED8"/>
        </w:rPr>
        <w:t xml:space="preserve">Facts:  </w:t>
      </w:r>
      <w:r>
        <w:t>A union president who was also a pension-fund trustee signed 15 settlements with an employer saying they bound the fund, though only the fund's board could settle. The fund cashed all 15 checks sent with the agreements and never objected.</w:t>
      </w:r>
    </w:p>
    <w:p w14:paraId="19994629" w14:textId="77777777" w:rsidR="00B844AC" w:rsidRDefault="00F62A06">
      <w:pPr>
        <w:keepNext/>
        <w:pBdr>
          <w:left w:val="single" w:sz="18" w:space="6" w:color="DC2626"/>
        </w:pBdr>
        <w:shd w:val="clear" w:color="auto" w:fill="E7F8EE"/>
        <w:spacing w:after="30"/>
        <w:ind w:left="173"/>
      </w:pPr>
      <w:r>
        <w:rPr>
          <w:b/>
          <w:color w:val="15803D"/>
        </w:rPr>
        <w:t xml:space="preserve">Held:  </w:t>
      </w:r>
      <w:r>
        <w:t>The fund is bound to all 15 — by estoppel and apparent authority (until the employer learned of the board's exclusive power) and by ratification (knowledge plus accepting the money).</w:t>
      </w:r>
    </w:p>
    <w:p w14:paraId="28254FF6" w14:textId="77777777" w:rsidR="00B844AC" w:rsidRDefault="00F62A06">
      <w:pPr>
        <w:pBdr>
          <w:left w:val="single" w:sz="18" w:space="6" w:color="DC2626"/>
        </w:pBdr>
        <w:shd w:val="clear" w:color="auto" w:fill="FEF6C2"/>
        <w:spacing w:after="80"/>
        <w:ind w:left="173"/>
      </w:pPr>
      <w:r>
        <w:rPr>
          <w:b/>
          <w:color w:val="8A6100"/>
        </w:rPr>
        <w:t xml:space="preserve">Why it matters:  </w:t>
      </w:r>
      <w:r>
        <w:t>One fact pattern showing apparent authority, estoppel and ratification, and how notice of real limits ends reasonable reliance.</w:t>
      </w:r>
    </w:p>
    <w:p w14:paraId="3A796BA1" w14:textId="77777777" w:rsidR="00B844AC" w:rsidRDefault="00F62A06">
      <w:pPr>
        <w:pStyle w:val="Heading3"/>
      </w:pPr>
      <w:r>
        <w:rPr>
          <w:b w:val="0"/>
        </w:rPr>
        <w:t>Comparing the routes to contract liability</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047"/>
        <w:gridCol w:w="1222"/>
        <w:gridCol w:w="2943"/>
        <w:gridCol w:w="2943"/>
        <w:gridCol w:w="1925"/>
      </w:tblGrid>
      <w:tr w:rsidR="00B844AC" w14:paraId="140CBA5C" w14:textId="77777777">
        <w:trPr>
          <w:cantSplit/>
          <w:tblHeader/>
          <w:jc w:val="center"/>
        </w:trPr>
        <w:tc>
          <w:tcPr>
            <w:tcW w:w="1046" w:type="dxa"/>
            <w:tcBorders>
              <w:top w:val="single" w:sz="4" w:space="0" w:color="BFC9D9"/>
              <w:left w:val="single" w:sz="4" w:space="0" w:color="BFC9D9"/>
              <w:bottom w:val="single" w:sz="4" w:space="0" w:color="BFC9D9"/>
              <w:right w:val="single" w:sz="4" w:space="0" w:color="BFC9D9"/>
            </w:tcBorders>
            <w:shd w:val="clear" w:color="auto" w:fill="1F3864"/>
          </w:tcPr>
          <w:p w14:paraId="5F22E278" w14:textId="77777777" w:rsidR="00B844AC" w:rsidRDefault="00F62A06">
            <w:pPr>
              <w:spacing w:after="0" w:line="240" w:lineRule="auto"/>
            </w:pPr>
            <w:r>
              <w:rPr>
                <w:b/>
                <w:color w:val="FFFFFF"/>
                <w:sz w:val="17"/>
              </w:rPr>
              <w:t>Theory</w:t>
            </w:r>
          </w:p>
        </w:tc>
        <w:tc>
          <w:tcPr>
            <w:tcW w:w="1222" w:type="dxa"/>
            <w:tcBorders>
              <w:top w:val="single" w:sz="4" w:space="0" w:color="BFC9D9"/>
              <w:left w:val="single" w:sz="4" w:space="0" w:color="BFC9D9"/>
              <w:bottom w:val="single" w:sz="4" w:space="0" w:color="BFC9D9"/>
              <w:right w:val="single" w:sz="4" w:space="0" w:color="BFC9D9"/>
            </w:tcBorders>
            <w:shd w:val="clear" w:color="auto" w:fill="1F3864"/>
          </w:tcPr>
          <w:p w14:paraId="5856ED69" w14:textId="77777777" w:rsidR="00B844AC" w:rsidRDefault="00F62A06">
            <w:pPr>
              <w:spacing w:after="0" w:line="240" w:lineRule="auto"/>
            </w:pPr>
            <w:r>
              <w:rPr>
                <w:b/>
                <w:color w:val="FFFFFF"/>
                <w:sz w:val="17"/>
              </w:rPr>
              <w:t>Whose perspective</w:t>
            </w:r>
          </w:p>
        </w:tc>
        <w:tc>
          <w:tcPr>
            <w:tcW w:w="2943" w:type="dxa"/>
            <w:tcBorders>
              <w:top w:val="single" w:sz="4" w:space="0" w:color="BFC9D9"/>
              <w:left w:val="single" w:sz="4" w:space="0" w:color="BFC9D9"/>
              <w:bottom w:val="single" w:sz="4" w:space="0" w:color="BFC9D9"/>
              <w:right w:val="single" w:sz="4" w:space="0" w:color="BFC9D9"/>
            </w:tcBorders>
            <w:shd w:val="clear" w:color="auto" w:fill="1F3864"/>
          </w:tcPr>
          <w:p w14:paraId="19DEAA7E" w14:textId="77777777" w:rsidR="00B844AC" w:rsidRDefault="00F62A06">
            <w:pPr>
              <w:spacing w:after="0" w:line="240" w:lineRule="auto"/>
            </w:pPr>
            <w:r>
              <w:rPr>
                <w:b/>
                <w:color w:val="FFFFFF"/>
                <w:sz w:val="17"/>
              </w:rPr>
              <w:t>P's manifestation needed?</w:t>
            </w:r>
          </w:p>
        </w:tc>
        <w:tc>
          <w:tcPr>
            <w:tcW w:w="2943" w:type="dxa"/>
            <w:tcBorders>
              <w:top w:val="single" w:sz="4" w:space="0" w:color="BFC9D9"/>
              <w:left w:val="single" w:sz="4" w:space="0" w:color="BFC9D9"/>
              <w:bottom w:val="single" w:sz="4" w:space="0" w:color="BFC9D9"/>
              <w:right w:val="single" w:sz="4" w:space="0" w:color="BFC9D9"/>
            </w:tcBorders>
            <w:shd w:val="clear" w:color="auto" w:fill="1F3864"/>
          </w:tcPr>
          <w:p w14:paraId="0E3F52FB" w14:textId="77777777" w:rsidR="00B844AC" w:rsidRDefault="00F62A06">
            <w:pPr>
              <w:spacing w:after="0" w:line="240" w:lineRule="auto"/>
            </w:pPr>
            <w:r>
              <w:rPr>
                <w:b/>
                <w:color w:val="FFFFFF"/>
                <w:sz w:val="17"/>
              </w:rPr>
              <w:t>T's reliance needed?</w:t>
            </w:r>
          </w:p>
        </w:tc>
        <w:tc>
          <w:tcPr>
            <w:tcW w:w="1925" w:type="dxa"/>
            <w:tcBorders>
              <w:top w:val="single" w:sz="4" w:space="0" w:color="BFC9D9"/>
              <w:left w:val="single" w:sz="4" w:space="0" w:color="BFC9D9"/>
              <w:bottom w:val="single" w:sz="4" w:space="0" w:color="BFC9D9"/>
              <w:right w:val="single" w:sz="4" w:space="0" w:color="BFC9D9"/>
            </w:tcBorders>
            <w:shd w:val="clear" w:color="auto" w:fill="1F3864"/>
          </w:tcPr>
          <w:p w14:paraId="2E5F2B4B" w14:textId="77777777" w:rsidR="00B844AC" w:rsidRDefault="00F62A06">
            <w:pPr>
              <w:spacing w:after="0" w:line="240" w:lineRule="auto"/>
            </w:pPr>
            <w:r>
              <w:rPr>
                <w:b/>
                <w:color w:val="FFFFFF"/>
                <w:sz w:val="17"/>
              </w:rPr>
              <w:t>Effect</w:t>
            </w:r>
          </w:p>
        </w:tc>
      </w:tr>
      <w:tr w:rsidR="00B844AC" w14:paraId="7E0F84CF" w14:textId="77777777">
        <w:trPr>
          <w:cantSplit/>
          <w:jc w:val="center"/>
        </w:trPr>
        <w:tc>
          <w:tcPr>
            <w:tcW w:w="1046" w:type="dxa"/>
            <w:tcBorders>
              <w:top w:val="single" w:sz="4" w:space="0" w:color="BFC9D9"/>
              <w:left w:val="single" w:sz="24" w:space="0" w:color="EF4444"/>
              <w:bottom w:val="single" w:sz="4" w:space="0" w:color="BFC9D9"/>
              <w:right w:val="single" w:sz="4" w:space="0" w:color="BFC9D9"/>
            </w:tcBorders>
            <w:shd w:val="clear" w:color="auto" w:fill="FDEDED"/>
          </w:tcPr>
          <w:p w14:paraId="4756144B" w14:textId="77777777" w:rsidR="00B844AC" w:rsidRDefault="00F62A06">
            <w:pPr>
              <w:spacing w:after="0" w:line="240" w:lineRule="auto"/>
            </w:pPr>
            <w:r>
              <w:rPr>
                <w:b/>
                <w:sz w:val="17"/>
              </w:rPr>
              <w:t>Express actual</w:t>
            </w:r>
          </w:p>
        </w:tc>
        <w:tc>
          <w:tcPr>
            <w:tcW w:w="1222" w:type="dxa"/>
            <w:tcBorders>
              <w:top w:val="single" w:sz="4" w:space="0" w:color="BFC9D9"/>
              <w:left w:val="single" w:sz="4" w:space="0" w:color="BFC9D9"/>
              <w:bottom w:val="single" w:sz="4" w:space="0" w:color="BFC9D9"/>
              <w:right w:val="single" w:sz="4" w:space="0" w:color="BFC9D9"/>
            </w:tcBorders>
            <w:shd w:val="clear" w:color="auto" w:fill="FDEDED"/>
          </w:tcPr>
          <w:p w14:paraId="4C5555EA" w14:textId="77777777" w:rsidR="00B844AC" w:rsidRDefault="00F62A06">
            <w:pPr>
              <w:spacing w:after="0" w:line="240" w:lineRule="auto"/>
            </w:pPr>
            <w:r>
              <w:rPr>
                <w:sz w:val="17"/>
              </w:rPr>
              <w:t>Agent</w:t>
            </w:r>
          </w:p>
        </w:tc>
        <w:tc>
          <w:tcPr>
            <w:tcW w:w="2943" w:type="dxa"/>
            <w:tcBorders>
              <w:top w:val="single" w:sz="4" w:space="0" w:color="BFC9D9"/>
              <w:left w:val="single" w:sz="4" w:space="0" w:color="BFC9D9"/>
              <w:bottom w:val="single" w:sz="4" w:space="0" w:color="BFC9D9"/>
              <w:right w:val="single" w:sz="4" w:space="0" w:color="BFC9D9"/>
            </w:tcBorders>
            <w:shd w:val="clear" w:color="auto" w:fill="FDEDED"/>
          </w:tcPr>
          <w:p w14:paraId="00CDD597" w14:textId="77777777" w:rsidR="00B844AC" w:rsidRDefault="00F62A06">
            <w:pPr>
              <w:spacing w:after="0" w:line="240" w:lineRule="auto"/>
            </w:pPr>
            <w:r>
              <w:rPr>
                <w:sz w:val="17"/>
              </w:rPr>
              <w:t>Yes — to the agent (words)</w:t>
            </w:r>
          </w:p>
        </w:tc>
        <w:tc>
          <w:tcPr>
            <w:tcW w:w="2943" w:type="dxa"/>
            <w:tcBorders>
              <w:top w:val="single" w:sz="4" w:space="0" w:color="BFC9D9"/>
              <w:left w:val="single" w:sz="4" w:space="0" w:color="BFC9D9"/>
              <w:bottom w:val="single" w:sz="4" w:space="0" w:color="BFC9D9"/>
              <w:right w:val="single" w:sz="4" w:space="0" w:color="BFC9D9"/>
            </w:tcBorders>
            <w:shd w:val="clear" w:color="auto" w:fill="FDEDED"/>
          </w:tcPr>
          <w:p w14:paraId="7387C4B0" w14:textId="77777777" w:rsidR="00B844AC" w:rsidRDefault="00F62A06">
            <w:pPr>
              <w:spacing w:after="0" w:line="240" w:lineRule="auto"/>
            </w:pPr>
            <w:r>
              <w:rPr>
                <w:sz w:val="17"/>
              </w:rPr>
              <w:t>No</w:t>
            </w:r>
          </w:p>
        </w:tc>
        <w:tc>
          <w:tcPr>
            <w:tcW w:w="1925" w:type="dxa"/>
            <w:tcBorders>
              <w:top w:val="single" w:sz="4" w:space="0" w:color="BFC9D9"/>
              <w:left w:val="single" w:sz="4" w:space="0" w:color="BFC9D9"/>
              <w:bottom w:val="single" w:sz="4" w:space="0" w:color="BFC9D9"/>
              <w:right w:val="single" w:sz="4" w:space="0" w:color="BFC9D9"/>
            </w:tcBorders>
            <w:shd w:val="clear" w:color="auto" w:fill="FDEDED"/>
          </w:tcPr>
          <w:p w14:paraId="3A91950A" w14:textId="77777777" w:rsidR="00B844AC" w:rsidRDefault="00F62A06">
            <w:pPr>
              <w:spacing w:after="0" w:line="240" w:lineRule="auto"/>
            </w:pPr>
            <w:r>
              <w:rPr>
                <w:sz w:val="17"/>
              </w:rPr>
              <w:t>P and T bound</w:t>
            </w:r>
          </w:p>
        </w:tc>
      </w:tr>
      <w:tr w:rsidR="00B844AC" w14:paraId="5171B728" w14:textId="77777777">
        <w:trPr>
          <w:cantSplit/>
          <w:jc w:val="center"/>
        </w:trPr>
        <w:tc>
          <w:tcPr>
            <w:tcW w:w="1046" w:type="dxa"/>
            <w:tcBorders>
              <w:top w:val="single" w:sz="4" w:space="0" w:color="BFC9D9"/>
              <w:left w:val="single" w:sz="24" w:space="0" w:color="F97316"/>
              <w:bottom w:val="single" w:sz="4" w:space="0" w:color="BFC9D9"/>
              <w:right w:val="single" w:sz="4" w:space="0" w:color="BFC9D9"/>
            </w:tcBorders>
            <w:shd w:val="clear" w:color="auto" w:fill="FFF1E3"/>
          </w:tcPr>
          <w:p w14:paraId="3466F3C8" w14:textId="77777777" w:rsidR="00B844AC" w:rsidRDefault="00F62A06">
            <w:pPr>
              <w:spacing w:after="0" w:line="240" w:lineRule="auto"/>
            </w:pPr>
            <w:r>
              <w:rPr>
                <w:b/>
                <w:sz w:val="17"/>
              </w:rPr>
              <w:t>Implied actual</w:t>
            </w:r>
          </w:p>
        </w:tc>
        <w:tc>
          <w:tcPr>
            <w:tcW w:w="1222" w:type="dxa"/>
            <w:tcBorders>
              <w:top w:val="single" w:sz="4" w:space="0" w:color="BFC9D9"/>
              <w:left w:val="single" w:sz="4" w:space="0" w:color="BFC9D9"/>
              <w:bottom w:val="single" w:sz="4" w:space="0" w:color="BFC9D9"/>
              <w:right w:val="single" w:sz="4" w:space="0" w:color="BFC9D9"/>
            </w:tcBorders>
            <w:shd w:val="clear" w:color="auto" w:fill="FFF1E3"/>
          </w:tcPr>
          <w:p w14:paraId="6CA31FC9" w14:textId="77777777" w:rsidR="00B844AC" w:rsidRDefault="00F62A06">
            <w:pPr>
              <w:spacing w:after="0" w:line="240" w:lineRule="auto"/>
            </w:pPr>
            <w:r>
              <w:rPr>
                <w:sz w:val="17"/>
              </w:rPr>
              <w:t>Agent</w:t>
            </w:r>
          </w:p>
        </w:tc>
        <w:tc>
          <w:tcPr>
            <w:tcW w:w="2943" w:type="dxa"/>
            <w:tcBorders>
              <w:top w:val="single" w:sz="4" w:space="0" w:color="BFC9D9"/>
              <w:left w:val="single" w:sz="4" w:space="0" w:color="BFC9D9"/>
              <w:bottom w:val="single" w:sz="4" w:space="0" w:color="BFC9D9"/>
              <w:right w:val="single" w:sz="4" w:space="0" w:color="BFC9D9"/>
            </w:tcBorders>
            <w:shd w:val="clear" w:color="auto" w:fill="FFF1E3"/>
          </w:tcPr>
          <w:p w14:paraId="490763F2" w14:textId="77777777" w:rsidR="00B844AC" w:rsidRDefault="00F62A06">
            <w:pPr>
              <w:spacing w:after="0" w:line="240" w:lineRule="auto"/>
            </w:pPr>
            <w:r>
              <w:rPr>
                <w:sz w:val="17"/>
              </w:rPr>
              <w:t>Yes — to the agent (conduct, custom, past practice)</w:t>
            </w:r>
          </w:p>
        </w:tc>
        <w:tc>
          <w:tcPr>
            <w:tcW w:w="2943" w:type="dxa"/>
            <w:tcBorders>
              <w:top w:val="single" w:sz="4" w:space="0" w:color="BFC9D9"/>
              <w:left w:val="single" w:sz="4" w:space="0" w:color="BFC9D9"/>
              <w:bottom w:val="single" w:sz="4" w:space="0" w:color="BFC9D9"/>
              <w:right w:val="single" w:sz="4" w:space="0" w:color="BFC9D9"/>
            </w:tcBorders>
            <w:shd w:val="clear" w:color="auto" w:fill="FFF1E3"/>
          </w:tcPr>
          <w:p w14:paraId="3B92138E" w14:textId="77777777" w:rsidR="00B844AC" w:rsidRDefault="00F62A06">
            <w:pPr>
              <w:spacing w:after="0" w:line="240" w:lineRule="auto"/>
            </w:pPr>
            <w:r>
              <w:rPr>
                <w:sz w:val="17"/>
              </w:rPr>
              <w:t>No</w:t>
            </w:r>
          </w:p>
        </w:tc>
        <w:tc>
          <w:tcPr>
            <w:tcW w:w="1925" w:type="dxa"/>
            <w:tcBorders>
              <w:top w:val="single" w:sz="4" w:space="0" w:color="BFC9D9"/>
              <w:left w:val="single" w:sz="4" w:space="0" w:color="BFC9D9"/>
              <w:bottom w:val="single" w:sz="4" w:space="0" w:color="BFC9D9"/>
              <w:right w:val="single" w:sz="4" w:space="0" w:color="BFC9D9"/>
            </w:tcBorders>
            <w:shd w:val="clear" w:color="auto" w:fill="FFF1E3"/>
          </w:tcPr>
          <w:p w14:paraId="6E0503DA" w14:textId="77777777" w:rsidR="00B844AC" w:rsidRDefault="00F62A06">
            <w:pPr>
              <w:spacing w:after="0" w:line="240" w:lineRule="auto"/>
            </w:pPr>
            <w:r>
              <w:rPr>
                <w:sz w:val="17"/>
              </w:rPr>
              <w:t>P and T bound</w:t>
            </w:r>
          </w:p>
        </w:tc>
      </w:tr>
      <w:tr w:rsidR="00B844AC" w14:paraId="7F1D8FF1" w14:textId="77777777">
        <w:trPr>
          <w:cantSplit/>
          <w:jc w:val="center"/>
        </w:trPr>
        <w:tc>
          <w:tcPr>
            <w:tcW w:w="1046" w:type="dxa"/>
            <w:tcBorders>
              <w:top w:val="single" w:sz="4" w:space="0" w:color="BFC9D9"/>
              <w:left w:val="single" w:sz="24" w:space="0" w:color="EAB308"/>
              <w:bottom w:val="single" w:sz="4" w:space="0" w:color="BFC9D9"/>
              <w:right w:val="single" w:sz="4" w:space="0" w:color="BFC9D9"/>
            </w:tcBorders>
            <w:shd w:val="clear" w:color="auto" w:fill="FEF8D2"/>
          </w:tcPr>
          <w:p w14:paraId="128C6834" w14:textId="77777777" w:rsidR="00B844AC" w:rsidRDefault="00F62A06">
            <w:pPr>
              <w:spacing w:after="0" w:line="240" w:lineRule="auto"/>
            </w:pPr>
            <w:r>
              <w:rPr>
                <w:b/>
                <w:sz w:val="17"/>
              </w:rPr>
              <w:t>Apparent</w:t>
            </w:r>
          </w:p>
        </w:tc>
        <w:tc>
          <w:tcPr>
            <w:tcW w:w="1222" w:type="dxa"/>
            <w:tcBorders>
              <w:top w:val="single" w:sz="4" w:space="0" w:color="BFC9D9"/>
              <w:left w:val="single" w:sz="4" w:space="0" w:color="BFC9D9"/>
              <w:bottom w:val="single" w:sz="4" w:space="0" w:color="BFC9D9"/>
              <w:right w:val="single" w:sz="4" w:space="0" w:color="BFC9D9"/>
            </w:tcBorders>
            <w:shd w:val="clear" w:color="auto" w:fill="FEF8D2"/>
          </w:tcPr>
          <w:p w14:paraId="2F86513B" w14:textId="77777777" w:rsidR="00B844AC" w:rsidRDefault="00F62A06">
            <w:pPr>
              <w:spacing w:after="0" w:line="240" w:lineRule="auto"/>
            </w:pPr>
            <w:r>
              <w:rPr>
                <w:sz w:val="17"/>
              </w:rPr>
              <w:t>Third party</w:t>
            </w:r>
          </w:p>
        </w:tc>
        <w:tc>
          <w:tcPr>
            <w:tcW w:w="2943" w:type="dxa"/>
            <w:tcBorders>
              <w:top w:val="single" w:sz="4" w:space="0" w:color="BFC9D9"/>
              <w:left w:val="single" w:sz="4" w:space="0" w:color="BFC9D9"/>
              <w:bottom w:val="single" w:sz="4" w:space="0" w:color="BFC9D9"/>
              <w:right w:val="single" w:sz="4" w:space="0" w:color="BFC9D9"/>
            </w:tcBorders>
            <w:shd w:val="clear" w:color="auto" w:fill="FEF8D2"/>
          </w:tcPr>
          <w:p w14:paraId="4EE72311" w14:textId="77777777" w:rsidR="00B844AC" w:rsidRDefault="00F62A06">
            <w:pPr>
              <w:spacing w:after="0" w:line="240" w:lineRule="auto"/>
            </w:pPr>
            <w:r>
              <w:rPr>
                <w:sz w:val="17"/>
              </w:rPr>
              <w:t>Yes — to the third party</w:t>
            </w:r>
          </w:p>
        </w:tc>
        <w:tc>
          <w:tcPr>
            <w:tcW w:w="2943" w:type="dxa"/>
            <w:tcBorders>
              <w:top w:val="single" w:sz="4" w:space="0" w:color="BFC9D9"/>
              <w:left w:val="single" w:sz="4" w:space="0" w:color="BFC9D9"/>
              <w:bottom w:val="single" w:sz="4" w:space="0" w:color="BFC9D9"/>
              <w:right w:val="single" w:sz="4" w:space="0" w:color="BFC9D9"/>
            </w:tcBorders>
            <w:shd w:val="clear" w:color="auto" w:fill="FEF8D2"/>
          </w:tcPr>
          <w:p w14:paraId="14392CD4" w14:textId="77777777" w:rsidR="00B844AC" w:rsidRDefault="00F62A06">
            <w:pPr>
              <w:spacing w:after="0" w:line="240" w:lineRule="auto"/>
            </w:pPr>
            <w:r>
              <w:rPr>
                <w:sz w:val="17"/>
              </w:rPr>
              <w:t>Reasonable belief (some courts: change of position)</w:t>
            </w:r>
          </w:p>
        </w:tc>
        <w:tc>
          <w:tcPr>
            <w:tcW w:w="1925" w:type="dxa"/>
            <w:tcBorders>
              <w:top w:val="single" w:sz="4" w:space="0" w:color="BFC9D9"/>
              <w:left w:val="single" w:sz="4" w:space="0" w:color="BFC9D9"/>
              <w:bottom w:val="single" w:sz="4" w:space="0" w:color="BFC9D9"/>
              <w:right w:val="single" w:sz="4" w:space="0" w:color="BFC9D9"/>
            </w:tcBorders>
            <w:shd w:val="clear" w:color="auto" w:fill="FEF8D2"/>
          </w:tcPr>
          <w:p w14:paraId="707978D6" w14:textId="77777777" w:rsidR="00B844AC" w:rsidRDefault="00F62A06">
            <w:pPr>
              <w:spacing w:after="0" w:line="240" w:lineRule="auto"/>
            </w:pPr>
            <w:r>
              <w:rPr>
                <w:sz w:val="17"/>
              </w:rPr>
              <w:t>P and T bound</w:t>
            </w:r>
          </w:p>
        </w:tc>
      </w:tr>
      <w:tr w:rsidR="00B844AC" w14:paraId="040A8287" w14:textId="77777777">
        <w:trPr>
          <w:cantSplit/>
          <w:jc w:val="center"/>
        </w:trPr>
        <w:tc>
          <w:tcPr>
            <w:tcW w:w="1046" w:type="dxa"/>
            <w:tcBorders>
              <w:top w:val="single" w:sz="4" w:space="0" w:color="BFC9D9"/>
              <w:left w:val="single" w:sz="24" w:space="0" w:color="22C55E"/>
              <w:bottom w:val="single" w:sz="4" w:space="0" w:color="BFC9D9"/>
              <w:right w:val="single" w:sz="4" w:space="0" w:color="BFC9D9"/>
            </w:tcBorders>
            <w:shd w:val="clear" w:color="auto" w:fill="E8F8EE"/>
          </w:tcPr>
          <w:p w14:paraId="2C280777" w14:textId="77777777" w:rsidR="00B844AC" w:rsidRDefault="00F62A06">
            <w:pPr>
              <w:spacing w:after="0" w:line="240" w:lineRule="auto"/>
            </w:pPr>
            <w:r>
              <w:rPr>
                <w:b/>
                <w:sz w:val="17"/>
              </w:rPr>
              <w:t>Inherent (R2d)</w:t>
            </w:r>
          </w:p>
        </w:tc>
        <w:tc>
          <w:tcPr>
            <w:tcW w:w="1222" w:type="dxa"/>
            <w:tcBorders>
              <w:top w:val="single" w:sz="4" w:space="0" w:color="BFC9D9"/>
              <w:left w:val="single" w:sz="4" w:space="0" w:color="BFC9D9"/>
              <w:bottom w:val="single" w:sz="4" w:space="0" w:color="BFC9D9"/>
              <w:right w:val="single" w:sz="4" w:space="0" w:color="BFC9D9"/>
            </w:tcBorders>
            <w:shd w:val="clear" w:color="auto" w:fill="E8F8EE"/>
          </w:tcPr>
          <w:p w14:paraId="16B31DE6" w14:textId="77777777" w:rsidR="00B844AC" w:rsidRDefault="00F62A06">
            <w:pPr>
              <w:spacing w:after="0" w:line="240" w:lineRule="auto"/>
            </w:pPr>
            <w:r>
              <w:rPr>
                <w:sz w:val="17"/>
              </w:rPr>
              <w:t>Policy</w:t>
            </w:r>
          </w:p>
        </w:tc>
        <w:tc>
          <w:tcPr>
            <w:tcW w:w="2943" w:type="dxa"/>
            <w:tcBorders>
              <w:top w:val="single" w:sz="4" w:space="0" w:color="BFC9D9"/>
              <w:left w:val="single" w:sz="4" w:space="0" w:color="BFC9D9"/>
              <w:bottom w:val="single" w:sz="4" w:space="0" w:color="BFC9D9"/>
              <w:right w:val="single" w:sz="4" w:space="0" w:color="BFC9D9"/>
            </w:tcBorders>
            <w:shd w:val="clear" w:color="auto" w:fill="E8F8EE"/>
          </w:tcPr>
          <w:p w14:paraId="708EC6D6" w14:textId="77777777" w:rsidR="00B844AC" w:rsidRDefault="00F62A06">
            <w:pPr>
              <w:spacing w:after="0" w:line="240" w:lineRule="auto"/>
            </w:pPr>
            <w:r>
              <w:rPr>
                <w:sz w:val="17"/>
              </w:rPr>
              <w:t>No — arises from the agency relation</w:t>
            </w:r>
          </w:p>
        </w:tc>
        <w:tc>
          <w:tcPr>
            <w:tcW w:w="2943" w:type="dxa"/>
            <w:tcBorders>
              <w:top w:val="single" w:sz="4" w:space="0" w:color="BFC9D9"/>
              <w:left w:val="single" w:sz="4" w:space="0" w:color="BFC9D9"/>
              <w:bottom w:val="single" w:sz="4" w:space="0" w:color="BFC9D9"/>
              <w:right w:val="single" w:sz="4" w:space="0" w:color="BFC9D9"/>
            </w:tcBorders>
            <w:shd w:val="clear" w:color="auto" w:fill="E8F8EE"/>
          </w:tcPr>
          <w:p w14:paraId="306EE81E" w14:textId="77777777" w:rsidR="00B844AC" w:rsidRDefault="00F62A06">
            <w:pPr>
              <w:spacing w:after="0" w:line="240" w:lineRule="auto"/>
            </w:pPr>
            <w:r>
              <w:rPr>
                <w:sz w:val="17"/>
              </w:rPr>
              <w:t>Reasonable belief, no notice (§ 161)</w:t>
            </w:r>
          </w:p>
        </w:tc>
        <w:tc>
          <w:tcPr>
            <w:tcW w:w="1925" w:type="dxa"/>
            <w:tcBorders>
              <w:top w:val="single" w:sz="4" w:space="0" w:color="BFC9D9"/>
              <w:left w:val="single" w:sz="4" w:space="0" w:color="BFC9D9"/>
              <w:bottom w:val="single" w:sz="4" w:space="0" w:color="BFC9D9"/>
              <w:right w:val="single" w:sz="4" w:space="0" w:color="BFC9D9"/>
            </w:tcBorders>
            <w:shd w:val="clear" w:color="auto" w:fill="E8F8EE"/>
          </w:tcPr>
          <w:p w14:paraId="29CBA1CA" w14:textId="77777777" w:rsidR="00B844AC" w:rsidRDefault="00F62A06">
            <w:pPr>
              <w:spacing w:after="0" w:line="240" w:lineRule="auto"/>
            </w:pPr>
            <w:r>
              <w:rPr>
                <w:sz w:val="17"/>
              </w:rPr>
              <w:t>P bound</w:t>
            </w:r>
          </w:p>
        </w:tc>
      </w:tr>
      <w:tr w:rsidR="00B844AC" w14:paraId="5C9A24D5" w14:textId="77777777">
        <w:trPr>
          <w:cantSplit/>
          <w:jc w:val="center"/>
        </w:trPr>
        <w:tc>
          <w:tcPr>
            <w:tcW w:w="1046" w:type="dxa"/>
            <w:tcBorders>
              <w:top w:val="single" w:sz="4" w:space="0" w:color="BFC9D9"/>
              <w:left w:val="single" w:sz="24" w:space="0" w:color="3B82F6"/>
              <w:bottom w:val="single" w:sz="4" w:space="0" w:color="BFC9D9"/>
              <w:right w:val="single" w:sz="4" w:space="0" w:color="BFC9D9"/>
            </w:tcBorders>
            <w:shd w:val="clear" w:color="auto" w:fill="E8F0FE"/>
          </w:tcPr>
          <w:p w14:paraId="223E14BD" w14:textId="77777777" w:rsidR="00B844AC" w:rsidRDefault="00F62A06">
            <w:pPr>
              <w:spacing w:after="0" w:line="240" w:lineRule="auto"/>
            </w:pPr>
            <w:r>
              <w:rPr>
                <w:b/>
                <w:sz w:val="17"/>
              </w:rPr>
              <w:lastRenderedPageBreak/>
              <w:t>Ratification</w:t>
            </w:r>
          </w:p>
        </w:tc>
        <w:tc>
          <w:tcPr>
            <w:tcW w:w="1222" w:type="dxa"/>
            <w:tcBorders>
              <w:top w:val="single" w:sz="4" w:space="0" w:color="BFC9D9"/>
              <w:left w:val="single" w:sz="4" w:space="0" w:color="BFC9D9"/>
              <w:bottom w:val="single" w:sz="4" w:space="0" w:color="BFC9D9"/>
              <w:right w:val="single" w:sz="4" w:space="0" w:color="BFC9D9"/>
            </w:tcBorders>
            <w:shd w:val="clear" w:color="auto" w:fill="E8F0FE"/>
          </w:tcPr>
          <w:p w14:paraId="42AE6A21" w14:textId="77777777" w:rsidR="00B844AC" w:rsidRDefault="00F62A06">
            <w:pPr>
              <w:spacing w:after="0" w:line="240" w:lineRule="auto"/>
            </w:pPr>
            <w:r>
              <w:rPr>
                <w:sz w:val="17"/>
              </w:rPr>
              <w:t>After the fact</w:t>
            </w:r>
          </w:p>
        </w:tc>
        <w:tc>
          <w:tcPr>
            <w:tcW w:w="2943" w:type="dxa"/>
            <w:tcBorders>
              <w:top w:val="single" w:sz="4" w:space="0" w:color="BFC9D9"/>
              <w:left w:val="single" w:sz="4" w:space="0" w:color="BFC9D9"/>
              <w:bottom w:val="single" w:sz="4" w:space="0" w:color="BFC9D9"/>
              <w:right w:val="single" w:sz="4" w:space="0" w:color="BFC9D9"/>
            </w:tcBorders>
            <w:shd w:val="clear" w:color="auto" w:fill="E8F0FE"/>
          </w:tcPr>
          <w:p w14:paraId="382A5B2A" w14:textId="77777777" w:rsidR="00B844AC" w:rsidRDefault="00F62A06">
            <w:pPr>
              <w:spacing w:after="0" w:line="240" w:lineRule="auto"/>
            </w:pPr>
            <w:r>
              <w:rPr>
                <w:sz w:val="17"/>
              </w:rPr>
              <w:t>P's later affirmance with knowledge</w:t>
            </w:r>
          </w:p>
        </w:tc>
        <w:tc>
          <w:tcPr>
            <w:tcW w:w="2943" w:type="dxa"/>
            <w:tcBorders>
              <w:top w:val="single" w:sz="4" w:space="0" w:color="BFC9D9"/>
              <w:left w:val="single" w:sz="4" w:space="0" w:color="BFC9D9"/>
              <w:bottom w:val="single" w:sz="4" w:space="0" w:color="BFC9D9"/>
              <w:right w:val="single" w:sz="4" w:space="0" w:color="BFC9D9"/>
            </w:tcBorders>
            <w:shd w:val="clear" w:color="auto" w:fill="E8F0FE"/>
          </w:tcPr>
          <w:p w14:paraId="4BF838AB" w14:textId="77777777" w:rsidR="00B844AC" w:rsidRDefault="00F62A06">
            <w:pPr>
              <w:spacing w:after="0" w:line="240" w:lineRule="auto"/>
            </w:pPr>
            <w:r>
              <w:rPr>
                <w:sz w:val="17"/>
              </w:rPr>
              <w:t>No</w:t>
            </w:r>
          </w:p>
        </w:tc>
        <w:tc>
          <w:tcPr>
            <w:tcW w:w="1925" w:type="dxa"/>
            <w:tcBorders>
              <w:top w:val="single" w:sz="4" w:space="0" w:color="BFC9D9"/>
              <w:left w:val="single" w:sz="4" w:space="0" w:color="BFC9D9"/>
              <w:bottom w:val="single" w:sz="4" w:space="0" w:color="BFC9D9"/>
              <w:right w:val="single" w:sz="4" w:space="0" w:color="BFC9D9"/>
            </w:tcBorders>
            <w:shd w:val="clear" w:color="auto" w:fill="E8F0FE"/>
          </w:tcPr>
          <w:p w14:paraId="0CA2CCDE" w14:textId="77777777" w:rsidR="00B844AC" w:rsidRDefault="00F62A06">
            <w:pPr>
              <w:spacing w:after="0" w:line="240" w:lineRule="auto"/>
            </w:pPr>
            <w:r>
              <w:rPr>
                <w:sz w:val="17"/>
              </w:rPr>
              <w:t>Relates back; both bound</w:t>
            </w:r>
          </w:p>
        </w:tc>
      </w:tr>
      <w:tr w:rsidR="00B844AC" w14:paraId="0135AB94" w14:textId="77777777">
        <w:trPr>
          <w:cantSplit/>
          <w:jc w:val="center"/>
        </w:trPr>
        <w:tc>
          <w:tcPr>
            <w:tcW w:w="1046" w:type="dxa"/>
            <w:tcBorders>
              <w:top w:val="single" w:sz="4" w:space="0" w:color="BFC9D9"/>
              <w:left w:val="single" w:sz="24" w:space="0" w:color="A855F7"/>
              <w:bottom w:val="single" w:sz="4" w:space="0" w:color="BFC9D9"/>
              <w:right w:val="single" w:sz="4" w:space="0" w:color="BFC9D9"/>
            </w:tcBorders>
            <w:shd w:val="clear" w:color="auto" w:fill="F4ECFF"/>
          </w:tcPr>
          <w:p w14:paraId="2083E476" w14:textId="77777777" w:rsidR="00B844AC" w:rsidRDefault="00F62A06">
            <w:pPr>
              <w:spacing w:after="0" w:line="240" w:lineRule="auto"/>
            </w:pPr>
            <w:r>
              <w:rPr>
                <w:b/>
                <w:sz w:val="17"/>
              </w:rPr>
              <w:t>Estoppel</w:t>
            </w:r>
          </w:p>
        </w:tc>
        <w:tc>
          <w:tcPr>
            <w:tcW w:w="1222" w:type="dxa"/>
            <w:tcBorders>
              <w:top w:val="single" w:sz="4" w:space="0" w:color="BFC9D9"/>
              <w:left w:val="single" w:sz="4" w:space="0" w:color="BFC9D9"/>
              <w:bottom w:val="single" w:sz="4" w:space="0" w:color="BFC9D9"/>
              <w:right w:val="single" w:sz="4" w:space="0" w:color="BFC9D9"/>
            </w:tcBorders>
            <w:shd w:val="clear" w:color="auto" w:fill="F4ECFF"/>
          </w:tcPr>
          <w:p w14:paraId="7EE0379D" w14:textId="77777777" w:rsidR="00B844AC" w:rsidRDefault="00F62A06">
            <w:pPr>
              <w:spacing w:after="0" w:line="240" w:lineRule="auto"/>
            </w:pPr>
            <w:r>
              <w:rPr>
                <w:sz w:val="17"/>
              </w:rPr>
              <w:t>Third party</w:t>
            </w:r>
          </w:p>
        </w:tc>
        <w:tc>
          <w:tcPr>
            <w:tcW w:w="2943" w:type="dxa"/>
            <w:tcBorders>
              <w:top w:val="single" w:sz="4" w:space="0" w:color="BFC9D9"/>
              <w:left w:val="single" w:sz="4" w:space="0" w:color="BFC9D9"/>
              <w:bottom w:val="single" w:sz="4" w:space="0" w:color="BFC9D9"/>
              <w:right w:val="single" w:sz="4" w:space="0" w:color="BFC9D9"/>
            </w:tcBorders>
            <w:shd w:val="clear" w:color="auto" w:fill="F4ECFF"/>
          </w:tcPr>
          <w:p w14:paraId="7AC27D70" w14:textId="77777777" w:rsidR="00B844AC" w:rsidRDefault="00F62A06">
            <w:pPr>
              <w:spacing w:after="0" w:line="240" w:lineRule="auto"/>
            </w:pPr>
            <w:r>
              <w:rPr>
                <w:sz w:val="17"/>
              </w:rPr>
              <w:t>P's intentional/negligent act or omission</w:t>
            </w:r>
          </w:p>
        </w:tc>
        <w:tc>
          <w:tcPr>
            <w:tcW w:w="2943" w:type="dxa"/>
            <w:tcBorders>
              <w:top w:val="single" w:sz="4" w:space="0" w:color="BFC9D9"/>
              <w:left w:val="single" w:sz="4" w:space="0" w:color="BFC9D9"/>
              <w:bottom w:val="single" w:sz="4" w:space="0" w:color="BFC9D9"/>
              <w:right w:val="single" w:sz="4" w:space="0" w:color="BFC9D9"/>
            </w:tcBorders>
            <w:shd w:val="clear" w:color="auto" w:fill="F4ECFF"/>
          </w:tcPr>
          <w:p w14:paraId="12533830" w14:textId="77777777" w:rsidR="00B844AC" w:rsidRDefault="00F62A06">
            <w:pPr>
              <w:spacing w:after="0" w:line="240" w:lineRule="auto"/>
            </w:pPr>
            <w:r>
              <w:rPr>
                <w:sz w:val="17"/>
              </w:rPr>
              <w:t>Yes — detrimental change of position</w:t>
            </w:r>
          </w:p>
        </w:tc>
        <w:tc>
          <w:tcPr>
            <w:tcW w:w="1925" w:type="dxa"/>
            <w:tcBorders>
              <w:top w:val="single" w:sz="4" w:space="0" w:color="BFC9D9"/>
              <w:left w:val="single" w:sz="4" w:space="0" w:color="BFC9D9"/>
              <w:bottom w:val="single" w:sz="4" w:space="0" w:color="BFC9D9"/>
              <w:right w:val="single" w:sz="4" w:space="0" w:color="BFC9D9"/>
            </w:tcBorders>
            <w:shd w:val="clear" w:color="auto" w:fill="F4ECFF"/>
          </w:tcPr>
          <w:p w14:paraId="1D9F3EB7" w14:textId="77777777" w:rsidR="00B844AC" w:rsidRDefault="00F62A06">
            <w:pPr>
              <w:spacing w:after="0" w:line="240" w:lineRule="auto"/>
            </w:pPr>
            <w:r>
              <w:rPr>
                <w:sz w:val="17"/>
              </w:rPr>
              <w:t>P liable for T's reliance loss</w:t>
            </w:r>
          </w:p>
        </w:tc>
      </w:tr>
    </w:tbl>
    <w:p w14:paraId="03040FFB" w14:textId="77777777" w:rsidR="00B844AC" w:rsidRDefault="00B844AC">
      <w:pPr>
        <w:spacing w:after="0" w:line="120" w:lineRule="exact"/>
      </w:pPr>
    </w:p>
    <w:p w14:paraId="4DE5C10A" w14:textId="77777777" w:rsidR="00B844AC" w:rsidRDefault="00F62A06">
      <w:pPr>
        <w:pStyle w:val="Heading3"/>
      </w:pPr>
      <w:r>
        <w:rPr>
          <w:b w:val="0"/>
        </w:rPr>
        <w:t>Agent's own liability on the contract</w:t>
      </w:r>
    </w:p>
    <w:tbl>
      <w:tblPr>
        <w:tblW w:w="10079" w:type="dxa"/>
        <w:jc w:val="center"/>
        <w:tblLayout w:type="fixed"/>
        <w:tblCellMar>
          <w:top w:w="40" w:type="dxa"/>
          <w:left w:w="80" w:type="dxa"/>
          <w:bottom w:w="40" w:type="dxa"/>
          <w:right w:w="80" w:type="dxa"/>
        </w:tblCellMar>
        <w:tblLook w:val="04A0" w:firstRow="1" w:lastRow="0" w:firstColumn="1" w:lastColumn="0" w:noHBand="0" w:noVBand="1"/>
      </w:tblPr>
      <w:tblGrid>
        <w:gridCol w:w="2527"/>
        <w:gridCol w:w="2348"/>
        <w:gridCol w:w="3164"/>
        <w:gridCol w:w="2040"/>
      </w:tblGrid>
      <w:tr w:rsidR="00B844AC" w14:paraId="00AAA408" w14:textId="77777777">
        <w:trPr>
          <w:cantSplit/>
          <w:tblHeader/>
          <w:jc w:val="center"/>
        </w:trPr>
        <w:tc>
          <w:tcPr>
            <w:tcW w:w="2528" w:type="dxa"/>
            <w:tcBorders>
              <w:top w:val="single" w:sz="4" w:space="0" w:color="BFC9D9"/>
              <w:left w:val="single" w:sz="4" w:space="0" w:color="BFC9D9"/>
              <w:bottom w:val="single" w:sz="4" w:space="0" w:color="BFC9D9"/>
              <w:right w:val="single" w:sz="4" w:space="0" w:color="BFC9D9"/>
            </w:tcBorders>
            <w:shd w:val="clear" w:color="auto" w:fill="1F3864"/>
          </w:tcPr>
          <w:p w14:paraId="022B6C19" w14:textId="77777777" w:rsidR="00B844AC" w:rsidRDefault="00F62A06">
            <w:pPr>
              <w:spacing w:after="0" w:line="240" w:lineRule="auto"/>
            </w:pPr>
            <w:r>
              <w:rPr>
                <w:b/>
                <w:color w:val="FFFFFF"/>
                <w:sz w:val="17"/>
              </w:rPr>
              <w:t>Principal</w:t>
            </w:r>
          </w:p>
        </w:tc>
        <w:tc>
          <w:tcPr>
            <w:tcW w:w="2348" w:type="dxa"/>
            <w:tcBorders>
              <w:top w:val="single" w:sz="4" w:space="0" w:color="BFC9D9"/>
              <w:left w:val="single" w:sz="4" w:space="0" w:color="BFC9D9"/>
              <w:bottom w:val="single" w:sz="4" w:space="0" w:color="BFC9D9"/>
              <w:right w:val="single" w:sz="4" w:space="0" w:color="BFC9D9"/>
            </w:tcBorders>
            <w:shd w:val="clear" w:color="auto" w:fill="1F3864"/>
          </w:tcPr>
          <w:p w14:paraId="56DE9C93" w14:textId="77777777" w:rsidR="00B844AC" w:rsidRDefault="00F62A06">
            <w:pPr>
              <w:spacing w:after="0" w:line="240" w:lineRule="auto"/>
            </w:pPr>
            <w:r>
              <w:rPr>
                <w:b/>
                <w:color w:val="FFFFFF"/>
                <w:sz w:val="17"/>
              </w:rPr>
              <w:t>T knows</w:t>
            </w:r>
          </w:p>
        </w:tc>
        <w:tc>
          <w:tcPr>
            <w:tcW w:w="3164" w:type="dxa"/>
            <w:tcBorders>
              <w:top w:val="single" w:sz="4" w:space="0" w:color="BFC9D9"/>
              <w:left w:val="single" w:sz="4" w:space="0" w:color="BFC9D9"/>
              <w:bottom w:val="single" w:sz="4" w:space="0" w:color="BFC9D9"/>
              <w:right w:val="single" w:sz="4" w:space="0" w:color="BFC9D9"/>
            </w:tcBorders>
            <w:shd w:val="clear" w:color="auto" w:fill="1F3864"/>
          </w:tcPr>
          <w:p w14:paraId="352994AA" w14:textId="77777777" w:rsidR="00B844AC" w:rsidRDefault="00F62A06">
            <w:pPr>
              <w:spacing w:after="0" w:line="240" w:lineRule="auto"/>
            </w:pPr>
            <w:r>
              <w:rPr>
                <w:b/>
                <w:color w:val="FFFFFF"/>
                <w:sz w:val="17"/>
              </w:rPr>
              <w:t>Agent liable?</w:t>
            </w:r>
          </w:p>
        </w:tc>
        <w:tc>
          <w:tcPr>
            <w:tcW w:w="2040" w:type="dxa"/>
            <w:tcBorders>
              <w:top w:val="single" w:sz="4" w:space="0" w:color="BFC9D9"/>
              <w:left w:val="single" w:sz="4" w:space="0" w:color="BFC9D9"/>
              <w:bottom w:val="single" w:sz="4" w:space="0" w:color="BFC9D9"/>
              <w:right w:val="single" w:sz="4" w:space="0" w:color="BFC9D9"/>
            </w:tcBorders>
            <w:shd w:val="clear" w:color="auto" w:fill="1F3864"/>
          </w:tcPr>
          <w:p w14:paraId="1738FF66" w14:textId="77777777" w:rsidR="00B844AC" w:rsidRDefault="00F62A06">
            <w:pPr>
              <w:spacing w:after="0" w:line="240" w:lineRule="auto"/>
            </w:pPr>
            <w:r>
              <w:rPr>
                <w:b/>
                <w:color w:val="FFFFFF"/>
                <w:sz w:val="17"/>
              </w:rPr>
              <w:t>Principal liable?</w:t>
            </w:r>
          </w:p>
        </w:tc>
      </w:tr>
      <w:tr w:rsidR="00B844AC" w14:paraId="56184294" w14:textId="77777777">
        <w:trPr>
          <w:cantSplit/>
          <w:jc w:val="center"/>
        </w:trPr>
        <w:tc>
          <w:tcPr>
            <w:tcW w:w="2528" w:type="dxa"/>
            <w:tcBorders>
              <w:top w:val="single" w:sz="4" w:space="0" w:color="BFC9D9"/>
              <w:left w:val="single" w:sz="24" w:space="0" w:color="EF4444"/>
              <w:bottom w:val="single" w:sz="4" w:space="0" w:color="BFC9D9"/>
              <w:right w:val="single" w:sz="4" w:space="0" w:color="BFC9D9"/>
            </w:tcBorders>
            <w:shd w:val="clear" w:color="auto" w:fill="FDEDED"/>
          </w:tcPr>
          <w:p w14:paraId="2D636E52" w14:textId="77777777" w:rsidR="00B844AC" w:rsidRDefault="00F62A06">
            <w:pPr>
              <w:spacing w:after="0" w:line="240" w:lineRule="auto"/>
            </w:pPr>
            <w:r>
              <w:rPr>
                <w:b/>
                <w:sz w:val="17"/>
              </w:rPr>
              <w:t>Disclosed</w:t>
            </w:r>
          </w:p>
        </w:tc>
        <w:tc>
          <w:tcPr>
            <w:tcW w:w="2348" w:type="dxa"/>
            <w:tcBorders>
              <w:top w:val="single" w:sz="4" w:space="0" w:color="BFC9D9"/>
              <w:left w:val="single" w:sz="4" w:space="0" w:color="BFC9D9"/>
              <w:bottom w:val="single" w:sz="4" w:space="0" w:color="BFC9D9"/>
              <w:right w:val="single" w:sz="4" w:space="0" w:color="BFC9D9"/>
            </w:tcBorders>
            <w:shd w:val="clear" w:color="auto" w:fill="FDEDED"/>
          </w:tcPr>
          <w:p w14:paraId="5A8C0818" w14:textId="77777777" w:rsidR="00B844AC" w:rsidRDefault="00F62A06">
            <w:pPr>
              <w:spacing w:after="0" w:line="240" w:lineRule="auto"/>
            </w:pPr>
            <w:r>
              <w:rPr>
                <w:sz w:val="17"/>
              </w:rPr>
              <w:t>Agency + P's identity</w:t>
            </w:r>
          </w:p>
        </w:tc>
        <w:tc>
          <w:tcPr>
            <w:tcW w:w="3164" w:type="dxa"/>
            <w:tcBorders>
              <w:top w:val="single" w:sz="4" w:space="0" w:color="BFC9D9"/>
              <w:left w:val="single" w:sz="4" w:space="0" w:color="BFC9D9"/>
              <w:bottom w:val="single" w:sz="4" w:space="0" w:color="BFC9D9"/>
              <w:right w:val="single" w:sz="4" w:space="0" w:color="BFC9D9"/>
            </w:tcBorders>
            <w:shd w:val="clear" w:color="auto" w:fill="FDEDED"/>
          </w:tcPr>
          <w:p w14:paraId="491F70EC" w14:textId="77777777" w:rsidR="00B844AC" w:rsidRDefault="00F62A06">
            <w:pPr>
              <w:spacing w:after="0" w:line="240" w:lineRule="auto"/>
            </w:pPr>
            <w:r>
              <w:rPr>
                <w:sz w:val="17"/>
              </w:rPr>
              <w:t>No (if acting with actual/apparent authority)</w:t>
            </w:r>
          </w:p>
        </w:tc>
        <w:tc>
          <w:tcPr>
            <w:tcW w:w="2040" w:type="dxa"/>
            <w:tcBorders>
              <w:top w:val="single" w:sz="4" w:space="0" w:color="BFC9D9"/>
              <w:left w:val="single" w:sz="4" w:space="0" w:color="BFC9D9"/>
              <w:bottom w:val="single" w:sz="4" w:space="0" w:color="BFC9D9"/>
              <w:right w:val="single" w:sz="4" w:space="0" w:color="BFC9D9"/>
            </w:tcBorders>
            <w:shd w:val="clear" w:color="auto" w:fill="FDEDED"/>
          </w:tcPr>
          <w:p w14:paraId="563BFAFB" w14:textId="77777777" w:rsidR="00B844AC" w:rsidRDefault="00F62A06">
            <w:pPr>
              <w:spacing w:after="0" w:line="240" w:lineRule="auto"/>
            </w:pPr>
            <w:r>
              <w:rPr>
                <w:sz w:val="17"/>
              </w:rPr>
              <w:t>Yes</w:t>
            </w:r>
          </w:p>
        </w:tc>
      </w:tr>
      <w:tr w:rsidR="00B844AC" w14:paraId="2B77E77F" w14:textId="77777777">
        <w:trPr>
          <w:cantSplit/>
          <w:jc w:val="center"/>
        </w:trPr>
        <w:tc>
          <w:tcPr>
            <w:tcW w:w="2528" w:type="dxa"/>
            <w:tcBorders>
              <w:top w:val="single" w:sz="4" w:space="0" w:color="BFC9D9"/>
              <w:left w:val="single" w:sz="24" w:space="0" w:color="F97316"/>
              <w:bottom w:val="single" w:sz="4" w:space="0" w:color="BFC9D9"/>
              <w:right w:val="single" w:sz="4" w:space="0" w:color="BFC9D9"/>
            </w:tcBorders>
            <w:shd w:val="clear" w:color="auto" w:fill="FFF1E3"/>
          </w:tcPr>
          <w:p w14:paraId="7BBF07F8" w14:textId="77777777" w:rsidR="00B844AC" w:rsidRDefault="00F62A06">
            <w:pPr>
              <w:spacing w:after="0" w:line="240" w:lineRule="auto"/>
            </w:pPr>
            <w:r>
              <w:rPr>
                <w:b/>
                <w:sz w:val="17"/>
              </w:rPr>
              <w:t>Partially disclosed / unidentified</w:t>
            </w:r>
          </w:p>
        </w:tc>
        <w:tc>
          <w:tcPr>
            <w:tcW w:w="2348" w:type="dxa"/>
            <w:tcBorders>
              <w:top w:val="single" w:sz="4" w:space="0" w:color="BFC9D9"/>
              <w:left w:val="single" w:sz="4" w:space="0" w:color="BFC9D9"/>
              <w:bottom w:val="single" w:sz="4" w:space="0" w:color="BFC9D9"/>
              <w:right w:val="single" w:sz="4" w:space="0" w:color="BFC9D9"/>
            </w:tcBorders>
            <w:shd w:val="clear" w:color="auto" w:fill="FFF1E3"/>
          </w:tcPr>
          <w:p w14:paraId="6AA1BDFC" w14:textId="77777777" w:rsidR="00B844AC" w:rsidRDefault="00F62A06">
            <w:pPr>
              <w:spacing w:after="0" w:line="240" w:lineRule="auto"/>
            </w:pPr>
            <w:r>
              <w:rPr>
                <w:sz w:val="17"/>
              </w:rPr>
              <w:t>Agency, not identity</w:t>
            </w:r>
          </w:p>
        </w:tc>
        <w:tc>
          <w:tcPr>
            <w:tcW w:w="3164" w:type="dxa"/>
            <w:tcBorders>
              <w:top w:val="single" w:sz="4" w:space="0" w:color="BFC9D9"/>
              <w:left w:val="single" w:sz="4" w:space="0" w:color="BFC9D9"/>
              <w:bottom w:val="single" w:sz="4" w:space="0" w:color="BFC9D9"/>
              <w:right w:val="single" w:sz="4" w:space="0" w:color="BFC9D9"/>
            </w:tcBorders>
            <w:shd w:val="clear" w:color="auto" w:fill="FFF1E3"/>
          </w:tcPr>
          <w:p w14:paraId="5A02675A" w14:textId="77777777" w:rsidR="00B844AC" w:rsidRDefault="00F62A06">
            <w:pPr>
              <w:spacing w:after="0" w:line="240" w:lineRule="auto"/>
            </w:pPr>
            <w:r>
              <w:rPr>
                <w:sz w:val="17"/>
              </w:rPr>
              <w:t>Yes, with P (R3d § 6.02)</w:t>
            </w:r>
          </w:p>
        </w:tc>
        <w:tc>
          <w:tcPr>
            <w:tcW w:w="2040" w:type="dxa"/>
            <w:tcBorders>
              <w:top w:val="single" w:sz="4" w:space="0" w:color="BFC9D9"/>
              <w:left w:val="single" w:sz="4" w:space="0" w:color="BFC9D9"/>
              <w:bottom w:val="single" w:sz="4" w:space="0" w:color="BFC9D9"/>
              <w:right w:val="single" w:sz="4" w:space="0" w:color="BFC9D9"/>
            </w:tcBorders>
            <w:shd w:val="clear" w:color="auto" w:fill="FFF1E3"/>
          </w:tcPr>
          <w:p w14:paraId="2943DCBC" w14:textId="77777777" w:rsidR="00B844AC" w:rsidRDefault="00F62A06">
            <w:pPr>
              <w:spacing w:after="0" w:line="240" w:lineRule="auto"/>
            </w:pPr>
            <w:r>
              <w:rPr>
                <w:sz w:val="17"/>
              </w:rPr>
              <w:t>Yes, once identified</w:t>
            </w:r>
          </w:p>
        </w:tc>
      </w:tr>
      <w:tr w:rsidR="00B844AC" w14:paraId="7F49B6B0" w14:textId="77777777">
        <w:trPr>
          <w:cantSplit/>
          <w:jc w:val="center"/>
        </w:trPr>
        <w:tc>
          <w:tcPr>
            <w:tcW w:w="2528" w:type="dxa"/>
            <w:tcBorders>
              <w:top w:val="single" w:sz="4" w:space="0" w:color="BFC9D9"/>
              <w:left w:val="single" w:sz="24" w:space="0" w:color="EAB308"/>
              <w:bottom w:val="single" w:sz="4" w:space="0" w:color="BFC9D9"/>
              <w:right w:val="single" w:sz="4" w:space="0" w:color="BFC9D9"/>
            </w:tcBorders>
            <w:shd w:val="clear" w:color="auto" w:fill="FEF8D2"/>
          </w:tcPr>
          <w:p w14:paraId="31F8CCC1" w14:textId="77777777" w:rsidR="00B844AC" w:rsidRDefault="00F62A06">
            <w:pPr>
              <w:spacing w:after="0" w:line="240" w:lineRule="auto"/>
            </w:pPr>
            <w:r>
              <w:rPr>
                <w:b/>
                <w:sz w:val="17"/>
              </w:rPr>
              <w:t>Undisclosed</w:t>
            </w:r>
          </w:p>
        </w:tc>
        <w:tc>
          <w:tcPr>
            <w:tcW w:w="2348" w:type="dxa"/>
            <w:tcBorders>
              <w:top w:val="single" w:sz="4" w:space="0" w:color="BFC9D9"/>
              <w:left w:val="single" w:sz="4" w:space="0" w:color="BFC9D9"/>
              <w:bottom w:val="single" w:sz="4" w:space="0" w:color="BFC9D9"/>
              <w:right w:val="single" w:sz="4" w:space="0" w:color="BFC9D9"/>
            </w:tcBorders>
            <w:shd w:val="clear" w:color="auto" w:fill="FEF8D2"/>
          </w:tcPr>
          <w:p w14:paraId="30D3C4E2" w14:textId="77777777" w:rsidR="00B844AC" w:rsidRDefault="00F62A06">
            <w:pPr>
              <w:spacing w:after="0" w:line="240" w:lineRule="auto"/>
            </w:pPr>
            <w:r>
              <w:rPr>
                <w:sz w:val="17"/>
              </w:rPr>
              <w:t>Nothing — thinks A is the party</w:t>
            </w:r>
          </w:p>
        </w:tc>
        <w:tc>
          <w:tcPr>
            <w:tcW w:w="3164" w:type="dxa"/>
            <w:tcBorders>
              <w:top w:val="single" w:sz="4" w:space="0" w:color="BFC9D9"/>
              <w:left w:val="single" w:sz="4" w:space="0" w:color="BFC9D9"/>
              <w:bottom w:val="single" w:sz="4" w:space="0" w:color="BFC9D9"/>
              <w:right w:val="single" w:sz="4" w:space="0" w:color="BFC9D9"/>
            </w:tcBorders>
            <w:shd w:val="clear" w:color="auto" w:fill="FEF8D2"/>
          </w:tcPr>
          <w:p w14:paraId="4734D17E" w14:textId="77777777" w:rsidR="00B844AC" w:rsidRDefault="00F62A06">
            <w:pPr>
              <w:spacing w:after="0" w:line="240" w:lineRule="auto"/>
            </w:pPr>
            <w:r>
              <w:rPr>
                <w:sz w:val="17"/>
              </w:rPr>
              <w:t>Yes, as party (§ 6.03)</w:t>
            </w:r>
          </w:p>
        </w:tc>
        <w:tc>
          <w:tcPr>
            <w:tcW w:w="2040" w:type="dxa"/>
            <w:tcBorders>
              <w:top w:val="single" w:sz="4" w:space="0" w:color="BFC9D9"/>
              <w:left w:val="single" w:sz="4" w:space="0" w:color="BFC9D9"/>
              <w:bottom w:val="single" w:sz="4" w:space="0" w:color="BFC9D9"/>
              <w:right w:val="single" w:sz="4" w:space="0" w:color="BFC9D9"/>
            </w:tcBorders>
            <w:shd w:val="clear" w:color="auto" w:fill="FEF8D2"/>
          </w:tcPr>
          <w:p w14:paraId="50559BE0" w14:textId="77777777" w:rsidR="00B844AC" w:rsidRDefault="00F62A06">
            <w:pPr>
              <w:spacing w:after="0" w:line="240" w:lineRule="auto"/>
            </w:pPr>
            <w:r>
              <w:rPr>
                <w:sz w:val="17"/>
              </w:rPr>
              <w:t>Yes (and must indemnify A)</w:t>
            </w:r>
          </w:p>
        </w:tc>
      </w:tr>
    </w:tbl>
    <w:p w14:paraId="49F287BB" w14:textId="77777777" w:rsidR="00B844AC" w:rsidRDefault="00B844AC">
      <w:pPr>
        <w:spacing w:after="0" w:line="120" w:lineRule="exact"/>
      </w:pPr>
    </w:p>
    <w:p w14:paraId="784DEC45" w14:textId="77777777" w:rsidR="00B844AC" w:rsidRDefault="00F62A06">
      <w:pPr>
        <w:pStyle w:val="ListBullet"/>
      </w:pPr>
      <w:r>
        <w:rPr>
          <w:b/>
        </w:rPr>
        <w:t>Implied warranty of authority (R3d § 6.10):</w:t>
      </w:r>
      <w:r>
        <w:t xml:space="preserve"> one who purports to bind a principal without power is liable to T for the loss (incl. expected benefit) unless P ratifies, A disclaims, or T knew A lacked authority. Agent for nonexistent/incapable principal is a party (§ 6.04).</w:t>
      </w:r>
    </w:p>
    <w:p w14:paraId="606DFD03" w14:textId="77777777" w:rsidR="00B844AC" w:rsidRDefault="00F62A06">
      <w:pPr>
        <w:keepNext/>
        <w:pBdr>
          <w:left w:val="single" w:sz="18" w:space="6" w:color="DC2626"/>
        </w:pBdr>
        <w:spacing w:before="100" w:after="20"/>
        <w:ind w:left="173"/>
      </w:pPr>
      <w:r>
        <w:rPr>
          <w:b/>
          <w:color w:val="B91C1C"/>
          <w:sz w:val="21"/>
        </w:rPr>
        <w:t>Atlantic Salmon A/S v. Curran (Mass. App. 1992)</w:t>
      </w:r>
      <w:r>
        <w:rPr>
          <w:color w:val="B91C1C"/>
          <w:sz w:val="15"/>
        </w:rPr>
        <w:t xml:space="preserve">  </w:t>
      </w:r>
      <w:r>
        <w:rPr>
          <w:b/>
          <w:color w:val="FFFFFF"/>
          <w:sz w:val="15"/>
          <w:shd w:val="clear" w:color="auto" w:fill="DC2626"/>
        </w:rPr>
        <w:t> MAIN CASE · CLASS 3 </w:t>
      </w:r>
    </w:p>
    <w:p w14:paraId="7690564B" w14:textId="77777777" w:rsidR="00B844AC" w:rsidRDefault="00F62A06">
      <w:pPr>
        <w:keepNext/>
        <w:pBdr>
          <w:left w:val="single" w:sz="18" w:space="6" w:color="DC2626"/>
        </w:pBdr>
        <w:shd w:val="clear" w:color="auto" w:fill="EAF2FF"/>
        <w:spacing w:after="30"/>
        <w:ind w:left="173"/>
      </w:pPr>
      <w:r>
        <w:rPr>
          <w:b/>
          <w:color w:val="1D4ED8"/>
        </w:rPr>
        <w:t xml:space="preserve">Facts:  </w:t>
      </w:r>
      <w:r>
        <w:t>Curran bought salmon on credit as an officer of "Boston International Seafood Exchange, Inc." — a corporation that didn't exist. His real company had a different name, findable only in public records.</w:t>
      </w:r>
    </w:p>
    <w:p w14:paraId="1A4B8544" w14:textId="77777777" w:rsidR="00B844AC" w:rsidRDefault="00F62A06">
      <w:pPr>
        <w:keepNext/>
        <w:pBdr>
          <w:left w:val="single" w:sz="18" w:space="6" w:color="DC2626"/>
        </w:pBdr>
        <w:shd w:val="clear" w:color="auto" w:fill="E7F8EE"/>
        <w:spacing w:after="30"/>
        <w:ind w:left="173"/>
      </w:pPr>
      <w:r>
        <w:rPr>
          <w:b/>
          <w:color w:val="15803D"/>
        </w:rPr>
        <w:t xml:space="preserve">Held:  </w:t>
      </w:r>
      <w:r>
        <w:t>Curran is personally liable (~$255,000). An agent for a partially disclosed principal is a party to the contract; the agent must disclose the principal's identity, and the seller's ability to search records doesn't matter.</w:t>
      </w:r>
    </w:p>
    <w:p w14:paraId="5E444BA8" w14:textId="77777777" w:rsidR="00B844AC" w:rsidRDefault="00F62A06">
      <w:pPr>
        <w:pBdr>
          <w:left w:val="single" w:sz="18" w:space="6" w:color="DC2626"/>
        </w:pBdr>
        <w:shd w:val="clear" w:color="auto" w:fill="FEF6C2"/>
        <w:spacing w:after="80"/>
        <w:ind w:left="173"/>
      </w:pPr>
      <w:r>
        <w:rPr>
          <w:b/>
          <w:color w:val="8A6100"/>
        </w:rPr>
        <w:t xml:space="preserve">Why it matters:  </w:t>
      </w:r>
      <w:r>
        <w:t>Applies the disclosed / unidentified / undisclosed principal rules and puts the disclosure burden on the agent.</w:t>
      </w:r>
    </w:p>
    <w:p w14:paraId="7D175095" w14:textId="77777777" w:rsidR="00B844AC" w:rsidRDefault="00F62A06">
      <w:pPr>
        <w:pStyle w:val="Heading3"/>
      </w:pPr>
      <w:r>
        <w:rPr>
          <w:b w:val="0"/>
        </w:rPr>
        <w:t>Other supplement provisions to know</w:t>
      </w:r>
    </w:p>
    <w:p w14:paraId="027B5B32" w14:textId="77777777" w:rsidR="00B844AC" w:rsidRDefault="00F62A06">
      <w:pPr>
        <w:pStyle w:val="ListBullet"/>
      </w:pPr>
      <w:r>
        <w:t>Notice to an authorized agent = notice to P; A's material knowledge is imputed to P unless A acts adversely (still imputed to protect good-faith T or where P ratified/retained benefit) (R3d §§ 5.02–5.04).</w:t>
      </w:r>
    </w:p>
    <w:p w14:paraId="51663267" w14:textId="77777777" w:rsidR="00B844AC" w:rsidRDefault="00F62A06">
      <w:pPr>
        <w:pStyle w:val="ListBullet"/>
      </w:pPr>
      <w:r>
        <w:t>Restitution against a P unjustly enriched by an agent's act (§ 2.07). Third party liable to P on A's contracts, incl. undisclosed P unless excluded, existence fraudulently concealed, or set-off (R2d §§ 292, 302).</w:t>
      </w:r>
    </w:p>
    <w:p w14:paraId="58A87DD3" w14:textId="77777777" w:rsidR="00B844AC" w:rsidRDefault="00F62A06">
      <w:pPr>
        <w:pStyle w:val="Heading2"/>
        <w:pBdr>
          <w:bottom w:val="single" w:sz="8" w:space="2" w:color="C55A11"/>
        </w:pBdr>
      </w:pPr>
      <w:bookmarkStart w:id="3" w:name="_Toc243216100"/>
      <w:r>
        <w:rPr>
          <w:b w:val="0"/>
        </w:rPr>
        <w:t>3. Tort Liability of Principal</w:t>
      </w:r>
      <w:bookmarkEnd w:id="3"/>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7A79093" w14:textId="77777777">
        <w:trPr>
          <w:cantSplit/>
          <w:jc w:val="center"/>
        </w:trPr>
        <w:tc>
          <w:tcPr>
            <w:tcW w:w="10080" w:type="dxa"/>
            <w:tcBorders>
              <w:top w:val="nil"/>
              <w:left w:val="single" w:sz="30" w:space="0" w:color="7C3AED"/>
              <w:bottom w:val="nil"/>
              <w:right w:val="nil"/>
            </w:tcBorders>
            <w:shd w:val="clear" w:color="auto" w:fill="F3EEFF"/>
          </w:tcPr>
          <w:p w14:paraId="52EFE16A" w14:textId="77777777" w:rsidR="00B844AC" w:rsidRDefault="00F62A06">
            <w:pPr>
              <w:spacing w:after="0"/>
            </w:pPr>
            <w:r>
              <w:rPr>
                <w:b/>
                <w:color w:val="6D28D9"/>
                <w:sz w:val="17"/>
              </w:rPr>
              <w:t xml:space="preserve">RULE  </w:t>
            </w:r>
            <w:r>
              <w:t xml:space="preserve">The agent is always liable for its own torts (R3d § 7.01 — following orders is no defense). The principal may be DIRECTLY liable (§ 7.03(1)): </w:t>
            </w:r>
            <w:r>
              <w:rPr>
                <w:color w:val="B91C1C"/>
                <w:shd w:val="clear" w:color="auto" w:fill="FDE2E2"/>
              </w:rPr>
              <w:t xml:space="preserve">(a) A acted with actual authority or P ratified and the conduct is tortious (or would be if P did it); </w:t>
            </w:r>
            <w:r>
              <w:rPr>
                <w:color w:val="C2410C"/>
                <w:shd w:val="clear" w:color="auto" w:fill="FFE7D1"/>
              </w:rPr>
              <w:t xml:space="preserve">(b) P was negligent in selecting, training, retaining, supervising or controlling A (§ 7.05); </w:t>
            </w:r>
            <w:r>
              <w:rPr>
                <w:color w:val="854D0E"/>
                <w:shd w:val="clear" w:color="auto" w:fill="FDF1A8"/>
              </w:rPr>
              <w:t xml:space="preserve">(c) P delegated a nondelegable duty of care (§ 7.06).</w:t>
            </w:r>
            <w:r>
              <w:t xml:space="preserve"> P is VICARIOUSLY liable (§ 7.03(2)): </w:t>
            </w:r>
            <w:r>
              <w:rPr>
                <w:color w:val="B91C1C"/>
                <w:shd w:val="clear" w:color="auto" w:fill="FDE2E2"/>
              </w:rPr>
              <w:t xml:space="preserve">(a) employee's tort within the scope of employment (respondeat superior, § 7.07); </w:t>
            </w:r>
            <w:r>
              <w:rPr>
                <w:color w:val="C2410C"/>
                <w:shd w:val="clear" w:color="auto" w:fill="FFE7D1"/>
              </w:rPr>
              <w:t xml:space="preserve">(b) agent's tort committed with apparent authority (§ 7.08).</w:t>
            </w:r>
          </w:p>
        </w:tc>
      </w:tr>
    </w:tbl>
    <w:p w14:paraId="526234E9" w14:textId="77777777" w:rsidR="00B844AC" w:rsidRDefault="00B844AC">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2044133" w14:textId="77777777">
        <w:trPr>
          <w:cantSplit/>
          <w:jc w:val="center"/>
        </w:trPr>
        <w:tc>
          <w:tcPr>
            <w:tcW w:w="10080" w:type="dxa"/>
            <w:tcBorders>
              <w:top w:val="nil"/>
              <w:left w:val="single" w:sz="30" w:space="0" w:color="DB2777"/>
              <w:bottom w:val="nil"/>
              <w:right w:val="nil"/>
            </w:tcBorders>
            <w:shd w:val="clear" w:color="auto" w:fill="FDEFF6"/>
          </w:tcPr>
          <w:p w14:paraId="1C94C2DC" w14:textId="77777777" w:rsidR="00B844AC" w:rsidRDefault="00F62A06">
            <w:pPr>
              <w:spacing w:after="0"/>
            </w:pPr>
            <w:r>
              <w:rPr>
                <w:b/>
                <w:color w:val="9D174D"/>
                <w:sz w:val="17"/>
              </w:rPr>
              <w:t xml:space="preserve">TIP  </w:t>
            </w:r>
            <w:r>
              <w:t>Flowchart — (1) Is A P's agent? (2) Is P directly liable? (3) Is A an employee (servant)? (4) Within scope? Then check apparent agency and independent-contractor exceptions.</w:t>
            </w:r>
          </w:p>
        </w:tc>
      </w:tr>
    </w:tbl>
    <w:p w14:paraId="4845FBBF" w14:textId="77777777" w:rsidR="00B844AC" w:rsidRDefault="00B844AC">
      <w:pPr>
        <w:spacing w:after="0" w:line="100" w:lineRule="exact"/>
      </w:pPr>
    </w:p>
    <w:p w14:paraId="3FD7AD65" w14:textId="77777777" w:rsidR="00B844AC" w:rsidRDefault="00F62A06">
      <w:pPr>
        <w:pStyle w:val="ListBullet"/>
      </w:pPr>
      <w:r>
        <w:rPr>
          <w:b/>
        </w:rPr>
        <w:t>R2d § 219(2):</w:t>
      </w:r>
      <w:r>
        <w:t xml:space="preserve"> master not liable for servant's torts outside scope unless master intended the conduct, was negligent or reckless, violated a non-delegable duty, or the servant purported to act for the principal with reliance on apparent authority or was aided by the agency relation.</w:t>
      </w:r>
    </w:p>
    <w:p w14:paraId="5023E1D1" w14:textId="77777777" w:rsidR="00B844AC" w:rsidRDefault="00F62A06">
      <w:pPr>
        <w:pStyle w:val="Heading3"/>
      </w:pPr>
      <w:r>
        <w:rPr>
          <w:b w:val="0"/>
        </w:rPr>
        <w:t>Respondeat superior</w:t>
      </w:r>
    </w:p>
    <w:p w14:paraId="0B9AFEDF" w14:textId="77777777" w:rsidR="00B844AC" w:rsidRDefault="00F62A06">
      <w:pPr>
        <w:pStyle w:val="ListBullet"/>
      </w:pPr>
      <w:r>
        <w:t xml:space="preserve">"Let the master answer." Historically master–servant: servant works for master subject to master's control or right to control physical conduct; master and servant are </w:t>
      </w:r>
      <w:r>
        <w:rPr>
          <w:b/>
        </w:rPr>
        <w:t>jointly and severally liable</w:t>
      </w:r>
      <w:r>
        <w:t xml:space="preserve"> for torts within scope.</w:t>
      </w:r>
    </w:p>
    <w:p w14:paraId="543072B9" w14:textId="77777777" w:rsidR="00B844AC" w:rsidRDefault="00F62A06">
      <w:pPr>
        <w:pStyle w:val="ListBullet"/>
      </w:pPr>
      <w:r>
        <w:rPr>
          <w:b/>
        </w:rPr>
        <w:t>Rationales:</w:t>
      </w:r>
      <w:r>
        <w:t xml:space="preserve"> control; risk-spreading/insurance; safety incentives; enterprise liability ("characteristic of its activities" — Bushey); P vouches for agents (Kidd). It is strict liability without fault (Kerl).</w:t>
      </w:r>
    </w:p>
    <w:p w14:paraId="61AE0882" w14:textId="77777777" w:rsidR="00B844AC" w:rsidRDefault="00F62A06">
      <w:pPr>
        <w:pStyle w:val="Heading3"/>
      </w:pPr>
      <w:r>
        <w:rPr>
          <w:b w:val="0"/>
        </w:rPr>
        <w:t>Employee vs. independent contractor</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146"/>
        <w:gridCol w:w="3425"/>
        <w:gridCol w:w="4509"/>
      </w:tblGrid>
      <w:tr w:rsidR="00B844AC" w14:paraId="1DD630C5" w14:textId="77777777">
        <w:trPr>
          <w:cantSplit/>
          <w:tblHeader/>
          <w:jc w:val="center"/>
        </w:trPr>
        <w:tc>
          <w:tcPr>
            <w:tcW w:w="2146" w:type="dxa"/>
            <w:tcBorders>
              <w:top w:val="single" w:sz="4" w:space="0" w:color="BFC9D9"/>
              <w:left w:val="single" w:sz="4" w:space="0" w:color="BFC9D9"/>
              <w:bottom w:val="single" w:sz="4" w:space="0" w:color="BFC9D9"/>
              <w:right w:val="single" w:sz="4" w:space="0" w:color="BFC9D9"/>
            </w:tcBorders>
            <w:shd w:val="clear" w:color="auto" w:fill="1F3864"/>
          </w:tcPr>
          <w:p w14:paraId="6C89533E" w14:textId="77777777" w:rsidR="00B844AC" w:rsidRDefault="00F62A06">
            <w:pPr>
              <w:spacing w:after="0" w:line="240" w:lineRule="auto"/>
            </w:pPr>
            <w:r>
              <w:rPr>
                <w:b/>
                <w:color w:val="FFFFFF"/>
                <w:sz w:val="17"/>
              </w:rPr>
              <w:t>Concept</w:t>
            </w:r>
          </w:p>
        </w:tc>
        <w:tc>
          <w:tcPr>
            <w:tcW w:w="3425" w:type="dxa"/>
            <w:tcBorders>
              <w:top w:val="single" w:sz="4" w:space="0" w:color="BFC9D9"/>
              <w:left w:val="single" w:sz="4" w:space="0" w:color="BFC9D9"/>
              <w:bottom w:val="single" w:sz="4" w:space="0" w:color="BFC9D9"/>
              <w:right w:val="single" w:sz="4" w:space="0" w:color="BFC9D9"/>
            </w:tcBorders>
            <w:shd w:val="clear" w:color="auto" w:fill="1F3864"/>
          </w:tcPr>
          <w:p w14:paraId="6B4B6091" w14:textId="77777777" w:rsidR="00B844AC" w:rsidRDefault="00F62A06">
            <w:pPr>
              <w:spacing w:after="0" w:line="240" w:lineRule="auto"/>
            </w:pPr>
            <w:r>
              <w:rPr>
                <w:b/>
                <w:color w:val="FFFFFF"/>
                <w:sz w:val="17"/>
              </w:rPr>
              <w:t xml:space="preserve">Restatement (Second) (1958)</w:t>
            </w:r>
          </w:p>
        </w:tc>
        <w:tc>
          <w:tcPr>
            <w:tcW w:w="4509" w:type="dxa"/>
            <w:tcBorders>
              <w:top w:val="single" w:sz="4" w:space="0" w:color="BFC9D9"/>
              <w:left w:val="single" w:sz="4" w:space="0" w:color="BFC9D9"/>
              <w:bottom w:val="single" w:sz="4" w:space="0" w:color="BFC9D9"/>
              <w:right w:val="single" w:sz="4" w:space="0" w:color="BFC9D9"/>
            </w:tcBorders>
            <w:shd w:val="clear" w:color="auto" w:fill="1F3864"/>
          </w:tcPr>
          <w:p w14:paraId="45C47C02" w14:textId="77777777" w:rsidR="00B844AC" w:rsidRDefault="00F62A06">
            <w:pPr>
              <w:spacing w:after="0" w:line="240" w:lineRule="auto"/>
            </w:pPr>
            <w:r>
              <w:rPr>
                <w:b/>
                <w:color w:val="FFFFFF"/>
                <w:sz w:val="17"/>
              </w:rPr>
              <w:t xml:space="preserve">Restatement (Third) (2006)</w:t>
            </w:r>
          </w:p>
        </w:tc>
      </w:tr>
      <w:tr w:rsidR="00B844AC" w14:paraId="3E17BD39" w14:textId="77777777">
        <w:trPr>
          <w:cantSplit/>
          <w:jc w:val="center"/>
        </w:trPr>
        <w:tc>
          <w:tcPr>
            <w:tcW w:w="2146" w:type="dxa"/>
            <w:tcBorders>
              <w:top w:val="single" w:sz="4" w:space="0" w:color="BFC9D9"/>
              <w:left w:val="single" w:sz="24" w:space="0" w:color="EF4444"/>
              <w:bottom w:val="single" w:sz="4" w:space="0" w:color="BFC9D9"/>
              <w:right w:val="single" w:sz="4" w:space="0" w:color="BFC9D9"/>
            </w:tcBorders>
            <w:shd w:val="clear" w:color="auto" w:fill="FDEDED"/>
          </w:tcPr>
          <w:p w14:paraId="3D19B974" w14:textId="77777777" w:rsidR="00B844AC" w:rsidRDefault="00F62A06">
            <w:pPr>
              <w:spacing w:after="0" w:line="240" w:lineRule="auto"/>
            </w:pPr>
            <w:r>
              <w:rPr>
                <w:b/>
                <w:sz w:val="17"/>
              </w:rPr>
              <w:lastRenderedPageBreak/>
              <w:t>High control over physical conduct</w:t>
            </w:r>
          </w:p>
        </w:tc>
        <w:tc>
          <w:tcPr>
            <w:tcW w:w="3425" w:type="dxa"/>
            <w:tcBorders>
              <w:top w:val="single" w:sz="4" w:space="0" w:color="BFC9D9"/>
              <w:left w:val="single" w:sz="4" w:space="0" w:color="BFC9D9"/>
              <w:bottom w:val="single" w:sz="4" w:space="0" w:color="BFC9D9"/>
              <w:right w:val="single" w:sz="4" w:space="0" w:color="BFC9D9"/>
            </w:tcBorders>
            <w:shd w:val="clear" w:color="auto" w:fill="FDEDED"/>
          </w:tcPr>
          <w:p w14:paraId="1EEC6059" w14:textId="77777777" w:rsidR="00B844AC" w:rsidRDefault="00F62A06">
            <w:pPr>
              <w:spacing w:after="0" w:line="240" w:lineRule="auto"/>
            </w:pPr>
            <w:r>
              <w:rPr>
                <w:sz w:val="17"/>
              </w:rPr>
              <w:t>Servant (master controls/right to control physical conduct)</w:t>
            </w:r>
          </w:p>
        </w:tc>
        <w:tc>
          <w:tcPr>
            <w:tcW w:w="4509" w:type="dxa"/>
            <w:tcBorders>
              <w:top w:val="single" w:sz="4" w:space="0" w:color="BFC9D9"/>
              <w:left w:val="single" w:sz="4" w:space="0" w:color="BFC9D9"/>
              <w:bottom w:val="single" w:sz="4" w:space="0" w:color="BFC9D9"/>
              <w:right w:val="single" w:sz="4" w:space="0" w:color="BFC9D9"/>
            </w:tcBorders>
            <w:shd w:val="clear" w:color="auto" w:fill="FDEDED"/>
          </w:tcPr>
          <w:p w14:paraId="6D38FB90" w14:textId="77777777" w:rsidR="00B844AC" w:rsidRDefault="00F62A06">
            <w:pPr>
              <w:spacing w:after="0" w:line="240" w:lineRule="auto"/>
            </w:pPr>
            <w:r>
              <w:rPr>
                <w:sz w:val="17"/>
              </w:rPr>
              <w:t>Employee (P controls/right to control manner and means of work) — same test, new words</w:t>
            </w:r>
          </w:p>
        </w:tc>
      </w:tr>
      <w:tr w:rsidR="00B844AC" w14:paraId="4A6AAEAC" w14:textId="77777777">
        <w:trPr>
          <w:cantSplit/>
          <w:jc w:val="center"/>
        </w:trPr>
        <w:tc>
          <w:tcPr>
            <w:tcW w:w="2146" w:type="dxa"/>
            <w:tcBorders>
              <w:top w:val="single" w:sz="4" w:space="0" w:color="BFC9D9"/>
              <w:left w:val="single" w:sz="24" w:space="0" w:color="F97316"/>
              <w:bottom w:val="single" w:sz="4" w:space="0" w:color="BFC9D9"/>
              <w:right w:val="single" w:sz="4" w:space="0" w:color="BFC9D9"/>
            </w:tcBorders>
            <w:shd w:val="clear" w:color="auto" w:fill="FFF1E3"/>
          </w:tcPr>
          <w:p w14:paraId="2FC2FB91" w14:textId="77777777" w:rsidR="00B844AC" w:rsidRDefault="00F62A06">
            <w:pPr>
              <w:spacing w:after="0" w:line="240" w:lineRule="auto"/>
            </w:pPr>
            <w:r>
              <w:rPr>
                <w:b/>
                <w:sz w:val="17"/>
              </w:rPr>
              <w:t>Fiduciary agent with autonomy</w:t>
            </w:r>
          </w:p>
        </w:tc>
        <w:tc>
          <w:tcPr>
            <w:tcW w:w="3425" w:type="dxa"/>
            <w:tcBorders>
              <w:top w:val="single" w:sz="4" w:space="0" w:color="BFC9D9"/>
              <w:left w:val="single" w:sz="4" w:space="0" w:color="BFC9D9"/>
              <w:bottom w:val="single" w:sz="4" w:space="0" w:color="BFC9D9"/>
              <w:right w:val="single" w:sz="4" w:space="0" w:color="BFC9D9"/>
            </w:tcBorders>
            <w:shd w:val="clear" w:color="auto" w:fill="FFF1E3"/>
          </w:tcPr>
          <w:p w14:paraId="6639A491" w14:textId="77777777" w:rsidR="00B844AC" w:rsidRDefault="00F62A06">
            <w:pPr>
              <w:spacing w:after="0" w:line="240" w:lineRule="auto"/>
            </w:pPr>
            <w:r>
              <w:rPr>
                <w:sz w:val="17"/>
              </w:rPr>
              <w:t>Agent independent contractor (broker, outside lawyer, factor)</w:t>
            </w:r>
          </w:p>
        </w:tc>
        <w:tc>
          <w:tcPr>
            <w:tcW w:w="4509" w:type="dxa"/>
            <w:tcBorders>
              <w:top w:val="single" w:sz="4" w:space="0" w:color="BFC9D9"/>
              <w:left w:val="single" w:sz="4" w:space="0" w:color="BFC9D9"/>
              <w:bottom w:val="single" w:sz="4" w:space="0" w:color="BFC9D9"/>
              <w:right w:val="single" w:sz="4" w:space="0" w:color="BFC9D9"/>
            </w:tcBorders>
            <w:shd w:val="clear" w:color="auto" w:fill="FFF1E3"/>
          </w:tcPr>
          <w:p w14:paraId="4C6B4609" w14:textId="77777777" w:rsidR="00B844AC" w:rsidRDefault="00F62A06">
            <w:pPr>
              <w:spacing w:after="0" w:line="240" w:lineRule="auto"/>
            </w:pPr>
            <w:r>
              <w:rPr>
                <w:sz w:val="17"/>
              </w:rPr>
              <w:t>Nonemployee agent — can bind P but controls own work</w:t>
            </w:r>
          </w:p>
        </w:tc>
      </w:tr>
      <w:tr w:rsidR="00B844AC" w14:paraId="49722016" w14:textId="77777777">
        <w:trPr>
          <w:cantSplit/>
          <w:jc w:val="center"/>
        </w:trPr>
        <w:tc>
          <w:tcPr>
            <w:tcW w:w="2146" w:type="dxa"/>
            <w:tcBorders>
              <w:top w:val="single" w:sz="4" w:space="0" w:color="BFC9D9"/>
              <w:left w:val="single" w:sz="24" w:space="0" w:color="EAB308"/>
              <w:bottom w:val="single" w:sz="4" w:space="0" w:color="BFC9D9"/>
              <w:right w:val="single" w:sz="4" w:space="0" w:color="BFC9D9"/>
            </w:tcBorders>
            <w:shd w:val="clear" w:color="auto" w:fill="FEF8D2"/>
          </w:tcPr>
          <w:p w14:paraId="79BBC96F" w14:textId="77777777" w:rsidR="00B844AC" w:rsidRDefault="00F62A06">
            <w:pPr>
              <w:spacing w:after="0" w:line="240" w:lineRule="auto"/>
            </w:pPr>
            <w:r>
              <w:rPr>
                <w:b/>
                <w:sz w:val="17"/>
              </w:rPr>
              <w:t>No fiduciary status, full autonomy</w:t>
            </w:r>
          </w:p>
        </w:tc>
        <w:tc>
          <w:tcPr>
            <w:tcW w:w="3425" w:type="dxa"/>
            <w:tcBorders>
              <w:top w:val="single" w:sz="4" w:space="0" w:color="BFC9D9"/>
              <w:left w:val="single" w:sz="4" w:space="0" w:color="BFC9D9"/>
              <w:bottom w:val="single" w:sz="4" w:space="0" w:color="BFC9D9"/>
              <w:right w:val="single" w:sz="4" w:space="0" w:color="BFC9D9"/>
            </w:tcBorders>
            <w:shd w:val="clear" w:color="auto" w:fill="FEF8D2"/>
          </w:tcPr>
          <w:p w14:paraId="342B9612" w14:textId="77777777" w:rsidR="00B844AC" w:rsidRDefault="00F62A06">
            <w:pPr>
              <w:spacing w:after="0" w:line="240" w:lineRule="auto"/>
            </w:pPr>
            <w:r>
              <w:rPr>
                <w:sz w:val="17"/>
              </w:rPr>
              <w:t>Non-agent independent contractor (builder, taxi)</w:t>
            </w:r>
          </w:p>
        </w:tc>
        <w:tc>
          <w:tcPr>
            <w:tcW w:w="4509" w:type="dxa"/>
            <w:tcBorders>
              <w:top w:val="single" w:sz="4" w:space="0" w:color="BFC9D9"/>
              <w:left w:val="single" w:sz="4" w:space="0" w:color="BFC9D9"/>
              <w:bottom w:val="single" w:sz="4" w:space="0" w:color="BFC9D9"/>
              <w:right w:val="single" w:sz="4" w:space="0" w:color="BFC9D9"/>
            </w:tcBorders>
            <w:shd w:val="clear" w:color="auto" w:fill="FEF8D2"/>
          </w:tcPr>
          <w:p w14:paraId="0728F600" w14:textId="77777777" w:rsidR="00B844AC" w:rsidRDefault="00F62A06">
            <w:pPr>
              <w:spacing w:after="0" w:line="240" w:lineRule="auto"/>
            </w:pPr>
            <w:r>
              <w:rPr>
                <w:sz w:val="17"/>
              </w:rPr>
              <w:t>Nonagent service provider</w:t>
            </w:r>
          </w:p>
        </w:tc>
      </w:tr>
    </w:tbl>
    <w:p w14:paraId="3A45CDC6" w14:textId="77777777" w:rsidR="00B844AC" w:rsidRDefault="00B844AC">
      <w:pPr>
        <w:spacing w:after="0" w:line="120" w:lineRule="exact"/>
      </w:pPr>
    </w:p>
    <w:p w14:paraId="22F40058" w14:textId="77777777" w:rsidR="00B844AC" w:rsidRDefault="00F62A06">
      <w:pPr>
        <w:pStyle w:val="ListBullet"/>
      </w:pPr>
      <w:r>
        <w:t>R2d's "independent contractor" was a catch-all bucket mixing agents (an outside lawyer, a broker) with non-agents (an independent taxi, a builder). R3d dropped the term as "equivocal in meaning and confusing"; the non-employee workforce = non-employee agents and non-employee non-agents. Focus: agency (consent + control → fiduciary duties) and manner-and-means control (→ vicarious liability).</w:t>
      </w:r>
    </w:p>
    <w:p w14:paraId="05BDFA87" w14:textId="77777777" w:rsidR="00B844AC" w:rsidRDefault="00F62A06">
      <w:pPr>
        <w:pStyle w:val="ListBullet"/>
      </w:pPr>
      <w:r>
        <w:rPr>
          <w:b/>
        </w:rPr>
        <w:t>R2d § 220(2) factors:</w:t>
      </w:r>
      <w:r>
        <w:t xml:space="preserve"> extent of control over details; distinct occupation/business; whether locally done under direction or by unsupervised specialist; skill; who supplies tools and workplace; length of employment; paid by time or by job; part of employer's regular business; parties' belief; whether P is in business.</w:t>
      </w:r>
    </w:p>
    <w:p w14:paraId="6440B640" w14:textId="77777777" w:rsidR="00B844AC" w:rsidRDefault="00F62A06">
      <w:pPr>
        <w:pStyle w:val="ListBullet"/>
      </w:pPr>
      <w:r>
        <w:t>Right to control matters, not actual control; contract labels and disclaimers are informative, not dispositive.</w:t>
      </w:r>
    </w:p>
    <w:p w14:paraId="219CB1B5" w14:textId="77777777" w:rsidR="00B844AC" w:rsidRDefault="00F62A06">
      <w:pPr>
        <w:pStyle w:val="Heading3"/>
      </w:pPr>
      <w:r>
        <w:rPr>
          <w:b w:val="0"/>
        </w:rPr>
        <w:t>Franchising</w:t>
      </w:r>
    </w:p>
    <w:p w14:paraId="135A3B48" w14:textId="77777777" w:rsidR="00B844AC" w:rsidRDefault="00F62A06">
      <w:pPr>
        <w:pStyle w:val="ListBullet"/>
      </w:pPr>
      <w:r>
        <w:t xml:space="preserve">Model: franchisor builds brand/system → franchisee pays to operate an independent business using franchisor's intellectual property (IP) and model → franchisee keeps profits → franchisor gets upfront fees and royalties.</w:t>
      </w:r>
    </w:p>
    <w:p w14:paraId="07A0FA6C" w14:textId="77777777" w:rsidR="00B844AC" w:rsidRDefault="00F62A06">
      <w:pPr>
        <w:pStyle w:val="ListBullet"/>
      </w:pPr>
      <w:r>
        <w:t>Vicarious liability is "conceptually difficult to adapt to the franchising context" (Kerl); courts apply it inconsistently (Monts).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B5C0DF4" w14:textId="77777777">
        <w:trPr>
          <w:cantSplit/>
          <w:jc w:val="center"/>
        </w:trPr>
        <w:tc>
          <w:tcPr>
            <w:tcW w:w="10080" w:type="dxa"/>
            <w:tcBorders>
              <w:top w:val="nil"/>
              <w:left w:val="single" w:sz="30" w:space="0" w:color="7C3AED"/>
              <w:bottom w:val="nil"/>
              <w:right w:val="nil"/>
            </w:tcBorders>
            <w:shd w:val="clear" w:color="auto" w:fill="F3EEFF"/>
          </w:tcPr>
          <w:p w14:paraId="45B3BCBA" w14:textId="77777777" w:rsidR="00B844AC" w:rsidRDefault="00F62A06">
            <w:pPr>
              <w:spacing w:after="0"/>
            </w:pPr>
            <w:r>
              <w:rPr>
                <w:b/>
                <w:color w:val="6D28D9"/>
                <w:sz w:val="17"/>
              </w:rPr>
              <w:t xml:space="preserve">RULE  </w:t>
            </w:r>
            <w:r>
              <w:t>Majority (Kerl): a franchisor is vicariously liable only if it controls or has the right to control the daily operation of the specific aspect of the franchisee's business that caused the harm. Quality/trademark standards ≠ control.</w:t>
            </w:r>
          </w:p>
        </w:tc>
      </w:tr>
    </w:tbl>
    <w:p w14:paraId="35901013" w14:textId="77777777" w:rsidR="00B844AC" w:rsidRDefault="00B844AC">
      <w:pPr>
        <w:spacing w:after="0" w:line="100" w:lineRule="exact"/>
      </w:pPr>
    </w:p>
    <w:p w14:paraId="72C578D9" w14:textId="77777777" w:rsidR="00B844AC" w:rsidRDefault="00F62A06">
      <w:pPr>
        <w:keepNext/>
        <w:pBdr>
          <w:left w:val="single" w:sz="18" w:space="6" w:color="DC2626"/>
        </w:pBdr>
        <w:spacing w:before="100" w:after="20"/>
        <w:ind w:left="173"/>
      </w:pPr>
      <w:r>
        <w:rPr>
          <w:b/>
          <w:color w:val="B91C1C"/>
          <w:sz w:val="21"/>
        </w:rPr>
        <w:t>Humble Oil &amp; Refining Co. v. Martin (Tex. 1949)</w:t>
      </w:r>
      <w:r>
        <w:rPr>
          <w:color w:val="B91C1C"/>
          <w:sz w:val="15"/>
        </w:rPr>
        <w:t xml:space="preserve">  </w:t>
      </w:r>
      <w:r>
        <w:rPr>
          <w:b/>
          <w:color w:val="FFFFFF"/>
          <w:sz w:val="15"/>
          <w:shd w:val="clear" w:color="auto" w:fill="DC2626"/>
        </w:rPr>
        <w:t> MAIN CASE · CLASS 3 </w:t>
      </w:r>
    </w:p>
    <w:p w14:paraId="1CBA15C5" w14:textId="77777777" w:rsidR="00B844AC" w:rsidRDefault="00F62A06">
      <w:pPr>
        <w:keepNext/>
        <w:pBdr>
          <w:left w:val="single" w:sz="18" w:space="6" w:color="DC2626"/>
        </w:pBdr>
        <w:shd w:val="clear" w:color="auto" w:fill="EAF2FF"/>
        <w:spacing w:after="30"/>
        <w:ind w:left="173"/>
      </w:pPr>
      <w:r>
        <w:rPr>
          <w:b/>
          <w:color w:val="1D4ED8"/>
        </w:rPr>
        <w:t xml:space="preserve">Facts:  </w:t>
      </w:r>
      <w:r>
        <w:t>A car left for service at a Humble-owned gas station rolled away and struck a father and his two daughters. The operator ran the station under a "commission agency" contract calling him independent.</w:t>
      </w:r>
    </w:p>
    <w:p w14:paraId="29E1E0A3" w14:textId="77777777" w:rsidR="00B844AC" w:rsidRDefault="00F62A06">
      <w:pPr>
        <w:keepNext/>
        <w:pBdr>
          <w:left w:val="single" w:sz="18" w:space="6" w:color="DC2626"/>
        </w:pBdr>
        <w:shd w:val="clear" w:color="auto" w:fill="E7F8EE"/>
        <w:spacing w:after="30"/>
        <w:ind w:left="173"/>
      </w:pPr>
      <w:r>
        <w:rPr>
          <w:b/>
          <w:color w:val="15803D"/>
        </w:rPr>
        <w:t xml:space="preserve">Held:  </w:t>
      </w:r>
      <w:r>
        <w:t>Humble is liable — the operator was its servant. Humble owned the station and products, set the hours, paid most utilities, could end the deal at will and assign him "other duties."</w:t>
      </w:r>
    </w:p>
    <w:p w14:paraId="59739E49" w14:textId="77777777" w:rsidR="00B844AC" w:rsidRDefault="00F62A06">
      <w:pPr>
        <w:pBdr>
          <w:left w:val="single" w:sz="18" w:space="6" w:color="DC2626"/>
        </w:pBdr>
        <w:shd w:val="clear" w:color="auto" w:fill="FEF6C2"/>
        <w:spacing w:after="80"/>
        <w:ind w:left="173"/>
      </w:pPr>
      <w:r>
        <w:rPr>
          <w:b/>
          <w:color w:val="8A6100"/>
        </w:rPr>
        <w:t xml:space="preserve">Why it matters:  </w:t>
      </w:r>
      <w:r>
        <w:t>Labels don't control; an oil company keeping the right to control daily operations answers for the station's negligence (contrast Hoover).</w:t>
      </w:r>
    </w:p>
    <w:p w14:paraId="438C44E4" w14:textId="77777777" w:rsidR="00B844AC" w:rsidRDefault="00F62A06">
      <w:pPr>
        <w:keepNext/>
        <w:pBdr>
          <w:left w:val="single" w:sz="18" w:space="6" w:color="DC2626"/>
        </w:pBdr>
        <w:spacing w:before="100" w:after="20"/>
        <w:ind w:left="173"/>
      </w:pPr>
      <w:r>
        <w:rPr>
          <w:b/>
          <w:color w:val="B91C1C"/>
          <w:sz w:val="21"/>
        </w:rPr>
        <w:t>Hoover v. Sun Oil Co. (Del. 1965)</w:t>
      </w:r>
      <w:r>
        <w:rPr>
          <w:color w:val="B91C1C"/>
          <w:sz w:val="15"/>
        </w:rPr>
        <w:t xml:space="preserve">  </w:t>
      </w:r>
      <w:r>
        <w:rPr>
          <w:b/>
          <w:color w:val="FFFFFF"/>
          <w:sz w:val="15"/>
          <w:shd w:val="clear" w:color="auto" w:fill="DC2626"/>
        </w:rPr>
        <w:t> MAIN CASE · CLASS 3 </w:t>
      </w:r>
    </w:p>
    <w:p w14:paraId="773BA7A8" w14:textId="77777777" w:rsidR="00B844AC" w:rsidRDefault="00F62A06">
      <w:pPr>
        <w:keepNext/>
        <w:pBdr>
          <w:left w:val="single" w:sz="18" w:space="6" w:color="DC2626"/>
        </w:pBdr>
        <w:shd w:val="clear" w:color="auto" w:fill="EAF2FF"/>
        <w:spacing w:after="30"/>
        <w:ind w:left="173"/>
      </w:pPr>
      <w:r>
        <w:rPr>
          <w:b/>
          <w:color w:val="1D4ED8"/>
        </w:rPr>
        <w:t xml:space="preserve">Facts:  </w:t>
      </w:r>
      <w:r>
        <w:t>A fire broke out while an attendant at a Sunoco-branded station filled a customer's car. Sun owned and leased the station, supplied products, trained the dealer, and visited weekly with suggestions.</w:t>
      </w:r>
    </w:p>
    <w:p w14:paraId="469BC726" w14:textId="77777777" w:rsidR="00B844AC" w:rsidRDefault="00F62A06">
      <w:pPr>
        <w:keepNext/>
        <w:pBdr>
          <w:left w:val="single" w:sz="18" w:space="6" w:color="DC2626"/>
        </w:pBdr>
        <w:shd w:val="clear" w:color="auto" w:fill="E7F8EE"/>
        <w:spacing w:after="30"/>
        <w:ind w:left="173"/>
      </w:pPr>
      <w:r>
        <w:rPr>
          <w:b/>
          <w:color w:val="15803D"/>
        </w:rPr>
        <w:t xml:space="preserve">Held:  </w:t>
      </w:r>
      <w:r>
        <w:t>Sun isn't liable — the dealer was an independent contractor. He set his own hours, hired and paid staff, bore profit and loss, and could ignore Sun's advice; control over results isn't control over daily details.</w:t>
      </w:r>
    </w:p>
    <w:p w14:paraId="6133E507" w14:textId="77777777" w:rsidR="00B844AC" w:rsidRDefault="00F62A06">
      <w:pPr>
        <w:pBdr>
          <w:left w:val="single" w:sz="18" w:space="6" w:color="DC2626"/>
        </w:pBdr>
        <w:shd w:val="clear" w:color="auto" w:fill="FEF6C2"/>
        <w:spacing w:after="80"/>
        <w:ind w:left="173"/>
      </w:pPr>
      <w:r>
        <w:rPr>
          <w:b/>
          <w:color w:val="8A6100"/>
        </w:rPr>
        <w:t xml:space="preserve">Why it matters:  </w:t>
      </w:r>
      <w:r>
        <w:t>The counterpart to Humble: branding and advice don't make a dealer a servant.</w:t>
      </w:r>
    </w:p>
    <w:p w14:paraId="1EE630C9" w14:textId="77777777" w:rsidR="00B844AC" w:rsidRDefault="00F62A06">
      <w:pPr>
        <w:keepNext/>
        <w:pBdr>
          <w:left w:val="single" w:sz="18" w:space="6" w:color="DC2626"/>
        </w:pBdr>
        <w:spacing w:before="100" w:after="20"/>
        <w:ind w:left="173"/>
      </w:pPr>
      <w:r>
        <w:rPr>
          <w:b/>
          <w:color w:val="B91C1C"/>
          <w:sz w:val="21"/>
        </w:rPr>
        <w:t>Murphy v. Holiday Inns, Inc. (Va. 1975)</w:t>
      </w:r>
      <w:r>
        <w:rPr>
          <w:color w:val="B91C1C"/>
          <w:sz w:val="15"/>
        </w:rPr>
        <w:t xml:space="preserve">  </w:t>
      </w:r>
      <w:r>
        <w:rPr>
          <w:b/>
          <w:color w:val="FFFFFF"/>
          <w:sz w:val="15"/>
          <w:shd w:val="clear" w:color="auto" w:fill="DC2626"/>
        </w:rPr>
        <w:t> MAIN CASE · CLASS 3 </w:t>
      </w:r>
    </w:p>
    <w:p w14:paraId="7FEA506E" w14:textId="77777777" w:rsidR="00B844AC" w:rsidRDefault="00F62A06">
      <w:pPr>
        <w:keepNext/>
        <w:pBdr>
          <w:left w:val="single" w:sz="18" w:space="6" w:color="DC2626"/>
        </w:pBdr>
        <w:shd w:val="clear" w:color="auto" w:fill="EAF2FF"/>
        <w:spacing w:after="30"/>
        <w:ind w:left="173"/>
      </w:pPr>
      <w:r>
        <w:rPr>
          <w:b/>
          <w:color w:val="1D4ED8"/>
        </w:rPr>
        <w:t xml:space="preserve">Facts:  </w:t>
      </w:r>
      <w:r>
        <w:t>A guest slipped on water from an air conditioner at a franchised Holiday Inn and sued the franchisor.</w:t>
      </w:r>
    </w:p>
    <w:p w14:paraId="5B1C7BC1" w14:textId="77777777" w:rsidR="00B844AC" w:rsidRDefault="00F62A06">
      <w:pPr>
        <w:keepNext/>
        <w:pBdr>
          <w:left w:val="single" w:sz="18" w:space="6" w:color="DC2626"/>
        </w:pBdr>
        <w:shd w:val="clear" w:color="auto" w:fill="E7F8EE"/>
        <w:spacing w:after="30"/>
        <w:ind w:left="173"/>
      </w:pPr>
      <w:r>
        <w:rPr>
          <w:b/>
          <w:color w:val="15803D"/>
        </w:rPr>
        <w:t xml:space="preserve">Held:  </w:t>
      </w:r>
      <w:r>
        <w:t>No agency. The license's rules (building plans, signs, fees, inspections) aimed at system-wide uniformity; Holiday Inns had no control over daily maintenance, rates, hiring, wages, or supervision.</w:t>
      </w:r>
    </w:p>
    <w:p w14:paraId="6EC47540" w14:textId="77777777" w:rsidR="00B844AC" w:rsidRDefault="00F62A06">
      <w:pPr>
        <w:pBdr>
          <w:left w:val="single" w:sz="18" w:space="6" w:color="DC2626"/>
        </w:pBdr>
        <w:shd w:val="clear" w:color="auto" w:fill="FEF6C2"/>
        <w:spacing w:after="80"/>
        <w:ind w:left="173"/>
      </w:pPr>
      <w:r>
        <w:rPr>
          <w:b/>
          <w:color w:val="8A6100"/>
        </w:rPr>
        <w:t xml:space="preserve">Why it matters:  </w:t>
      </w:r>
      <w:r>
        <w:t>Brand standards aren't control of day-to-day operations — the basic franchise rule.</w:t>
      </w:r>
    </w:p>
    <w:p w14:paraId="01D305CD" w14:textId="77777777" w:rsidR="00B844AC" w:rsidRDefault="00F62A06">
      <w:pPr>
        <w:keepNext/>
        <w:pBdr>
          <w:left w:val="single" w:sz="18" w:space="6" w:color="DC2626"/>
        </w:pBdr>
        <w:spacing w:before="100" w:after="20"/>
        <w:ind w:left="173"/>
      </w:pPr>
      <w:r>
        <w:rPr>
          <w:b/>
          <w:color w:val="B91C1C"/>
          <w:sz w:val="21"/>
        </w:rPr>
        <w:t>Parker v. Domino's Pizza (Fla. App. 1993)</w:t>
      </w:r>
      <w:r>
        <w:rPr>
          <w:color w:val="B91C1C"/>
          <w:sz w:val="15"/>
        </w:rPr>
        <w:t xml:space="preserve">  </w:t>
      </w:r>
      <w:r>
        <w:rPr>
          <w:b/>
          <w:color w:val="FFFFFF"/>
          <w:sz w:val="15"/>
          <w:shd w:val="clear" w:color="auto" w:fill="DC2626"/>
        </w:rPr>
        <w:t> MAIN CASE · CLASS 3 </w:t>
      </w:r>
    </w:p>
    <w:p w14:paraId="17922C2B" w14:textId="77777777" w:rsidR="00B844AC" w:rsidRDefault="00F62A06">
      <w:pPr>
        <w:keepNext/>
        <w:pBdr>
          <w:left w:val="single" w:sz="18" w:space="6" w:color="DC2626"/>
        </w:pBdr>
        <w:shd w:val="clear" w:color="auto" w:fill="EAF2FF"/>
        <w:spacing w:after="30"/>
        <w:ind w:left="173"/>
      </w:pPr>
      <w:r>
        <w:rPr>
          <w:b/>
          <w:color w:val="1D4ED8"/>
        </w:rPr>
        <w:t xml:space="preserve">Facts:  </w:t>
      </w:r>
      <w:r>
        <w:t>A franchisee's pizza-delivery driver caused a crash. The franchise agreement and a "veritable bible" of a manual controlled nearly every detail, from recipes and delivery to hiring advice and audits.</w:t>
      </w:r>
    </w:p>
    <w:p w14:paraId="5DB524EB" w14:textId="77777777" w:rsidR="00B844AC" w:rsidRDefault="00F62A06">
      <w:pPr>
        <w:keepNext/>
        <w:pBdr>
          <w:left w:val="single" w:sz="18" w:space="6" w:color="DC2626"/>
        </w:pBdr>
        <w:shd w:val="clear" w:color="auto" w:fill="E7F8EE"/>
        <w:spacing w:after="30"/>
        <w:ind w:left="173"/>
      </w:pPr>
      <w:r>
        <w:rPr>
          <w:b/>
          <w:color w:val="15803D"/>
        </w:rPr>
        <w:t xml:space="preserve">Held:  </w:t>
      </w:r>
      <w:r>
        <w:t>Summary judgment for Domino's reversed — a jury must decide whether Domino's had the right to control the franchisee's means of operation.</w:t>
      </w:r>
    </w:p>
    <w:p w14:paraId="09563E2A" w14:textId="77777777" w:rsidR="00B844AC" w:rsidRDefault="00F62A06">
      <w:pPr>
        <w:pBdr>
          <w:left w:val="single" w:sz="18" w:space="6" w:color="DC2626"/>
        </w:pBdr>
        <w:shd w:val="clear" w:color="auto" w:fill="FEF6C2"/>
        <w:spacing w:after="80"/>
        <w:ind w:left="173"/>
      </w:pPr>
      <w:r>
        <w:rPr>
          <w:b/>
          <w:color w:val="8A6100"/>
        </w:rPr>
        <w:t xml:space="preserve">Why it matters:  </w:t>
      </w:r>
      <w:r>
        <w:t>Counterpoint to Murphy: pervasive operational control can make a franchisor a principal.</w:t>
      </w:r>
    </w:p>
    <w:p w14:paraId="4C9B8F39" w14:textId="77777777" w:rsidR="00B844AC" w:rsidRDefault="00F62A06">
      <w:pPr>
        <w:keepNext/>
        <w:pBdr>
          <w:left w:val="single" w:sz="18" w:space="6" w:color="DC2626"/>
        </w:pBdr>
        <w:spacing w:before="100" w:after="20"/>
        <w:ind w:left="173"/>
      </w:pPr>
      <w:r>
        <w:rPr>
          <w:b/>
          <w:color w:val="B91C1C"/>
          <w:sz w:val="21"/>
        </w:rPr>
        <w:lastRenderedPageBreak/>
        <w:t>Kerl v. Rasmussen (Wis. 2004)</w:t>
      </w:r>
      <w:r>
        <w:rPr>
          <w:color w:val="B91C1C"/>
          <w:sz w:val="15"/>
        </w:rPr>
        <w:t xml:space="preserve">  </w:t>
      </w:r>
      <w:r>
        <w:rPr>
          <w:b/>
          <w:color w:val="FFFFFF"/>
          <w:sz w:val="15"/>
          <w:shd w:val="clear" w:color="auto" w:fill="DC2626"/>
        </w:rPr>
        <w:t> MAIN CASE · CLASS 3 </w:t>
      </w:r>
    </w:p>
    <w:p w14:paraId="06D25FDE" w14:textId="77777777" w:rsidR="00B844AC" w:rsidRDefault="00F62A06">
      <w:pPr>
        <w:keepNext/>
        <w:pBdr>
          <w:left w:val="single" w:sz="18" w:space="6" w:color="DC2626"/>
        </w:pBdr>
        <w:shd w:val="clear" w:color="auto" w:fill="EAF2FF"/>
        <w:spacing w:after="30"/>
        <w:ind w:left="173"/>
      </w:pPr>
      <w:r>
        <w:rPr>
          <w:b/>
          <w:color w:val="1D4ED8"/>
        </w:rPr>
        <w:t xml:space="preserve">Facts:  </w:t>
      </w:r>
      <w:r>
        <w:t>An Arby's franchisee hired a work-release inmate, who left work and shot his ex-girlfriend and her fiancé. The victims sued Arby's for the franchisee's negligent supervision.</w:t>
      </w:r>
    </w:p>
    <w:p w14:paraId="4FB4792D" w14:textId="77777777" w:rsidR="00B844AC" w:rsidRDefault="00F62A06">
      <w:pPr>
        <w:keepNext/>
        <w:pBdr>
          <w:left w:val="single" w:sz="18" w:space="6" w:color="DC2626"/>
        </w:pBdr>
        <w:shd w:val="clear" w:color="auto" w:fill="E7F8EE"/>
        <w:spacing w:after="30"/>
        <w:ind w:left="173"/>
      </w:pPr>
      <w:r>
        <w:rPr>
          <w:b/>
          <w:color w:val="15803D"/>
        </w:rPr>
        <w:t xml:space="preserve">Held:  </w:t>
      </w:r>
      <w:r>
        <w:t>Arby's isn't liable. A franchisor is vicariously liable only if it controls (or may control) the daily operation of the specific aspect of the business that caused the harm; Arby's had no say over hiring or supervision.</w:t>
      </w:r>
    </w:p>
    <w:p w14:paraId="59998FA8" w14:textId="77777777" w:rsidR="00B844AC" w:rsidRDefault="00F62A06">
      <w:pPr>
        <w:pBdr>
          <w:left w:val="single" w:sz="18" w:space="6" w:color="DC2626"/>
        </w:pBdr>
        <w:shd w:val="clear" w:color="auto" w:fill="FEF6C2"/>
        <w:spacing w:after="80"/>
        <w:ind w:left="173"/>
      </w:pPr>
      <w:r>
        <w:rPr>
          <w:b/>
          <w:color w:val="8A6100"/>
        </w:rPr>
        <w:t xml:space="preserve">Why it matters:  </w:t>
      </w:r>
      <w:r>
        <w:t>States today's majority franchise test and why vicarious-liability rationales weaken for franchisors.</w:t>
      </w:r>
    </w:p>
    <w:p w14:paraId="732917D7" w14:textId="77777777" w:rsidR="00B844AC" w:rsidRDefault="00F62A06">
      <w:pPr>
        <w:keepNext/>
        <w:pBdr>
          <w:left w:val="single" w:sz="18" w:space="6" w:color="DC2626"/>
        </w:pBdr>
        <w:spacing w:before="100" w:after="20"/>
        <w:ind w:left="173"/>
      </w:pPr>
      <w:r>
        <w:rPr>
          <w:b/>
          <w:color w:val="B91C1C"/>
          <w:sz w:val="21"/>
        </w:rPr>
        <w:t>Miller v. McDonald's Corp. (Or. App. 1997)</w:t>
      </w:r>
      <w:r>
        <w:rPr>
          <w:color w:val="B91C1C"/>
          <w:sz w:val="15"/>
        </w:rPr>
        <w:t xml:space="preserve">  </w:t>
      </w:r>
      <w:r>
        <w:rPr>
          <w:b/>
          <w:color w:val="FFFFFF"/>
          <w:sz w:val="15"/>
          <w:shd w:val="clear" w:color="auto" w:fill="DC2626"/>
        </w:rPr>
        <w:t> MAIN CASE · CLASS 4 </w:t>
      </w:r>
    </w:p>
    <w:p w14:paraId="0A847DF5" w14:textId="77777777" w:rsidR="00B844AC" w:rsidRDefault="00F62A06">
      <w:pPr>
        <w:keepNext/>
        <w:pBdr>
          <w:left w:val="single" w:sz="18" w:space="6" w:color="DC2626"/>
        </w:pBdr>
        <w:shd w:val="clear" w:color="auto" w:fill="EAF2FF"/>
        <w:spacing w:after="30"/>
        <w:ind w:left="173"/>
      </w:pPr>
      <w:r>
        <w:rPr>
          <w:b/>
          <w:color w:val="1D4ED8"/>
        </w:rPr>
        <w:t xml:space="preserve">Facts:  </w:t>
      </w:r>
      <w:r>
        <w:t>A customer bit a sapphire in a Big Mac at a franchised McDonald's. McDonald's dictated exact food-handling methods; everything the customer saw said "McDonald's," and she chose it for its reputation.</w:t>
      </w:r>
    </w:p>
    <w:p w14:paraId="17E0D462" w14:textId="77777777" w:rsidR="00B844AC" w:rsidRDefault="00F62A06">
      <w:pPr>
        <w:keepNext/>
        <w:pBdr>
          <w:left w:val="single" w:sz="18" w:space="6" w:color="DC2626"/>
        </w:pBdr>
        <w:shd w:val="clear" w:color="auto" w:fill="E7F8EE"/>
        <w:spacing w:after="30"/>
        <w:ind w:left="173"/>
      </w:pPr>
      <w:r>
        <w:rPr>
          <w:b/>
          <w:color w:val="15803D"/>
        </w:rPr>
        <w:t xml:space="preserve">Held:  </w:t>
      </w:r>
      <w:r>
        <w:t>Jury questions on both actual agency (McDonald's controlled the food-handling that caused the injury) and apparent agency under R2d § 267 (uniform branding held the franchisee out; she relied).</w:t>
      </w:r>
    </w:p>
    <w:p w14:paraId="274065CE" w14:textId="77777777" w:rsidR="00B844AC" w:rsidRDefault="00F62A06">
      <w:pPr>
        <w:pBdr>
          <w:left w:val="single" w:sz="18" w:space="6" w:color="DC2626"/>
        </w:pBdr>
        <w:shd w:val="clear" w:color="auto" w:fill="FEF6C2"/>
        <w:spacing w:after="80"/>
        <w:ind w:left="173"/>
      </w:pPr>
      <w:r>
        <w:rPr>
          <w:b/>
          <w:color w:val="8A6100"/>
        </w:rPr>
        <w:t xml:space="preserve">Why it matters:  </w:t>
      </w:r>
      <w:r>
        <w:t>Shows both routes to franchisor tort liability.</w:t>
      </w:r>
    </w:p>
    <w:p w14:paraId="6C8E5E22" w14:textId="77777777" w:rsidR="00B844AC" w:rsidRDefault="00F62A06">
      <w:pPr>
        <w:pStyle w:val="Heading3"/>
      </w:pPr>
      <w:r>
        <w:rPr>
          <w:b w:val="0"/>
        </w:rPr>
        <w:t>Scope of employment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8618B8C" w14:textId="77777777">
        <w:trPr>
          <w:cantSplit/>
          <w:jc w:val="center"/>
        </w:trPr>
        <w:tc>
          <w:tcPr>
            <w:tcW w:w="10080" w:type="dxa"/>
            <w:tcBorders>
              <w:top w:val="nil"/>
              <w:left w:val="single" w:sz="30" w:space="0" w:color="7C3AED"/>
              <w:bottom w:val="nil"/>
              <w:right w:val="nil"/>
            </w:tcBorders>
            <w:shd w:val="clear" w:color="auto" w:fill="F3EEFF"/>
          </w:tcPr>
          <w:p w14:paraId="2CBE3770" w14:textId="77777777" w:rsidR="00B844AC" w:rsidRDefault="00F62A06">
            <w:pPr>
              <w:spacing w:after="0"/>
            </w:pPr>
            <w:r>
              <w:rPr>
                <w:b/>
                <w:color w:val="6D28D9"/>
                <w:sz w:val="17"/>
              </w:rPr>
              <w:t xml:space="preserve">RULE  </w:t>
            </w:r>
            <w:r>
              <w:t xml:space="preserve">R2d § 228 — within scope only if </w:t>
            </w:r>
            <w:r>
              <w:rPr>
                <w:color w:val="B91C1C"/>
                <w:shd w:val="clear" w:color="auto" w:fill="FDE2E2"/>
              </w:rPr>
              <w:t xml:space="preserve">(a) of the kind employed to perform; </w:t>
            </w:r>
            <w:r>
              <w:rPr>
                <w:color w:val="C2410C"/>
                <w:shd w:val="clear" w:color="auto" w:fill="FFE7D1"/>
              </w:rPr>
              <w:t xml:space="preserve">(b) substantially within authorized time and space limits (frolic vs. detour); </w:t>
            </w:r>
            <w:r>
              <w:rPr>
                <w:color w:val="854D0E"/>
                <w:shd w:val="clear" w:color="auto" w:fill="FDF1A8"/>
              </w:rPr>
              <w:t xml:space="preserve">(c) actuated at least in part by a purpose to serve the master; </w:t>
            </w:r>
            <w:r>
              <w:rPr>
                <w:color w:val="15803D"/>
                <w:shd w:val="clear" w:color="auto" w:fill="D7F5E1"/>
              </w:rPr>
              <w:t xml:space="preserve">(d) intentional force not unexpectable.</w:t>
            </w:r>
            <w:r>
              <w:t xml:space="preserve"> Outside scope if different in kind, far beyond time/space, or too little actuated by purpose to serve.</w:t>
            </w:r>
          </w:p>
        </w:tc>
      </w:tr>
    </w:tbl>
    <w:p w14:paraId="713334C0" w14:textId="77777777" w:rsidR="00B844AC" w:rsidRDefault="00B844AC">
      <w:pPr>
        <w:spacing w:after="0" w:line="100" w:lineRule="exact"/>
      </w:pPr>
    </w:p>
    <w:p w14:paraId="547BA11C" w14:textId="77777777" w:rsidR="00B844AC" w:rsidRDefault="00F62A06">
      <w:pPr>
        <w:pStyle w:val="ListBullet"/>
      </w:pPr>
      <w:r>
        <w:rPr>
          <w:b/>
        </w:rPr>
        <w:t>R2d § 229 factors</w:t>
      </w:r>
      <w:r>
        <w:t xml:space="preserve"> (unauthorized but similar/incidental acts): commonly done by such servants; time, place, purpose; prior relations; apportionment among servants; outside the enterprise or not entrusted to any servant; master's reason to expect; similarity to authorized acts; master furnished the instrumentality; departure from normal methods; seriously criminal.</w:t>
      </w:r>
    </w:p>
    <w:p w14:paraId="25E096A6" w14:textId="77777777" w:rsidR="00B844AC" w:rsidRDefault="00F62A06">
      <w:pPr>
        <w:pStyle w:val="ListBullet"/>
      </w:pPr>
      <w:r>
        <w:t>Forbidden acts (§ 230) and consciously tortious/criminal acts (§ 231) can be within scope (serious crimes usually not).</w:t>
      </w:r>
    </w:p>
    <w:p w14:paraId="3400323A" w14:textId="77777777" w:rsidR="00B844AC" w:rsidRDefault="00F62A06">
      <w:pPr>
        <w:pStyle w:val="ListBullet"/>
      </w:pPr>
      <w:r>
        <w:rPr>
          <w:b/>
        </w:rPr>
        <w:t>R3d § 7.07:</w:t>
      </w:r>
      <w:r>
        <w:t xml:space="preserve"> within scope when performing assigned work or a course of conduct subject to employer control; </w:t>
      </w:r>
      <w:r>
        <w:rPr>
          <w:b/>
        </w:rPr>
        <w:t>outside</w:t>
      </w:r>
      <w:r>
        <w:t xml:space="preserve"> only when an independent course of conduct not intended by the employee to serve </w:t>
      </w:r>
      <w:r>
        <w:rPr>
          <w:b/>
        </w:rPr>
        <w:t>any</w:t>
      </w:r>
      <w:r>
        <w:t xml:space="preserve"> purpose of the employer. Employee = right to control manner and means; gratuitous work no defense. Fixes R2d's ill-fitting time/space test for professionals; intentional torts can be within scope, but crimes may signal departure.</w:t>
      </w:r>
    </w:p>
    <w:p w14:paraId="06939F55" w14:textId="77777777" w:rsidR="00B844AC" w:rsidRDefault="00F62A06">
      <w:pPr>
        <w:pStyle w:val="ListBullet"/>
      </w:pPr>
      <w:r>
        <w:rPr>
          <w:b/>
        </w:rPr>
        <w:t>Policy ("a better standard"):</w:t>
      </w:r>
      <w:r>
        <w:t xml:space="preserve"> who could prevent the loss at lowest cost? Minimize accident losses + precaution costs: should either party anticipate precautions; could either take cost-effective ones; if both, who at lowest cost?</w:t>
      </w:r>
    </w:p>
    <w:p w14:paraId="6854458F" w14:textId="77777777" w:rsidR="00B844AC" w:rsidRDefault="00F62A06">
      <w:pPr>
        <w:keepNext/>
        <w:pBdr>
          <w:left w:val="single" w:sz="18" w:space="6" w:color="DC2626"/>
        </w:pBdr>
        <w:spacing w:before="100" w:after="20"/>
        <w:ind w:left="173"/>
      </w:pPr>
      <w:r>
        <w:rPr>
          <w:b/>
          <w:color w:val="B91C1C"/>
          <w:sz w:val="21"/>
        </w:rPr>
        <w:t>Brill v. Davajon (Ill. App. 1964)</w:t>
      </w:r>
      <w:r>
        <w:rPr>
          <w:color w:val="B91C1C"/>
          <w:sz w:val="15"/>
        </w:rPr>
        <w:t xml:space="preserve">  </w:t>
      </w:r>
      <w:r>
        <w:rPr>
          <w:b/>
          <w:color w:val="FFFFFF"/>
          <w:sz w:val="15"/>
          <w:shd w:val="clear" w:color="auto" w:fill="DC2626"/>
        </w:rPr>
        <w:t> MAIN CASE · CLASS 4 </w:t>
      </w:r>
    </w:p>
    <w:p w14:paraId="03FD7C4F" w14:textId="77777777" w:rsidR="00B844AC" w:rsidRDefault="00F62A06">
      <w:pPr>
        <w:keepNext/>
        <w:pBdr>
          <w:left w:val="single" w:sz="18" w:space="6" w:color="DC2626"/>
        </w:pBdr>
        <w:shd w:val="clear" w:color="auto" w:fill="EAF2FF"/>
        <w:spacing w:after="30"/>
        <w:ind w:left="173"/>
      </w:pPr>
      <w:r>
        <w:rPr>
          <w:b/>
          <w:color w:val="1D4ED8"/>
        </w:rPr>
        <w:t xml:space="preserve">Facts:  </w:t>
      </w:r>
      <w:r>
        <w:t>A Checker cab driver, against explicit company rules, pushed a stalled car for $1 and caused a collision.</w:t>
      </w:r>
    </w:p>
    <w:p w14:paraId="2E9691C1" w14:textId="77777777" w:rsidR="00B844AC" w:rsidRDefault="00F62A06">
      <w:pPr>
        <w:keepNext/>
        <w:pBdr>
          <w:left w:val="single" w:sz="18" w:space="6" w:color="DC2626"/>
        </w:pBdr>
        <w:shd w:val="clear" w:color="auto" w:fill="E7F8EE"/>
        <w:spacing w:after="30"/>
        <w:ind w:left="173"/>
      </w:pPr>
      <w:r>
        <w:rPr>
          <w:b/>
          <w:color w:val="15803D"/>
        </w:rPr>
        <w:t xml:space="preserve">Held:  </w:t>
      </w:r>
      <w:r>
        <w:t>Checker isn't liable. Pushing the car for his own $1 was a departure from the employer's business — outside the scope of employment.</w:t>
      </w:r>
    </w:p>
    <w:p w14:paraId="616275A6" w14:textId="77777777" w:rsidR="00B844AC" w:rsidRDefault="00F62A06">
      <w:pPr>
        <w:pBdr>
          <w:left w:val="single" w:sz="18" w:space="6" w:color="DC2626"/>
        </w:pBdr>
        <w:shd w:val="clear" w:color="auto" w:fill="FEF6C2"/>
        <w:spacing w:after="80"/>
        <w:ind w:left="173"/>
      </w:pPr>
      <w:r>
        <w:rPr>
          <w:b/>
          <w:color w:val="8A6100"/>
        </w:rPr>
        <w:t xml:space="preserve">Why it matters:  </w:t>
      </w:r>
      <w:r>
        <w:t>A personal side errand breaks scope under the purpose prong of R2d § 228 (contrast Bushey).</w:t>
      </w:r>
    </w:p>
    <w:p w14:paraId="194847A9" w14:textId="77777777" w:rsidR="00B844AC" w:rsidRDefault="00F62A06">
      <w:pPr>
        <w:keepNext/>
        <w:pBdr>
          <w:left w:val="single" w:sz="18" w:space="6" w:color="DC2626"/>
        </w:pBdr>
        <w:spacing w:before="100" w:after="20"/>
        <w:ind w:left="173"/>
      </w:pPr>
      <w:r>
        <w:rPr>
          <w:b/>
          <w:color w:val="B91C1C"/>
          <w:sz w:val="21"/>
        </w:rPr>
        <w:t>Ira S. Bushey &amp; Sons, Inc. v. United States (2d Cir. 1968, Friendly, J.)</w:t>
      </w:r>
      <w:r>
        <w:rPr>
          <w:color w:val="B91C1C"/>
          <w:sz w:val="15"/>
        </w:rPr>
        <w:t xml:space="preserve">  </w:t>
      </w:r>
      <w:r>
        <w:rPr>
          <w:b/>
          <w:color w:val="FFFFFF"/>
          <w:sz w:val="15"/>
          <w:shd w:val="clear" w:color="auto" w:fill="DC2626"/>
        </w:rPr>
        <w:t> MAIN CASE · CLASS 4 </w:t>
      </w:r>
    </w:p>
    <w:p w14:paraId="04F1D685" w14:textId="77777777" w:rsidR="00B844AC" w:rsidRDefault="00F62A06">
      <w:pPr>
        <w:keepNext/>
        <w:pBdr>
          <w:left w:val="single" w:sz="18" w:space="6" w:color="DC2626"/>
        </w:pBdr>
        <w:shd w:val="clear" w:color="auto" w:fill="EAF2FF"/>
        <w:spacing w:after="30"/>
        <w:ind w:left="173"/>
      </w:pPr>
      <w:r>
        <w:rPr>
          <w:b/>
          <w:color w:val="1D4ED8"/>
        </w:rPr>
        <w:t xml:space="preserve">Facts:  </w:t>
      </w:r>
      <w:r>
        <w:t>A drunk Coast Guard sailor returning to his ship at night turned wheels that flooded a private drydock, which sank with the ship.</w:t>
      </w:r>
    </w:p>
    <w:p w14:paraId="4CBF61AA" w14:textId="77777777" w:rsidR="00B844AC" w:rsidRDefault="00F62A06">
      <w:pPr>
        <w:keepNext/>
        <w:pBdr>
          <w:left w:val="single" w:sz="18" w:space="6" w:color="DC2626"/>
        </w:pBdr>
        <w:shd w:val="clear" w:color="auto" w:fill="E7F8EE"/>
        <w:spacing w:after="30"/>
        <w:ind w:left="173"/>
      </w:pPr>
      <w:r>
        <w:rPr>
          <w:b/>
          <w:color w:val="15803D"/>
        </w:rPr>
        <w:t xml:space="preserve">Held:  </w:t>
      </w:r>
      <w:r>
        <w:t>The government is liable (Friendly). Though Lane had no purpose to serve his employer, an enterprise must answer for risks "characteristic of its activities"; sailors' drinking and crew crossing the drydock were foreseeable. Purely personal acts (shooting his wife's lover) would not be.</w:t>
      </w:r>
    </w:p>
    <w:p w14:paraId="65129D2F" w14:textId="77777777" w:rsidR="00B844AC" w:rsidRDefault="00F62A06">
      <w:pPr>
        <w:pBdr>
          <w:left w:val="single" w:sz="18" w:space="6" w:color="DC2626"/>
        </w:pBdr>
        <w:shd w:val="clear" w:color="auto" w:fill="FEF6C2"/>
        <w:spacing w:after="80"/>
        <w:ind w:left="173"/>
      </w:pPr>
      <w:r>
        <w:rPr>
          <w:b/>
          <w:color w:val="8A6100"/>
        </w:rPr>
        <w:t xml:space="preserve">Why it matters:  </w:t>
      </w:r>
      <w:r>
        <w:t>An enterprise-risk alternative to R2d's motive test.</w:t>
      </w:r>
    </w:p>
    <w:p w14:paraId="1624F988" w14:textId="77777777" w:rsidR="00B844AC" w:rsidRDefault="00F62A06">
      <w:pPr>
        <w:keepNext/>
        <w:pBdr>
          <w:left w:val="single" w:sz="18" w:space="6" w:color="DC2626"/>
        </w:pBdr>
        <w:spacing w:before="100" w:after="20"/>
        <w:ind w:left="173"/>
      </w:pPr>
      <w:r>
        <w:rPr>
          <w:b/>
          <w:color w:val="B91C1C"/>
          <w:sz w:val="21"/>
        </w:rPr>
        <w:t>Manning v. Grimsley (1st Cir. 1981)</w:t>
      </w:r>
      <w:r>
        <w:rPr>
          <w:color w:val="B91C1C"/>
          <w:sz w:val="15"/>
        </w:rPr>
        <w:t xml:space="preserve">  </w:t>
      </w:r>
      <w:r>
        <w:rPr>
          <w:b/>
          <w:color w:val="FFFFFF"/>
          <w:sz w:val="15"/>
          <w:shd w:val="clear" w:color="auto" w:fill="DC2626"/>
        </w:rPr>
        <w:t> MAIN CASE · CLASS 4 </w:t>
      </w:r>
    </w:p>
    <w:p w14:paraId="238587A3" w14:textId="77777777" w:rsidR="00B844AC" w:rsidRDefault="00F62A06">
      <w:pPr>
        <w:keepNext/>
        <w:pBdr>
          <w:left w:val="single" w:sz="18" w:space="6" w:color="DC2626"/>
        </w:pBdr>
        <w:shd w:val="clear" w:color="auto" w:fill="EAF2FF"/>
        <w:spacing w:after="30"/>
        <w:ind w:left="173"/>
      </w:pPr>
      <w:r>
        <w:rPr>
          <w:b/>
          <w:color w:val="1D4ED8"/>
        </w:rPr>
        <w:t xml:space="preserve">Facts:  </w:t>
      </w:r>
      <w:r>
        <w:t>An Orioles pitcher, heckled nonstop while warming up, threw a ball at the hecklers and hit a fan.</w:t>
      </w:r>
    </w:p>
    <w:p w14:paraId="54B138A7" w14:textId="77777777" w:rsidR="00B844AC" w:rsidRDefault="00F62A06">
      <w:pPr>
        <w:keepNext/>
        <w:pBdr>
          <w:left w:val="single" w:sz="18" w:space="6" w:color="DC2626"/>
        </w:pBdr>
        <w:shd w:val="clear" w:color="auto" w:fill="E7F8EE"/>
        <w:spacing w:after="30"/>
        <w:ind w:left="173"/>
      </w:pPr>
      <w:r>
        <w:rPr>
          <w:b/>
          <w:color w:val="15803D"/>
        </w:rPr>
        <w:t xml:space="preserve">Held:  </w:t>
      </w:r>
      <w:r>
        <w:t>Battery claim against the club goes to the jury. An employer is liable for an employee's assault responding to the plaintiff's conduct that presently interferes with his ability to do the job.</w:t>
      </w:r>
    </w:p>
    <w:p w14:paraId="2DD7409A" w14:textId="77777777" w:rsidR="00B844AC" w:rsidRDefault="00F62A06">
      <w:pPr>
        <w:pBdr>
          <w:left w:val="single" w:sz="18" w:space="6" w:color="DC2626"/>
        </w:pBdr>
        <w:shd w:val="clear" w:color="auto" w:fill="FEF6C2"/>
        <w:spacing w:after="80"/>
        <w:ind w:left="173"/>
      </w:pPr>
      <w:r>
        <w:rPr>
          <w:b/>
          <w:color w:val="8A6100"/>
        </w:rPr>
        <w:t xml:space="preserve">Why it matters:  </w:t>
      </w:r>
      <w:r>
        <w:t>Intentional torts can be within scope (R2d § 228(1)(d)).</w:t>
      </w:r>
    </w:p>
    <w:p w14:paraId="35D616EF" w14:textId="77777777" w:rsidR="00B844AC" w:rsidRDefault="00F62A06">
      <w:pPr>
        <w:keepNext/>
        <w:pBdr>
          <w:left w:val="single" w:sz="18" w:space="6" w:color="DC2626"/>
        </w:pBdr>
        <w:spacing w:before="100" w:after="20"/>
        <w:ind w:left="173"/>
      </w:pPr>
      <w:r>
        <w:rPr>
          <w:b/>
          <w:color w:val="B91C1C"/>
          <w:sz w:val="21"/>
        </w:rPr>
        <w:lastRenderedPageBreak/>
        <w:t>Lamkin v. Brooks (La. 1986)</w:t>
      </w:r>
      <w:r>
        <w:rPr>
          <w:color w:val="B91C1C"/>
          <w:sz w:val="15"/>
        </w:rPr>
        <w:t xml:space="preserve">  </w:t>
      </w:r>
      <w:r>
        <w:rPr>
          <w:b/>
          <w:color w:val="FFFFFF"/>
          <w:sz w:val="15"/>
          <w:shd w:val="clear" w:color="auto" w:fill="DC2626"/>
        </w:rPr>
        <w:t> MAIN CASE · CLASS 4 </w:t>
      </w:r>
    </w:p>
    <w:p w14:paraId="713A9122" w14:textId="77777777" w:rsidR="00B844AC" w:rsidRDefault="00F62A06">
      <w:pPr>
        <w:keepNext/>
        <w:pBdr>
          <w:left w:val="single" w:sz="18" w:space="6" w:color="DC2626"/>
        </w:pBdr>
        <w:shd w:val="clear" w:color="auto" w:fill="EAF2FF"/>
        <w:spacing w:after="30"/>
        <w:ind w:left="173"/>
      </w:pPr>
      <w:r>
        <w:rPr>
          <w:b/>
          <w:color w:val="1D4ED8"/>
        </w:rPr>
        <w:t xml:space="preserve">Facts:  </w:t>
      </w:r>
      <w:r>
        <w:t>A town police officer, dispatched to a complaint just outside town, came back after a drunk man threatened him and punched him, breaking his face.</w:t>
      </w:r>
    </w:p>
    <w:p w14:paraId="6EDEBC09" w14:textId="77777777" w:rsidR="00B844AC" w:rsidRDefault="00F62A06">
      <w:pPr>
        <w:keepNext/>
        <w:pBdr>
          <w:left w:val="single" w:sz="18" w:space="6" w:color="DC2626"/>
        </w:pBdr>
        <w:shd w:val="clear" w:color="auto" w:fill="E7F8EE"/>
        <w:spacing w:after="30"/>
        <w:ind w:left="173"/>
      </w:pPr>
      <w:r>
        <w:rPr>
          <w:b/>
          <w:color w:val="15803D"/>
        </w:rPr>
        <w:t xml:space="preserve">Held:  </w:t>
      </w:r>
      <w:r>
        <w:t>The town is vicariously liable (its insurer isn't, due to an intentional-acts exclusion). The attack was closely connected in time, place, and causation to his police duties, not a purely personal matter.</w:t>
      </w:r>
    </w:p>
    <w:p w14:paraId="71E09AAE" w14:textId="77777777" w:rsidR="00B844AC" w:rsidRDefault="00F62A06">
      <w:pPr>
        <w:pBdr>
          <w:left w:val="single" w:sz="18" w:space="6" w:color="DC2626"/>
        </w:pBdr>
        <w:shd w:val="clear" w:color="auto" w:fill="FEF6C2"/>
        <w:spacing w:after="80"/>
        <w:ind w:left="173"/>
      </w:pPr>
      <w:r>
        <w:rPr>
          <w:b/>
          <w:color w:val="8A6100"/>
        </w:rPr>
        <w:t xml:space="preserve">Why it matters:  </w:t>
      </w:r>
      <w:r>
        <w:t>Employment-rooted violence falls within scope.</w:t>
      </w:r>
    </w:p>
    <w:p w14:paraId="509AF753" w14:textId="77777777" w:rsidR="00B844AC" w:rsidRDefault="00F62A06">
      <w:pPr>
        <w:keepNext/>
        <w:pBdr>
          <w:left w:val="single" w:sz="18" w:space="6" w:color="DC2626"/>
        </w:pBdr>
        <w:spacing w:before="100" w:after="20"/>
        <w:ind w:left="173"/>
      </w:pPr>
      <w:r>
        <w:rPr>
          <w:b/>
          <w:color w:val="B91C1C"/>
          <w:sz w:val="21"/>
        </w:rPr>
        <w:t>Arguello v. Conoco, Inc. (5th Cir. 2000)</w:t>
      </w:r>
      <w:r>
        <w:rPr>
          <w:color w:val="B91C1C"/>
          <w:sz w:val="15"/>
        </w:rPr>
        <w:t xml:space="preserve">  </w:t>
      </w:r>
      <w:r>
        <w:rPr>
          <w:b/>
          <w:color w:val="FFFFFF"/>
          <w:sz w:val="15"/>
          <w:shd w:val="clear" w:color="auto" w:fill="DC2626"/>
        </w:rPr>
        <w:t> MAIN CASE · CLASS 4 </w:t>
      </w:r>
    </w:p>
    <w:p w14:paraId="640F1D91" w14:textId="77777777" w:rsidR="00B844AC" w:rsidRDefault="00F62A06">
      <w:pPr>
        <w:keepNext/>
        <w:pBdr>
          <w:left w:val="single" w:sz="18" w:space="6" w:color="DC2626"/>
        </w:pBdr>
        <w:shd w:val="clear" w:color="auto" w:fill="EAF2FF"/>
        <w:spacing w:after="30"/>
        <w:ind w:left="173"/>
      </w:pPr>
      <w:r>
        <w:rPr>
          <w:b/>
          <w:color w:val="1D4ED8"/>
        </w:rPr>
        <w:t xml:space="preserve">Facts:  </w:t>
      </w:r>
      <w:r>
        <w:t>Minority customers sued Conoco under civil-rights laws for racist abuse by a clerk at a Conoco-owned store and by staff at independently owned Conoco-branded stations.</w:t>
      </w:r>
    </w:p>
    <w:p w14:paraId="32EE2B87" w14:textId="77777777" w:rsidR="00B844AC" w:rsidRDefault="00F62A06">
      <w:pPr>
        <w:keepNext/>
        <w:pBdr>
          <w:left w:val="single" w:sz="18" w:space="6" w:color="DC2626"/>
        </w:pBdr>
        <w:shd w:val="clear" w:color="auto" w:fill="E7F8EE"/>
        <w:spacing w:after="30"/>
        <w:ind w:left="173"/>
      </w:pPr>
      <w:r>
        <w:rPr>
          <w:b/>
          <w:color w:val="15803D"/>
        </w:rPr>
        <w:t xml:space="preserve">Held:  </w:t>
      </w:r>
      <w:r>
        <w:t>Branded stations weren't agents (no control of daily operations or staff). The company clerk's abuse during a sale could be within scope — jury question. Counseling her wasn't ratification.</w:t>
      </w:r>
    </w:p>
    <w:p w14:paraId="7608AA70" w14:textId="77777777" w:rsidR="00B844AC" w:rsidRDefault="00F62A06">
      <w:pPr>
        <w:pBdr>
          <w:left w:val="single" w:sz="18" w:space="6" w:color="DC2626"/>
        </w:pBdr>
        <w:shd w:val="clear" w:color="auto" w:fill="FEF6C2"/>
        <w:spacing w:after="80"/>
        <w:ind w:left="173"/>
      </w:pPr>
      <w:r>
        <w:rPr>
          <w:b/>
          <w:color w:val="8A6100"/>
        </w:rPr>
        <w:t xml:space="preserve">Why it matters:  </w:t>
      </w:r>
      <w:r>
        <w:t>Agency and scope rules apply to statutory claims; owned vs. branded outlets differ.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486D8518" w14:textId="77777777">
        <w:trPr>
          <w:cantSplit/>
          <w:jc w:val="center"/>
        </w:trPr>
        <w:tc>
          <w:tcPr>
            <w:tcW w:w="10080" w:type="dxa"/>
            <w:tcBorders>
              <w:top w:val="nil"/>
              <w:left w:val="single" w:sz="30" w:space="0" w:color="DB2777"/>
              <w:bottom w:val="nil"/>
              <w:right w:val="nil"/>
            </w:tcBorders>
            <w:shd w:val="clear" w:color="auto" w:fill="FDEFF6"/>
          </w:tcPr>
          <w:p w14:paraId="457F8712" w14:textId="77777777" w:rsidR="00B844AC" w:rsidRDefault="00F62A06">
            <w:pPr>
              <w:spacing w:after="0"/>
            </w:pPr>
            <w:r>
              <w:rPr>
                <w:b/>
                <w:color w:val="9D174D"/>
                <w:sz w:val="17"/>
              </w:rPr>
              <w:t xml:space="preserve">TIP  </w:t>
            </w:r>
            <w:r>
              <w:t>Scope-of-employment answers should run BOTH tests — R2d § 228 (kind of work, time/space, purpose to serve, force not unexpectable) and R3d § 7.07 (independent course of conduct serving no employer purpose) — then argue the case analogies: Brill (detour for own $1 = outside), Bushey (risk characteristic of the enterprise = inside), Manning (response to present interference = inside), Lamkin (employment-rooted violence = inside), Clover v. Snowbird (deviation not a total abandonment).</w:t>
            </w:r>
          </w:p>
        </w:tc>
      </w:tr>
    </w:tbl>
    <w:p w14:paraId="2C97D578" w14:textId="77777777" w:rsidR="00B844AC" w:rsidRDefault="00B844AC">
      <w:pPr>
        <w:spacing w:after="0" w:line="100" w:lineRule="exact"/>
      </w:pPr>
    </w:p>
    <w:p w14:paraId="57E517B6" w14:textId="77777777" w:rsidR="00B844AC" w:rsidRDefault="00F62A06">
      <w:pPr>
        <w:pStyle w:val="Heading3"/>
      </w:pPr>
      <w:r>
        <w:rPr>
          <w:b w:val="0"/>
        </w:rPr>
        <w:t>Torts of independent contractors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D07A5DB" w14:textId="77777777">
        <w:trPr>
          <w:cantSplit/>
          <w:jc w:val="center"/>
        </w:trPr>
        <w:tc>
          <w:tcPr>
            <w:tcW w:w="10080" w:type="dxa"/>
            <w:tcBorders>
              <w:top w:val="nil"/>
              <w:left w:val="single" w:sz="30" w:space="0" w:color="7C3AED"/>
              <w:bottom w:val="nil"/>
              <w:right w:val="nil"/>
            </w:tcBorders>
            <w:shd w:val="clear" w:color="auto" w:fill="F3EEFF"/>
          </w:tcPr>
          <w:p w14:paraId="0ACB8706" w14:textId="77777777" w:rsidR="00B844AC" w:rsidRDefault="00F62A06">
            <w:pPr>
              <w:spacing w:after="0"/>
            </w:pPr>
            <w:r>
              <w:rPr>
                <w:b/>
                <w:color w:val="6D28D9"/>
                <w:sz w:val="17"/>
              </w:rPr>
              <w:t xml:space="preserve">RULE  </w:t>
            </w:r>
            <w:r>
              <w:t xml:space="preserve">Generally P is not liable for an independent contractor's torts (no right to control). Exceptions: </w:t>
            </w:r>
            <w:r>
              <w:rPr>
                <w:color w:val="B91C1C"/>
                <w:shd w:val="clear" w:color="auto" w:fill="FDE2E2"/>
              </w:rPr>
              <w:t xml:space="preserve">(1) P retained control over the work; </w:t>
            </w:r>
            <w:r>
              <w:rPr>
                <w:color w:val="C2410C"/>
                <w:shd w:val="clear" w:color="auto" w:fill="FFE7D1"/>
              </w:rPr>
              <w:t xml:space="preserve">(2) P negligently selected an incompetent contractor (direct liability); </w:t>
            </w:r>
            <w:r>
              <w:rPr>
                <w:color w:val="854D0E"/>
                <w:shd w:val="clear" w:color="auto" w:fill="FDF1A8"/>
              </w:rPr>
              <w:t xml:space="preserve">(3) inherently dangerous work — peculiar risk unless special precautions (Restatement of Torts § 416); </w:t>
            </w:r>
            <w:r>
              <w:rPr>
                <w:color w:val="15803D"/>
                <w:shd w:val="clear" w:color="auto" w:fill="D7F5E1"/>
              </w:rPr>
              <w:t xml:space="preserve">(4) ultrahazardous/abnormally dangerous activity — strict liability (§ 520 / 2d § 427A); </w:t>
            </w:r>
            <w:r>
              <w:rPr>
                <w:color w:val="1D4ED8"/>
                <w:shd w:val="clear" w:color="auto" w:fill="DCE8FE"/>
              </w:rPr>
              <w:t xml:space="preserve">(5) nondelegable duty — "so important to the community" that it can't be transferred.</w:t>
            </w:r>
          </w:p>
        </w:tc>
      </w:tr>
    </w:tbl>
    <w:p w14:paraId="697290A2" w14:textId="77777777" w:rsidR="00B844AC" w:rsidRDefault="00B844AC">
      <w:pPr>
        <w:spacing w:after="0" w:line="100" w:lineRule="exact"/>
      </w:pPr>
    </w:p>
    <w:p w14:paraId="6B237B07" w14:textId="77777777" w:rsidR="00B844AC" w:rsidRDefault="00F62A06">
      <w:pPr>
        <w:keepNext/>
        <w:pBdr>
          <w:left w:val="single" w:sz="18" w:space="6" w:color="DC2626"/>
        </w:pBdr>
        <w:spacing w:before="100" w:after="20"/>
        <w:ind w:left="173"/>
      </w:pPr>
      <w:r>
        <w:rPr>
          <w:b/>
          <w:color w:val="B91C1C"/>
          <w:sz w:val="21"/>
        </w:rPr>
        <w:t>Majestic Realty Associates, Inc. v. Toti Contracting Co. (N.J. 1959)</w:t>
      </w:r>
      <w:r>
        <w:rPr>
          <w:color w:val="B91C1C"/>
          <w:sz w:val="15"/>
        </w:rPr>
        <w:t xml:space="preserve">  </w:t>
      </w:r>
      <w:r>
        <w:rPr>
          <w:b/>
          <w:color w:val="FFFFFF"/>
          <w:sz w:val="15"/>
          <w:shd w:val="clear" w:color="auto" w:fill="DC2626"/>
        </w:rPr>
        <w:t> MAIN CASE · CLASS 4 </w:t>
      </w:r>
    </w:p>
    <w:p w14:paraId="4B33B620" w14:textId="77777777" w:rsidR="00B844AC" w:rsidRDefault="00F62A06">
      <w:pPr>
        <w:keepNext/>
        <w:pBdr>
          <w:left w:val="single" w:sz="18" w:space="6" w:color="DC2626"/>
        </w:pBdr>
        <w:shd w:val="clear" w:color="auto" w:fill="EAF2FF"/>
        <w:spacing w:after="30"/>
        <w:ind w:left="173"/>
      </w:pPr>
      <w:r>
        <w:rPr>
          <w:b/>
          <w:color w:val="1D4ED8"/>
        </w:rPr>
        <w:t xml:space="preserve">Facts:  </w:t>
      </w:r>
      <w:r>
        <w:t>A parking authority hired a contractor to demolish buildings in a busy downtown; the crane operator knocked a wall onto the neighbor's roof ("I goofed").</w:t>
      </w:r>
    </w:p>
    <w:p w14:paraId="19DEC9C3" w14:textId="77777777" w:rsidR="00B844AC" w:rsidRDefault="00F62A06">
      <w:pPr>
        <w:keepNext/>
        <w:pBdr>
          <w:left w:val="single" w:sz="18" w:space="6" w:color="DC2626"/>
        </w:pBdr>
        <w:shd w:val="clear" w:color="auto" w:fill="E7F8EE"/>
        <w:spacing w:after="30"/>
        <w:ind w:left="173"/>
      </w:pPr>
      <w:r>
        <w:rPr>
          <w:b/>
          <w:color w:val="15803D"/>
        </w:rPr>
        <w:t xml:space="preserve">Held:  </w:t>
      </w:r>
      <w:r>
        <w:t>The authority may be liable. Demolition in a built-up area is inherently dangerous work requiring special precautions — an exception to non-liability for independent contractors (along with retained control and hiring an incompetent contractor).</w:t>
      </w:r>
    </w:p>
    <w:p w14:paraId="12EEF30B" w14:textId="77777777" w:rsidR="00B844AC" w:rsidRDefault="00F62A06">
      <w:pPr>
        <w:pBdr>
          <w:left w:val="single" w:sz="18" w:space="6" w:color="DC2626"/>
        </w:pBdr>
        <w:shd w:val="clear" w:color="auto" w:fill="FEF6C2"/>
        <w:spacing w:after="80"/>
        <w:ind w:left="173"/>
      </w:pPr>
      <w:r>
        <w:rPr>
          <w:b/>
          <w:color w:val="8A6100"/>
        </w:rPr>
        <w:t xml:space="preserve">Why it matters:  </w:t>
      </w:r>
      <w:r>
        <w:t>Shows the inherently dangerous exception and that the hirer who chooses dangerous work bears the risk.</w:t>
      </w:r>
    </w:p>
    <w:p w14:paraId="73EE9F1F" w14:textId="77777777" w:rsidR="00B844AC" w:rsidRDefault="00F62A06">
      <w:pPr>
        <w:keepNext/>
        <w:pBdr>
          <w:left w:val="single" w:sz="18" w:space="6" w:color="DC2626"/>
        </w:pBdr>
        <w:spacing w:before="100" w:after="20"/>
        <w:ind w:left="173"/>
      </w:pPr>
      <w:r>
        <w:rPr>
          <w:b/>
          <w:color w:val="B91C1C"/>
          <w:sz w:val="21"/>
        </w:rPr>
        <w:t>Anderson v. Marathon Petroleum Co. (7th Cir. 1986, Posner, J.)</w:t>
      </w:r>
      <w:r>
        <w:rPr>
          <w:color w:val="B91C1C"/>
          <w:sz w:val="15"/>
        </w:rPr>
        <w:t xml:space="preserve">  </w:t>
      </w:r>
      <w:r>
        <w:rPr>
          <w:b/>
          <w:color w:val="FFFFFF"/>
          <w:sz w:val="15"/>
          <w:shd w:val="clear" w:color="auto" w:fill="DC2626"/>
        </w:rPr>
        <w:t> MAIN CASE · CLASS 4 </w:t>
      </w:r>
    </w:p>
    <w:p w14:paraId="245B55F5" w14:textId="77777777" w:rsidR="00B844AC" w:rsidRDefault="00F62A06">
      <w:pPr>
        <w:keepNext/>
        <w:pBdr>
          <w:left w:val="single" w:sz="18" w:space="6" w:color="DC2626"/>
        </w:pBdr>
        <w:shd w:val="clear" w:color="auto" w:fill="EAF2FF"/>
        <w:spacing w:after="30"/>
        <w:ind w:left="173"/>
      </w:pPr>
      <w:r>
        <w:rPr>
          <w:b/>
          <w:color w:val="1D4ED8"/>
        </w:rPr>
        <w:t xml:space="preserve">Facts:  </w:t>
      </w:r>
      <w:r>
        <w:t>A contractor's employee sandblasted Marathon's tanks for years with an inadequate hood and died of silicosis; Marathon knew and did nothing.</w:t>
      </w:r>
    </w:p>
    <w:p w14:paraId="5EFD6ED8" w14:textId="77777777" w:rsidR="00B844AC" w:rsidRDefault="00F62A06">
      <w:pPr>
        <w:keepNext/>
        <w:pBdr>
          <w:left w:val="single" w:sz="18" w:space="6" w:color="DC2626"/>
        </w:pBdr>
        <w:shd w:val="clear" w:color="auto" w:fill="E7F8EE"/>
        <w:spacing w:after="30"/>
        <w:ind w:left="173"/>
      </w:pPr>
      <w:r>
        <w:rPr>
          <w:b/>
          <w:color w:val="15803D"/>
        </w:rPr>
        <w:t xml:space="preserve">Held:  </w:t>
      </w:r>
      <w:r>
        <w:t>Marathon isn't liable (Posner). Sandblasting with proper equipment isn't abnormally dangerous, and a contractor's own employees are covered by exclusive workers' comp that the principal already pays for through the contract price.</w:t>
      </w:r>
    </w:p>
    <w:p w14:paraId="3B924250" w14:textId="77777777" w:rsidR="00B844AC" w:rsidRDefault="00F62A06">
      <w:pPr>
        <w:pBdr>
          <w:left w:val="single" w:sz="18" w:space="6" w:color="DC2626"/>
        </w:pBdr>
        <w:shd w:val="clear" w:color="auto" w:fill="FEF6C2"/>
        <w:spacing w:after="80"/>
        <w:ind w:left="173"/>
      </w:pPr>
      <w:r>
        <w:rPr>
          <w:b/>
          <w:color w:val="8A6100"/>
        </w:rPr>
        <w:t xml:space="preserve">Why it matters:  </w:t>
      </w:r>
      <w:r>
        <w:t>Explains the policy of the independent-contractor rule and why the contractor's own workers are treated differently from neighbors.</w:t>
      </w:r>
    </w:p>
    <w:p w14:paraId="7506DBD7" w14:textId="77777777" w:rsidR="00B844AC" w:rsidRDefault="00F62A06">
      <w:pPr>
        <w:keepNext/>
        <w:pBdr>
          <w:left w:val="single" w:sz="18" w:space="6" w:color="DC2626"/>
        </w:pBdr>
        <w:spacing w:before="100" w:after="20"/>
        <w:ind w:left="173"/>
      </w:pPr>
      <w:r>
        <w:rPr>
          <w:b/>
          <w:color w:val="B91C1C"/>
          <w:sz w:val="21"/>
        </w:rPr>
        <w:t>Kleeman v. Rheingold (N.Y. 1993)</w:t>
      </w:r>
      <w:r>
        <w:rPr>
          <w:color w:val="B91C1C"/>
          <w:sz w:val="15"/>
        </w:rPr>
        <w:t xml:space="preserve">  </w:t>
      </w:r>
      <w:r>
        <w:rPr>
          <w:b/>
          <w:color w:val="FFFFFF"/>
          <w:sz w:val="15"/>
          <w:shd w:val="clear" w:color="auto" w:fill="DC2626"/>
        </w:rPr>
        <w:t> MAIN CASE · CLASS 4 </w:t>
      </w:r>
    </w:p>
    <w:p w14:paraId="232CACB6" w14:textId="77777777" w:rsidR="00B844AC" w:rsidRDefault="00F62A06">
      <w:pPr>
        <w:keepNext/>
        <w:pBdr>
          <w:left w:val="single" w:sz="18" w:space="6" w:color="DC2626"/>
        </w:pBdr>
        <w:shd w:val="clear" w:color="auto" w:fill="EAF2FF"/>
        <w:spacing w:after="30"/>
        <w:ind w:left="173"/>
      </w:pPr>
      <w:r>
        <w:rPr>
          <w:b/>
          <w:color w:val="1D4ED8"/>
        </w:rPr>
        <w:t xml:space="preserve">Facts:  </w:t>
      </w:r>
      <w:r>
        <w:t>A lawyer sent malpractice papers to a process-service company days before the statute of limitations ran; the server botched service, and the claim was lost. The client sued the lawyer.</w:t>
      </w:r>
    </w:p>
    <w:p w14:paraId="03EA8149" w14:textId="77777777" w:rsidR="00B844AC" w:rsidRDefault="00F62A06">
      <w:pPr>
        <w:keepNext/>
        <w:pBdr>
          <w:left w:val="single" w:sz="18" w:space="6" w:color="DC2626"/>
        </w:pBdr>
        <w:shd w:val="clear" w:color="auto" w:fill="E7F8EE"/>
        <w:spacing w:after="30"/>
        <w:ind w:left="173"/>
      </w:pPr>
      <w:r>
        <w:rPr>
          <w:b/>
          <w:color w:val="15803D"/>
        </w:rPr>
        <w:t xml:space="preserve">Held:  </w:t>
      </w:r>
      <w:r>
        <w:t>The lawyer can be liable — a lawyer's duty to serve process properly is nondelegable, so hiring an independent server doesn't shift responsibility.</w:t>
      </w:r>
    </w:p>
    <w:p w14:paraId="566E85B7" w14:textId="77777777" w:rsidR="00B844AC" w:rsidRDefault="00F62A06">
      <w:pPr>
        <w:pBdr>
          <w:left w:val="single" w:sz="18" w:space="6" w:color="DC2626"/>
        </w:pBdr>
        <w:shd w:val="clear" w:color="auto" w:fill="FEF6C2"/>
        <w:spacing w:after="80"/>
        <w:ind w:left="173"/>
      </w:pPr>
      <w:r>
        <w:rPr>
          <w:b/>
          <w:color w:val="8A6100"/>
        </w:rPr>
        <w:t xml:space="preserve">Why it matters:  </w:t>
      </w:r>
      <w:r>
        <w:t>Some duties are too important to delegate (R3d § 7.06).</w:t>
      </w:r>
    </w:p>
    <w:p w14:paraId="690CA029" w14:textId="77777777" w:rsidR="00B844AC" w:rsidRDefault="00F62A06">
      <w:pPr>
        <w:pStyle w:val="Heading2"/>
        <w:pBdr>
          <w:bottom w:val="single" w:sz="8" w:space="2" w:color="C55A11"/>
        </w:pBdr>
      </w:pPr>
      <w:bookmarkStart w:id="4" w:name="_Toc243216101"/>
      <w:r>
        <w:rPr>
          <w:b w:val="0"/>
        </w:rPr>
        <w:lastRenderedPageBreak/>
        <w:t>4. Fiduciary Duties Between Agent and Principal</w:t>
      </w:r>
      <w:bookmarkEnd w:id="4"/>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111B55A" w14:textId="77777777">
        <w:trPr>
          <w:cantSplit/>
          <w:jc w:val="center"/>
        </w:trPr>
        <w:tc>
          <w:tcPr>
            <w:tcW w:w="10080" w:type="dxa"/>
            <w:tcBorders>
              <w:top w:val="nil"/>
              <w:left w:val="single" w:sz="30" w:space="0" w:color="7C3AED"/>
              <w:bottom w:val="nil"/>
              <w:right w:val="nil"/>
            </w:tcBorders>
            <w:shd w:val="clear" w:color="auto" w:fill="F3EEFF"/>
          </w:tcPr>
          <w:p w14:paraId="24692734" w14:textId="77777777" w:rsidR="00B844AC" w:rsidRDefault="00F62A06">
            <w:pPr>
              <w:spacing w:after="0"/>
            </w:pPr>
            <w:r>
              <w:rPr>
                <w:b/>
                <w:color w:val="6D28D9"/>
                <w:sz w:val="17"/>
              </w:rPr>
              <w:t xml:space="preserve">RULE  </w:t>
            </w:r>
            <w:r>
              <w:t>A fiduciary must act with the utmost good faith for the other's benefit and may take no advantage relating to the other's interest without knowledge and consent (Wolf v. Superior Court). An agent has a fiduciary duty to act loyally for the principal's benefit in all matters connected with the agency (R3d § 8.01; R2d §§ 13, 387).</w:t>
            </w:r>
          </w:p>
        </w:tc>
      </w:tr>
    </w:tbl>
    <w:p w14:paraId="4F673821" w14:textId="77777777" w:rsidR="00B844AC" w:rsidRDefault="00B844AC">
      <w:pPr>
        <w:spacing w:after="0" w:line="100" w:lineRule="exact"/>
      </w:pPr>
    </w:p>
    <w:p w14:paraId="45E11C56" w14:textId="77777777" w:rsidR="00B844AC" w:rsidRDefault="00F62A06">
      <w:pPr>
        <w:pStyle w:val="Heading3"/>
      </w:pPr>
      <w:r>
        <w:rPr>
          <w:b w:val="0"/>
        </w:rPr>
        <w:t>The agent's five duties</w:t>
      </w:r>
    </w:p>
    <w:p w14:paraId="6808DA9E" w14:textId="77777777" w:rsidR="00B844AC" w:rsidRDefault="00F62A06">
      <w:pPr>
        <w:pStyle w:val="ListBullet"/>
      </w:pPr>
      <w:r>
        <w:rPr>
          <w:b/>
        </w:rPr>
        <w:t>Care:</w:t>
      </w:r>
      <w:r>
        <w:t xml:space="preserve"> reasonable care; sliding scale by skill/specialized knowledge; may vary with compensation (R3d § 8.08; R2d § 379 — paid agent: local standard + special skill; gratuitous agent: lower standard).</w:t>
      </w:r>
    </w:p>
    <w:p w14:paraId="36B7D543" w14:textId="77777777" w:rsidR="00B844AC" w:rsidRDefault="00F62A06">
      <w:pPr>
        <w:pStyle w:val="ListBullet"/>
      </w:pPr>
      <w:r>
        <w:rPr>
          <w:b/>
        </w:rPr>
        <w:t>Obedience:</w:t>
      </w:r>
      <w:r>
        <w:t xml:space="preserve"> obey all reasonable (lawful) directions; act only within actual authority; liable for losses from breach (§ 8.09; R2d §§ 383, 385).</w:t>
      </w:r>
    </w:p>
    <w:p w14:paraId="457D3A77" w14:textId="77777777" w:rsidR="00B844AC" w:rsidRDefault="00F62A06">
      <w:pPr>
        <w:pStyle w:val="ListBullet"/>
      </w:pPr>
      <w:r>
        <w:rPr>
          <w:b/>
        </w:rPr>
        <w:t>Accounting:</w:t>
      </w:r>
      <w:r>
        <w:t xml:space="preserve"> don't make P's property appear A's own; don't commingle; keep and render accounts (R2d §§ 382, 398).</w:t>
      </w:r>
    </w:p>
    <w:p w14:paraId="7038B9E0" w14:textId="77777777" w:rsidR="00B844AC" w:rsidRDefault="00F62A06">
      <w:pPr>
        <w:pStyle w:val="ListBullet"/>
      </w:pPr>
      <w:r>
        <w:rPr>
          <w:b/>
        </w:rPr>
        <w:t>Loyalty:</w:t>
      </w:r>
      <w:r>
        <w:t xml:space="preserve"> no profit from position (must account for profits — R3d § 8.02; R2d § 388); act solely for P's benefit; don't deal with P as (or on behalf of) an adverse party (§ 8.03); don't compete re subject matter of the agency </w:t>
      </w:r>
      <w:r>
        <w:rPr>
          <w:b/>
        </w:rPr>
        <w:t>during</w:t>
      </w:r>
      <w:r>
        <w:t xml:space="preserve"> the agency — preparing to compete is OK if not otherwise wrongful (§ 8.04); don't use P's property or confidential information (§ 8.05).</w:t>
      </w:r>
    </w:p>
    <w:p w14:paraId="4B3FADA0" w14:textId="77777777" w:rsidR="00B844AC" w:rsidRDefault="00F62A06">
      <w:pPr>
        <w:pStyle w:val="ListBullet"/>
      </w:pPr>
      <w:r>
        <w:rPr>
          <w:b/>
        </w:rPr>
        <w:t>Disclosure:</w:t>
      </w:r>
      <w:r>
        <w:t xml:space="preserve"> reasonable effort to provide facts A knows/should know when P would want them or they're material, unless a superior duty to another forbids (§ 8.11; R2d § 381).</w:t>
      </w:r>
    </w:p>
    <w:p w14:paraId="64F4B8A7" w14:textId="77777777" w:rsidR="00B844AC" w:rsidRDefault="00F62A06">
      <w:pPr>
        <w:pStyle w:val="ListBullet"/>
      </w:pPr>
      <w:r>
        <w:rPr>
          <w:b/>
        </w:rPr>
        <w:t>Consent cures</w:t>
      </w:r>
      <w:r>
        <w:t xml:space="preserve"> if A acts in good faith, discloses all material facts, deals fairly, and consent covers a specific act or type of act (§ 8.06).</w:t>
      </w:r>
    </w:p>
    <w:p w14:paraId="1B5CBD3B" w14:textId="77777777" w:rsidR="00B844AC" w:rsidRDefault="00F62A06">
      <w:pPr>
        <w:pStyle w:val="ListBullet"/>
      </w:pPr>
      <w:r>
        <w:rPr>
          <w:b/>
        </w:rPr>
        <w:t>After termination</w:t>
      </w:r>
      <w:r>
        <w:t xml:space="preserve"> (R2d § 396): A may compete and use general knowledge and customer names remembered, but not trade secrets, written lists, or confidential info (R3d § 8.05 Illus. 7: memorized lists also breach).</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C2B740F" w14:textId="77777777">
        <w:trPr>
          <w:cantSplit/>
          <w:jc w:val="center"/>
        </w:trPr>
        <w:tc>
          <w:tcPr>
            <w:tcW w:w="10080" w:type="dxa"/>
            <w:tcBorders>
              <w:top w:val="nil"/>
              <w:left w:val="single" w:sz="30" w:space="0" w:color="DB2777"/>
              <w:bottom w:val="nil"/>
              <w:right w:val="nil"/>
            </w:tcBorders>
            <w:shd w:val="clear" w:color="auto" w:fill="FDEFF6"/>
          </w:tcPr>
          <w:p w14:paraId="4FD43CC0" w14:textId="77777777" w:rsidR="00B844AC" w:rsidRDefault="00F62A06">
            <w:pPr>
              <w:spacing w:after="0"/>
            </w:pPr>
            <w:r>
              <w:rPr>
                <w:b/>
                <w:color w:val="9D174D"/>
                <w:sz w:val="17"/>
              </w:rPr>
              <w:t xml:space="preserve">TIP  </w:t>
            </w:r>
            <w:r>
              <w:t xml:space="preserve">Grabbing-and-leaving fact patterns — sort conduct into (1) permitted preparation while still employed (forming the entity, leasing space, lining up financing); (2) breaches during the agency (soliciting co-workers/customers for the new venture, misleading the boss, handing over salary lists or confidential data, diverting opportunities); (3) after leaving: free competition except trade secrets/confidential lists. Then remedies: disgorgement, damages, injunction, liability of the new employer who cooperated </w:t>
            </w:r>
            <w:r>
              <w:t>(Bancroft-Whitney).</w:t>
            </w:r>
          </w:p>
        </w:tc>
      </w:tr>
    </w:tbl>
    <w:p w14:paraId="4A1022EA" w14:textId="77777777" w:rsidR="00B844AC" w:rsidRDefault="00B844AC">
      <w:pPr>
        <w:spacing w:after="0" w:line="100" w:lineRule="exact"/>
      </w:pPr>
    </w:p>
    <w:p w14:paraId="68183F13" w14:textId="77777777" w:rsidR="00B844AC" w:rsidRDefault="00F62A06">
      <w:pPr>
        <w:pStyle w:val="Heading3"/>
      </w:pPr>
      <w:r>
        <w:rPr>
          <w:b w:val="0"/>
        </w:rPr>
        <w:t>Remedies and strategy</w:t>
      </w:r>
    </w:p>
    <w:p w14:paraId="0538B477" w14:textId="77777777" w:rsidR="00B844AC" w:rsidRDefault="00F62A06">
      <w:pPr>
        <w:pStyle w:val="ListBullet"/>
      </w:pPr>
      <w:r>
        <w:t>Contract actions; tort actions; actions for secret profits (disgorgement); accounting; constructive trust; withholding compensation for intentional breaches; injunction; wide range of equitable remedies (R2d §§ 399–404).</w:t>
      </w:r>
    </w:p>
    <w:p w14:paraId="6B6FF6AB" w14:textId="77777777" w:rsidR="00B844AC" w:rsidRDefault="00F62A06">
      <w:pPr>
        <w:pStyle w:val="ListBullet"/>
      </w:pPr>
      <w:r>
        <w:rPr>
          <w:b/>
        </w:rPr>
        <w:t>Fiduciary vs. contract claims:</w:t>
      </w:r>
      <w:r>
        <w:t xml:space="preserve"> fiduciary breach may be easier to prove (open-ended duties; no need to prove loss) and yields bigger remedies (tort damages, punitive damages, disgorgement). Contract clauses (full-time/best efforts, conflict disclosure, non-competes) handle the same risks ex ante.</w:t>
      </w:r>
    </w:p>
    <w:p w14:paraId="4156FC3A" w14:textId="77777777" w:rsidR="00B844AC" w:rsidRDefault="00F62A06">
      <w:pPr>
        <w:keepNext/>
        <w:pBdr>
          <w:left w:val="single" w:sz="18" w:space="6" w:color="DC2626"/>
        </w:pBdr>
        <w:spacing w:before="100" w:after="20"/>
        <w:ind w:left="173"/>
      </w:pPr>
      <w:r>
        <w:rPr>
          <w:b/>
          <w:color w:val="B91C1C"/>
          <w:sz w:val="21"/>
        </w:rPr>
        <w:t>Reading v. Regem (K.B. 1948)</w:t>
      </w:r>
      <w:r>
        <w:rPr>
          <w:color w:val="B91C1C"/>
          <w:sz w:val="15"/>
        </w:rPr>
        <w:t xml:space="preserve">  </w:t>
      </w:r>
      <w:r>
        <w:rPr>
          <w:b/>
          <w:color w:val="FFFFFF"/>
          <w:sz w:val="15"/>
          <w:shd w:val="clear" w:color="auto" w:fill="DC2626"/>
        </w:rPr>
        <w:t> MAIN CASE · CLASS 5 </w:t>
      </w:r>
    </w:p>
    <w:p w14:paraId="41170B85" w14:textId="77777777" w:rsidR="00B844AC" w:rsidRDefault="00F62A06">
      <w:pPr>
        <w:keepNext/>
        <w:pBdr>
          <w:left w:val="single" w:sz="18" w:space="6" w:color="DC2626"/>
        </w:pBdr>
        <w:shd w:val="clear" w:color="auto" w:fill="EAF2FF"/>
        <w:spacing w:after="30"/>
        <w:ind w:left="173"/>
      </w:pPr>
      <w:r>
        <w:rPr>
          <w:b/>
          <w:color w:val="1D4ED8"/>
        </w:rPr>
        <w:t xml:space="preserve">Facts:  </w:t>
      </w:r>
      <w:r>
        <w:t>A British Army sergeant took about £20,000 to ride, in uniform, on smugglers' trucks so police wouldn't stop them. The army seized the money.</w:t>
      </w:r>
    </w:p>
    <w:p w14:paraId="2C21CDFA" w14:textId="77777777" w:rsidR="00B844AC" w:rsidRDefault="00F62A06">
      <w:pPr>
        <w:keepNext/>
        <w:pBdr>
          <w:left w:val="single" w:sz="18" w:space="6" w:color="DC2626"/>
        </w:pBdr>
        <w:shd w:val="clear" w:color="auto" w:fill="E7F8EE"/>
        <w:spacing w:after="30"/>
        <w:ind w:left="173"/>
      </w:pPr>
      <w:r>
        <w:rPr>
          <w:b/>
          <w:color w:val="15803D"/>
        </w:rPr>
        <w:t xml:space="preserve">Held:  </w:t>
      </w:r>
      <w:r>
        <w:t>The Crown keeps it. A servant who uses his position or the employer's assets as the real cause of a gain must account for it, even if the employer lost nothing.</w:t>
      </w:r>
    </w:p>
    <w:p w14:paraId="27E7AF70" w14:textId="77777777" w:rsidR="00B844AC" w:rsidRDefault="00F62A06">
      <w:pPr>
        <w:pBdr>
          <w:left w:val="single" w:sz="18" w:space="6" w:color="DC2626"/>
        </w:pBdr>
        <w:shd w:val="clear" w:color="auto" w:fill="FEF6C2"/>
        <w:spacing w:after="80"/>
        <w:ind w:left="173"/>
      </w:pPr>
      <w:r>
        <w:rPr>
          <w:b/>
          <w:color w:val="8A6100"/>
        </w:rPr>
        <w:t xml:space="preserve">Why it matters:  </w:t>
      </w:r>
      <w:r>
        <w:t>Loyalty means no profiting from one's position; the remedy is disgorgement, not damages.</w:t>
      </w:r>
    </w:p>
    <w:p w14:paraId="7E421754" w14:textId="77777777" w:rsidR="00B844AC" w:rsidRDefault="00F62A06">
      <w:pPr>
        <w:keepNext/>
        <w:pBdr>
          <w:left w:val="single" w:sz="18" w:space="6" w:color="DC2626"/>
        </w:pBdr>
        <w:spacing w:before="100" w:after="20"/>
        <w:ind w:left="173"/>
      </w:pPr>
      <w:r>
        <w:rPr>
          <w:b/>
          <w:color w:val="B91C1C"/>
          <w:sz w:val="21"/>
        </w:rPr>
        <w:t>General Automotive Manufacturing Co. v. Singer (Wis. 1963)</w:t>
      </w:r>
      <w:r>
        <w:rPr>
          <w:color w:val="B91C1C"/>
          <w:sz w:val="15"/>
        </w:rPr>
        <w:t xml:space="preserve">  </w:t>
      </w:r>
      <w:r>
        <w:rPr>
          <w:b/>
          <w:color w:val="FFFFFF"/>
          <w:sz w:val="15"/>
          <w:shd w:val="clear" w:color="auto" w:fill="DC2626"/>
        </w:rPr>
        <w:t> MAIN CASE · CLASS 5 </w:t>
      </w:r>
    </w:p>
    <w:p w14:paraId="4885E1D5" w14:textId="77777777" w:rsidR="00B844AC" w:rsidRDefault="00F62A06">
      <w:pPr>
        <w:keepNext/>
        <w:pBdr>
          <w:left w:val="single" w:sz="18" w:space="6" w:color="DC2626"/>
        </w:pBdr>
        <w:shd w:val="clear" w:color="auto" w:fill="EAF2FF"/>
        <w:spacing w:after="30"/>
        <w:ind w:left="173"/>
      </w:pPr>
      <w:r>
        <w:rPr>
          <w:b/>
          <w:color w:val="1D4ED8"/>
        </w:rPr>
        <w:t xml:space="preserve">Facts:  </w:t>
      </w:r>
      <w:r>
        <w:t>A machine-shop general manager secretly sent orders he thought the shop couldn't fill to other shops and kept the markup ($64,088).</w:t>
      </w:r>
    </w:p>
    <w:p w14:paraId="53358D02" w14:textId="77777777" w:rsidR="00B844AC" w:rsidRDefault="00F62A06">
      <w:pPr>
        <w:keepNext/>
        <w:pBdr>
          <w:left w:val="single" w:sz="18" w:space="6" w:color="DC2626"/>
        </w:pBdr>
        <w:shd w:val="clear" w:color="auto" w:fill="E7F8EE"/>
        <w:spacing w:after="30"/>
        <w:ind w:left="173"/>
      </w:pPr>
      <w:r>
        <w:rPr>
          <w:b/>
          <w:color w:val="15803D"/>
        </w:rPr>
        <w:t xml:space="preserve">Held:  </w:t>
      </w:r>
      <w:r>
        <w:t>He must disgorge the profits. As a fiduciary he had to disclose the orders and let the company decide what to do with them.</w:t>
      </w:r>
    </w:p>
    <w:p w14:paraId="486F5D64" w14:textId="77777777" w:rsidR="00B844AC" w:rsidRDefault="00F62A06">
      <w:pPr>
        <w:pBdr>
          <w:left w:val="single" w:sz="18" w:space="6" w:color="DC2626"/>
        </w:pBdr>
        <w:shd w:val="clear" w:color="auto" w:fill="FEF6C2"/>
        <w:spacing w:after="80"/>
        <w:ind w:left="173"/>
      </w:pPr>
      <w:r>
        <w:rPr>
          <w:b/>
          <w:color w:val="8A6100"/>
        </w:rPr>
        <w:t xml:space="preserve">Why it matters:  </w:t>
      </w:r>
      <w:r>
        <w:t>The agent can't decide for himself which opportunities belong to the principal — disclosure is required.</w:t>
      </w:r>
    </w:p>
    <w:p w14:paraId="735EB318" w14:textId="77777777" w:rsidR="00B844AC" w:rsidRDefault="00F62A06">
      <w:pPr>
        <w:keepNext/>
        <w:pBdr>
          <w:left w:val="single" w:sz="18" w:space="6" w:color="DC2626"/>
        </w:pBdr>
        <w:spacing w:before="100" w:after="20"/>
        <w:ind w:left="173"/>
      </w:pPr>
      <w:r>
        <w:rPr>
          <w:b/>
          <w:color w:val="B91C1C"/>
          <w:sz w:val="21"/>
        </w:rPr>
        <w:lastRenderedPageBreak/>
        <w:t>Rash v. J.V. Intermediate, Ltd. (10th Cir. 2007)</w:t>
      </w:r>
      <w:r>
        <w:rPr>
          <w:color w:val="B91C1C"/>
          <w:sz w:val="15"/>
        </w:rPr>
        <w:t xml:space="preserve">  </w:t>
      </w:r>
      <w:r>
        <w:rPr>
          <w:b/>
          <w:color w:val="FFFFFF"/>
          <w:sz w:val="15"/>
          <w:shd w:val="clear" w:color="auto" w:fill="DC2626"/>
        </w:rPr>
        <w:t> MAIN CASE · CLASS 5 </w:t>
      </w:r>
    </w:p>
    <w:p w14:paraId="1309A3E5" w14:textId="77777777" w:rsidR="00B844AC" w:rsidRDefault="00F62A06">
      <w:pPr>
        <w:keepNext/>
        <w:pBdr>
          <w:left w:val="single" w:sz="18" w:space="6" w:color="DC2626"/>
        </w:pBdr>
        <w:shd w:val="clear" w:color="auto" w:fill="EAF2FF"/>
        <w:spacing w:after="30"/>
        <w:ind w:left="173"/>
      </w:pPr>
      <w:r>
        <w:rPr>
          <w:b/>
          <w:color w:val="1D4ED8"/>
        </w:rPr>
        <w:t xml:space="preserve">Facts:  </w:t>
      </w:r>
      <w:r>
        <w:t>A division manager secretly owned a scaffolding company that won over $1 million of subcontracts he helped award, even after his employer started its own scaffolding business.</w:t>
      </w:r>
    </w:p>
    <w:p w14:paraId="73E14B8D" w14:textId="77777777" w:rsidR="00B844AC" w:rsidRDefault="00F62A06">
      <w:pPr>
        <w:keepNext/>
        <w:pBdr>
          <w:left w:val="single" w:sz="18" w:space="6" w:color="DC2626"/>
        </w:pBdr>
        <w:shd w:val="clear" w:color="auto" w:fill="E7F8EE"/>
        <w:spacing w:after="30"/>
        <w:ind w:left="173"/>
      </w:pPr>
      <w:r>
        <w:rPr>
          <w:b/>
          <w:color w:val="15803D"/>
        </w:rPr>
        <w:t xml:space="preserve">Held:  </w:t>
      </w:r>
      <w:r>
        <w:t>Breach of fiduciary duty as a matter of law. An agent must disclose matters affecting the principal's business and can't contract with it through his own company without its full knowledge.</w:t>
      </w:r>
    </w:p>
    <w:p w14:paraId="251C4561" w14:textId="77777777" w:rsidR="00B844AC" w:rsidRDefault="00F62A06">
      <w:pPr>
        <w:pBdr>
          <w:left w:val="single" w:sz="18" w:space="6" w:color="DC2626"/>
        </w:pBdr>
        <w:shd w:val="clear" w:color="auto" w:fill="FEF6C2"/>
        <w:spacing w:after="80"/>
        <w:ind w:left="173"/>
      </w:pPr>
      <w:r>
        <w:rPr>
          <w:b/>
          <w:color w:val="8A6100"/>
        </w:rPr>
        <w:t xml:space="preserve">Why it matters:  </w:t>
      </w:r>
      <w:r>
        <w:t>Undisclosed self-dealing is a loyalty breach; a fiduciary claim works even after the employment contract lapsed.</w:t>
      </w:r>
    </w:p>
    <w:p w14:paraId="489E561B" w14:textId="77777777" w:rsidR="00B844AC" w:rsidRDefault="00F62A06">
      <w:pPr>
        <w:keepNext/>
        <w:pBdr>
          <w:left w:val="single" w:sz="18" w:space="6" w:color="DC2626"/>
        </w:pBdr>
        <w:spacing w:before="100" w:after="20"/>
        <w:ind w:left="173"/>
      </w:pPr>
      <w:r>
        <w:rPr>
          <w:b/>
          <w:color w:val="B91C1C"/>
          <w:sz w:val="21"/>
        </w:rPr>
        <w:t>Bancroft-Whitney Co. v. Glen (Cal. 1966)</w:t>
      </w:r>
      <w:r>
        <w:rPr>
          <w:color w:val="B91C1C"/>
          <w:sz w:val="15"/>
        </w:rPr>
        <w:t xml:space="preserve">  </w:t>
      </w:r>
      <w:r>
        <w:rPr>
          <w:b/>
          <w:color w:val="FFFFFF"/>
          <w:sz w:val="15"/>
          <w:shd w:val="clear" w:color="auto" w:fill="DC2626"/>
        </w:rPr>
        <w:t> MAIN CASE · CLASS 5 </w:t>
      </w:r>
    </w:p>
    <w:p w14:paraId="7D5A28AA" w14:textId="77777777" w:rsidR="00B844AC" w:rsidRDefault="00F62A06">
      <w:pPr>
        <w:keepNext/>
        <w:pBdr>
          <w:left w:val="single" w:sz="18" w:space="6" w:color="DC2626"/>
        </w:pBdr>
        <w:shd w:val="clear" w:color="auto" w:fill="EAF2FF"/>
        <w:spacing w:after="30"/>
        <w:ind w:left="173"/>
      </w:pPr>
      <w:r>
        <w:rPr>
          <w:b/>
          <w:color w:val="1D4ED8"/>
        </w:rPr>
        <w:t xml:space="preserve">Facts:  </w:t>
      </w:r>
      <w:r>
        <w:t>A law publisher's president, while still in office, helped a competitor recruit his top editors — misleading his boss about a raid, handing over salary information, and choosing whom to hire and what to offer.</w:t>
      </w:r>
    </w:p>
    <w:p w14:paraId="06D70051" w14:textId="77777777" w:rsidR="00B844AC" w:rsidRDefault="00F62A06">
      <w:pPr>
        <w:keepNext/>
        <w:pBdr>
          <w:left w:val="single" w:sz="18" w:space="6" w:color="DC2626"/>
        </w:pBdr>
        <w:shd w:val="clear" w:color="auto" w:fill="E7F8EE"/>
        <w:spacing w:after="30"/>
        <w:ind w:left="173"/>
      </w:pPr>
      <w:r>
        <w:rPr>
          <w:b/>
          <w:color w:val="15803D"/>
        </w:rPr>
        <w:t xml:space="preserve">Held:  </w:t>
      </w:r>
      <w:r>
        <w:t>Breach as a matter of law; the competitor is liable too. Preparing to compete is allowed, but the nature of the preparations matters.</w:t>
      </w:r>
    </w:p>
    <w:p w14:paraId="0133CEF7" w14:textId="77777777" w:rsidR="00B844AC" w:rsidRDefault="00F62A06">
      <w:pPr>
        <w:pBdr>
          <w:left w:val="single" w:sz="18" w:space="6" w:color="DC2626"/>
        </w:pBdr>
        <w:shd w:val="clear" w:color="auto" w:fill="FEF6C2"/>
        <w:spacing w:after="80"/>
        <w:ind w:left="173"/>
      </w:pPr>
      <w:r>
        <w:rPr>
          <w:b/>
          <w:color w:val="8A6100"/>
        </w:rPr>
        <w:t xml:space="preserve">Why it matters:  </w:t>
      </w:r>
      <w:r>
        <w:t>The leading "grabbing and leaving" case: plan your exit, but don't use your position to raid the principal's staff.</w:t>
      </w:r>
    </w:p>
    <w:p w14:paraId="3B977B4D" w14:textId="77777777" w:rsidR="00B844AC" w:rsidRDefault="00F62A06">
      <w:pPr>
        <w:keepNext/>
        <w:pBdr>
          <w:left w:val="single" w:sz="18" w:space="6" w:color="DC2626"/>
        </w:pBdr>
        <w:spacing w:before="100" w:after="20"/>
        <w:ind w:left="173"/>
      </w:pPr>
      <w:r>
        <w:rPr>
          <w:b/>
          <w:color w:val="B91C1C"/>
          <w:sz w:val="21"/>
        </w:rPr>
        <w:t>Town &amp; Country House &amp; Home Service, Inc. v. Newbery (N.Y. 1958)</w:t>
      </w:r>
      <w:r>
        <w:rPr>
          <w:color w:val="B91C1C"/>
          <w:sz w:val="15"/>
        </w:rPr>
        <w:t xml:space="preserve">  </w:t>
      </w:r>
      <w:r>
        <w:rPr>
          <w:b/>
          <w:color w:val="FFFFFF"/>
          <w:sz w:val="15"/>
          <w:shd w:val="clear" w:color="auto" w:fill="DC2626"/>
        </w:rPr>
        <w:t> MAIN CASE · CLASS 5 </w:t>
      </w:r>
    </w:p>
    <w:p w14:paraId="3D61FAD6" w14:textId="77777777" w:rsidR="00B844AC" w:rsidRDefault="00F62A06">
      <w:pPr>
        <w:keepNext/>
        <w:pBdr>
          <w:left w:val="single" w:sz="18" w:space="6" w:color="DC2626"/>
        </w:pBdr>
        <w:shd w:val="clear" w:color="auto" w:fill="EAF2FF"/>
        <w:spacing w:after="30"/>
        <w:ind w:left="173"/>
      </w:pPr>
      <w:r>
        <w:rPr>
          <w:b/>
          <w:color w:val="1D4ED8"/>
        </w:rPr>
        <w:t xml:space="preserve">Facts:  </w:t>
      </w:r>
      <w:r>
        <w:t>Employees of a house-cleaning service left to form a competitor and solicited only their old employer's customers, whose names it had found through costly cold calls.</w:t>
      </w:r>
    </w:p>
    <w:p w14:paraId="72E0BC14" w14:textId="77777777" w:rsidR="00B844AC" w:rsidRDefault="00F62A06">
      <w:pPr>
        <w:keepNext/>
        <w:pBdr>
          <w:left w:val="single" w:sz="18" w:space="6" w:color="DC2626"/>
        </w:pBdr>
        <w:shd w:val="clear" w:color="auto" w:fill="E7F8EE"/>
        <w:spacing w:after="30"/>
        <w:ind w:left="173"/>
      </w:pPr>
      <w:r>
        <w:rPr>
          <w:b/>
          <w:color w:val="15803D"/>
        </w:rPr>
        <w:t xml:space="preserve">Held:  </w:t>
      </w:r>
      <w:r>
        <w:t>The former employer gets an injunction against soliciting those customers and damages, but the ex-employees may otherwise compete. The customer list was a trade secret.</w:t>
      </w:r>
    </w:p>
    <w:p w14:paraId="329C5163" w14:textId="77777777" w:rsidR="00B844AC" w:rsidRDefault="00F62A06">
      <w:pPr>
        <w:pBdr>
          <w:left w:val="single" w:sz="18" w:space="6" w:color="DC2626"/>
        </w:pBdr>
        <w:shd w:val="clear" w:color="auto" w:fill="FEF6C2"/>
        <w:spacing w:after="80"/>
        <w:ind w:left="173"/>
      </w:pPr>
      <w:r>
        <w:rPr>
          <w:b/>
          <w:color w:val="8A6100"/>
        </w:rPr>
        <w:t xml:space="preserve">Why it matters:  </w:t>
      </w:r>
      <w:r>
        <w:t>After leaving you may compete, but not exploit confidential customer lists.</w:t>
      </w:r>
    </w:p>
    <w:p w14:paraId="31EB2233" w14:textId="77777777" w:rsidR="00B844AC" w:rsidRDefault="00F62A06">
      <w:pPr>
        <w:keepNext/>
        <w:pBdr>
          <w:left w:val="single" w:sz="18" w:space="6" w:color="DC2626"/>
        </w:pBdr>
        <w:spacing w:before="100" w:after="20"/>
        <w:ind w:left="173"/>
      </w:pPr>
      <w:r>
        <w:rPr>
          <w:b/>
          <w:color w:val="B91C1C"/>
          <w:sz w:val="21"/>
        </w:rPr>
        <w:t>Corroon &amp; Black-Rutters &amp; Roberts, Inc. v. Hosch (Wis. 1982)</w:t>
      </w:r>
      <w:r>
        <w:rPr>
          <w:color w:val="B91C1C"/>
          <w:sz w:val="15"/>
        </w:rPr>
        <w:t xml:space="preserve">  </w:t>
      </w:r>
      <w:r>
        <w:rPr>
          <w:b/>
          <w:color w:val="FFFFFF"/>
          <w:sz w:val="15"/>
          <w:shd w:val="clear" w:color="auto" w:fill="DC2626"/>
        </w:rPr>
        <w:t> MAIN CASE · CLASS 5 </w:t>
      </w:r>
    </w:p>
    <w:p w14:paraId="248BD333" w14:textId="77777777" w:rsidR="00B844AC" w:rsidRDefault="00F62A06">
      <w:pPr>
        <w:keepNext/>
        <w:pBdr>
          <w:left w:val="single" w:sz="18" w:space="6" w:color="DC2626"/>
        </w:pBdr>
        <w:shd w:val="clear" w:color="auto" w:fill="EAF2FF"/>
        <w:spacing w:after="30"/>
        <w:ind w:left="173"/>
      </w:pPr>
      <w:r>
        <w:rPr>
          <w:b/>
          <w:color w:val="1D4ED8"/>
        </w:rPr>
        <w:t xml:space="preserve">Facts:  </w:t>
      </w:r>
      <w:r>
        <w:t>An insurance agent whose non-compete had expired took clients to a competitor using his old agency's widely accessible customer and expiration lists.</w:t>
      </w:r>
    </w:p>
    <w:p w14:paraId="233208BF" w14:textId="77777777" w:rsidR="00B844AC" w:rsidRDefault="00F62A06">
      <w:pPr>
        <w:keepNext/>
        <w:pBdr>
          <w:left w:val="single" w:sz="18" w:space="6" w:color="DC2626"/>
        </w:pBdr>
        <w:shd w:val="clear" w:color="auto" w:fill="E7F8EE"/>
        <w:spacing w:after="30"/>
        <w:ind w:left="173"/>
      </w:pPr>
      <w:r>
        <w:rPr>
          <w:b/>
          <w:color w:val="15803D"/>
        </w:rPr>
        <w:t xml:space="preserve">Held:  </w:t>
      </w:r>
      <w:r>
        <w:t>No liability — the lists weren't trade secrets under the six-factor Restatement test (all factors must favor secrecy); insurance buyers shop around.</w:t>
      </w:r>
    </w:p>
    <w:p w14:paraId="51864A39" w14:textId="77777777" w:rsidR="00B844AC" w:rsidRDefault="00F62A06">
      <w:pPr>
        <w:pBdr>
          <w:left w:val="single" w:sz="18" w:space="6" w:color="DC2626"/>
        </w:pBdr>
        <w:shd w:val="clear" w:color="auto" w:fill="FEF6C2"/>
        <w:spacing w:after="80"/>
        <w:ind w:left="173"/>
      </w:pPr>
      <w:r>
        <w:rPr>
          <w:b/>
          <w:color w:val="8A6100"/>
        </w:rPr>
        <w:t xml:space="preserve">Why it matters:  </w:t>
      </w:r>
      <w:r>
        <w:t>Without a non-compete or real secrecy, a departing agent may solicit former clients (contrast Town &amp; Country).</w:t>
      </w:r>
    </w:p>
    <w:p w14:paraId="27DA4772" w14:textId="77777777" w:rsidR="00B844AC" w:rsidRDefault="00F62A06">
      <w:pPr>
        <w:pStyle w:val="Heading3"/>
      </w:pPr>
      <w:r>
        <w:rPr>
          <w:b w:val="0"/>
        </w:rPr>
        <w:t>Principal's duties to agent</w:t>
      </w:r>
    </w:p>
    <w:p w14:paraId="7BF3B8FA" w14:textId="77777777" w:rsidR="00B844AC" w:rsidRDefault="00F62A06">
      <w:pPr>
        <w:pStyle w:val="ListBullet"/>
      </w:pPr>
      <w:r>
        <w:rPr>
          <w:b/>
        </w:rPr>
        <w:t>Contractual, not fiduciary:</w:t>
      </w:r>
      <w:r>
        <w:t xml:space="preserve"> contract terms + good faith and fair dealing; reasonable compensation if contemplated; reimbursement of expenses; </w:t>
      </w:r>
      <w:r>
        <w:rPr>
          <w:b/>
        </w:rPr>
        <w:t>indemnify</w:t>
      </w:r>
      <w:r>
        <w:t xml:space="preserve"> losses from carrying out P's instructions; cooperation; non-interference (R3d §§ 8.14–8.15 — incl. warning of known risks).</w:t>
      </w:r>
    </w:p>
    <w:p w14:paraId="500C437C" w14:textId="77777777" w:rsidR="00B844AC" w:rsidRDefault="00F62A06">
      <w:r>
        <w:br w:type="page"/>
      </w:r>
    </w:p>
    <w:p w14:paraId="0185BED9" w14:textId="77777777" w:rsidR="00B844AC" w:rsidRDefault="00F62A06">
      <w:pPr>
        <w:pStyle w:val="Heading1"/>
        <w:shd w:val="clear" w:color="auto" w:fill="1F3864"/>
      </w:pPr>
      <w:bookmarkStart w:id="5" w:name="_Toc243216102"/>
      <w:r>
        <w:rPr>
          <w:b w:val="0"/>
        </w:rPr>
        <w:lastRenderedPageBreak/>
        <w:t>PART II — BUSINESS ENTITIES &amp; PARTNERSHIPS</w:t>
      </w:r>
      <w:bookmarkEnd w:id="5"/>
    </w:p>
    <w:p w14:paraId="02F7334C" w14:textId="77777777" w:rsidR="00B844AC" w:rsidRDefault="00F62A06">
      <w:pPr>
        <w:pStyle w:val="Heading2"/>
        <w:pBdr>
          <w:bottom w:val="single" w:sz="8" w:space="2" w:color="C55A11"/>
        </w:pBdr>
      </w:pPr>
      <w:bookmarkStart w:id="6" w:name="_Toc243216103"/>
      <w:r>
        <w:rPr>
          <w:b w:val="0"/>
        </w:rPr>
        <w:t>5. Choosing an Entity</w:t>
      </w:r>
      <w:bookmarkEnd w:id="6"/>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729"/>
        <w:gridCol w:w="1671"/>
        <w:gridCol w:w="1670"/>
        <w:gridCol w:w="1670"/>
        <w:gridCol w:w="1670"/>
        <w:gridCol w:w="1670"/>
      </w:tblGrid>
      <w:tr w:rsidR="00B844AC" w14:paraId="12B1A2BC" w14:textId="77777777">
        <w:trPr>
          <w:cantSplit/>
          <w:tblHeader/>
          <w:jc w:val="center"/>
        </w:trPr>
        <w:tc>
          <w:tcPr>
            <w:tcW w:w="1728" w:type="dxa"/>
            <w:tcBorders>
              <w:top w:val="single" w:sz="4" w:space="0" w:color="BFC9D9"/>
              <w:left w:val="single" w:sz="4" w:space="0" w:color="BFC9D9"/>
              <w:bottom w:val="single" w:sz="4" w:space="0" w:color="BFC9D9"/>
              <w:right w:val="single" w:sz="4" w:space="0" w:color="BFC9D9"/>
            </w:tcBorders>
            <w:shd w:val="clear" w:color="auto" w:fill="1F3864"/>
          </w:tcPr>
          <w:p w14:paraId="6077A162" w14:textId="77777777" w:rsidR="00B844AC" w:rsidRDefault="00B844AC">
            <w:pPr>
              <w:spacing w:after="0" w:line="240" w:lineRule="auto"/>
            </w:pP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68770978" w14:textId="77777777" w:rsidR="00B844AC" w:rsidRDefault="00F62A06">
            <w:pPr>
              <w:spacing w:after="0" w:line="240" w:lineRule="auto"/>
            </w:pPr>
            <w:r>
              <w:rPr>
                <w:b/>
                <w:color w:val="FFFFFF"/>
                <w:sz w:val="17"/>
              </w:rPr>
              <w:t>General Partnership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39B34285" w14:textId="77777777" w:rsidR="00B844AC" w:rsidRDefault="00F62A06">
            <w:pPr>
              <w:spacing w:after="0" w:line="240" w:lineRule="auto"/>
            </w:pPr>
            <w:r>
              <w:rPr>
                <w:b/>
                <w:color w:val="FFFFFF"/>
                <w:sz w:val="17"/>
              </w:rPr>
              <w:t xml:space="preserve">Limited liability partnership (LLP)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2D0BC0CF" w14:textId="77777777" w:rsidR="00B844AC" w:rsidRDefault="00F62A06">
            <w:pPr>
              <w:spacing w:after="0" w:line="240" w:lineRule="auto"/>
            </w:pPr>
            <w:r>
              <w:rPr>
                <w:b/>
                <w:color w:val="FFFFFF"/>
                <w:sz w:val="17"/>
              </w:rPr>
              <w:t xml:space="preserve">Limited partnership (LP)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36F08C88" w14:textId="77777777" w:rsidR="00B844AC" w:rsidRDefault="00F62A06">
            <w:pPr>
              <w:spacing w:after="0" w:line="240" w:lineRule="auto"/>
            </w:pPr>
            <w:r>
              <w:rPr>
                <w:b/>
                <w:color w:val="FFFFFF"/>
                <w:sz w:val="17"/>
              </w:rPr>
              <w:t xml:space="preserve">Limited liability limited partnership (LLLP)</w:t>
            </w:r>
          </w:p>
        </w:tc>
        <w:tc>
          <w:tcPr>
            <w:tcW w:w="1670" w:type="dxa"/>
            <w:tcBorders>
              <w:top w:val="single" w:sz="4" w:space="0" w:color="BFC9D9"/>
              <w:left w:val="single" w:sz="4" w:space="0" w:color="BFC9D9"/>
              <w:bottom w:val="single" w:sz="4" w:space="0" w:color="BFC9D9"/>
              <w:right w:val="single" w:sz="4" w:space="0" w:color="BFC9D9"/>
            </w:tcBorders>
            <w:shd w:val="clear" w:color="auto" w:fill="1F3864"/>
          </w:tcPr>
          <w:p w14:paraId="454C1440" w14:textId="77777777" w:rsidR="00B844AC" w:rsidRDefault="00F62A06">
            <w:pPr>
              <w:spacing w:after="0" w:line="240" w:lineRule="auto"/>
            </w:pPr>
            <w:r>
              <w:rPr>
                <w:b/>
                <w:color w:val="FFFFFF"/>
                <w:sz w:val="17"/>
              </w:rPr>
              <w:t>LLC</w:t>
            </w:r>
          </w:p>
        </w:tc>
      </w:tr>
      <w:tr w:rsidR="00B844AC" w14:paraId="1DE5A322" w14:textId="77777777">
        <w:trPr>
          <w:cantSplit/>
          <w:jc w:val="center"/>
        </w:trPr>
        <w:tc>
          <w:tcPr>
            <w:tcW w:w="1728" w:type="dxa"/>
            <w:tcBorders>
              <w:top w:val="single" w:sz="4" w:space="0" w:color="BFC9D9"/>
              <w:left w:val="single" w:sz="24" w:space="0" w:color="EF4444"/>
              <w:bottom w:val="single" w:sz="4" w:space="0" w:color="BFC9D9"/>
              <w:right w:val="single" w:sz="4" w:space="0" w:color="BFC9D9"/>
            </w:tcBorders>
            <w:shd w:val="clear" w:color="auto" w:fill="FDEDED"/>
          </w:tcPr>
          <w:p w14:paraId="43BCC4B6" w14:textId="77777777" w:rsidR="00B844AC" w:rsidRDefault="00F62A06">
            <w:pPr>
              <w:spacing w:after="0" w:line="240" w:lineRule="auto"/>
            </w:pPr>
            <w:r>
              <w:rPr>
                <w:b/>
                <w:sz w:val="17"/>
              </w:rPr>
              <w:t>State action</w:t>
            </w:r>
          </w:p>
        </w:tc>
        <w:tc>
          <w:tcPr>
            <w:tcW w:w="1670" w:type="dxa"/>
            <w:tcBorders>
              <w:top w:val="single" w:sz="4" w:space="0" w:color="BFC9D9"/>
              <w:left w:val="single" w:sz="4" w:space="0" w:color="BFC9D9"/>
              <w:bottom w:val="single" w:sz="4" w:space="0" w:color="BFC9D9"/>
              <w:right w:val="single" w:sz="4" w:space="0" w:color="BFC9D9"/>
            </w:tcBorders>
            <w:shd w:val="clear" w:color="auto" w:fill="FDEDED"/>
          </w:tcPr>
          <w:p w14:paraId="3BD35FB8" w14:textId="77777777" w:rsidR="00B844AC" w:rsidRDefault="00F62A06">
            <w:pPr>
              <w:spacing w:after="0" w:line="240" w:lineRule="auto"/>
            </w:pPr>
            <w:r>
              <w:rPr>
                <w:sz w:val="17"/>
              </w:rPr>
              <w:t>None</w:t>
            </w:r>
          </w:p>
        </w:tc>
        <w:tc>
          <w:tcPr>
            <w:tcW w:w="1670" w:type="dxa"/>
            <w:tcBorders>
              <w:top w:val="single" w:sz="4" w:space="0" w:color="BFC9D9"/>
              <w:left w:val="single" w:sz="4" w:space="0" w:color="BFC9D9"/>
              <w:bottom w:val="single" w:sz="4" w:space="0" w:color="BFC9D9"/>
              <w:right w:val="single" w:sz="4" w:space="0" w:color="BFC9D9"/>
            </w:tcBorders>
            <w:shd w:val="clear" w:color="auto" w:fill="FDEDED"/>
          </w:tcPr>
          <w:p w14:paraId="370BFB5F" w14:textId="77777777" w:rsidR="00B844AC" w:rsidRDefault="00F62A06">
            <w:pPr>
              <w:spacing w:after="0" w:line="240" w:lineRule="auto"/>
            </w:pPr>
            <w:r>
              <w:rPr>
                <w:sz w:val="17"/>
              </w:rPr>
              <w:t>File certificate</w:t>
            </w:r>
          </w:p>
        </w:tc>
        <w:tc>
          <w:tcPr>
            <w:tcW w:w="1670" w:type="dxa"/>
            <w:tcBorders>
              <w:top w:val="single" w:sz="4" w:space="0" w:color="BFC9D9"/>
              <w:left w:val="single" w:sz="4" w:space="0" w:color="BFC9D9"/>
              <w:bottom w:val="single" w:sz="4" w:space="0" w:color="BFC9D9"/>
              <w:right w:val="single" w:sz="4" w:space="0" w:color="BFC9D9"/>
            </w:tcBorders>
            <w:shd w:val="clear" w:color="auto" w:fill="FDEDED"/>
          </w:tcPr>
          <w:p w14:paraId="61B74A12" w14:textId="77777777" w:rsidR="00B844AC" w:rsidRDefault="00F62A06">
            <w:pPr>
              <w:spacing w:after="0" w:line="240" w:lineRule="auto"/>
            </w:pPr>
            <w:r>
              <w:rPr>
                <w:sz w:val="17"/>
              </w:rPr>
              <w:t>File certificate</w:t>
            </w:r>
          </w:p>
        </w:tc>
        <w:tc>
          <w:tcPr>
            <w:tcW w:w="1670" w:type="dxa"/>
            <w:tcBorders>
              <w:top w:val="single" w:sz="4" w:space="0" w:color="BFC9D9"/>
              <w:left w:val="single" w:sz="4" w:space="0" w:color="BFC9D9"/>
              <w:bottom w:val="single" w:sz="4" w:space="0" w:color="BFC9D9"/>
              <w:right w:val="single" w:sz="4" w:space="0" w:color="BFC9D9"/>
            </w:tcBorders>
            <w:shd w:val="clear" w:color="auto" w:fill="FDEDED"/>
          </w:tcPr>
          <w:p w14:paraId="4FA17738" w14:textId="77777777" w:rsidR="00B844AC" w:rsidRDefault="00F62A06">
            <w:pPr>
              <w:spacing w:after="0" w:line="240" w:lineRule="auto"/>
            </w:pPr>
            <w:r>
              <w:rPr>
                <w:sz w:val="17"/>
              </w:rPr>
              <w:t>File certificate</w:t>
            </w:r>
          </w:p>
        </w:tc>
        <w:tc>
          <w:tcPr>
            <w:tcW w:w="1670" w:type="dxa"/>
            <w:tcBorders>
              <w:top w:val="single" w:sz="4" w:space="0" w:color="BFC9D9"/>
              <w:left w:val="single" w:sz="4" w:space="0" w:color="BFC9D9"/>
              <w:bottom w:val="single" w:sz="4" w:space="0" w:color="BFC9D9"/>
              <w:right w:val="single" w:sz="4" w:space="0" w:color="BFC9D9"/>
            </w:tcBorders>
            <w:shd w:val="clear" w:color="auto" w:fill="FDEDED"/>
          </w:tcPr>
          <w:p w14:paraId="006781A7" w14:textId="77777777" w:rsidR="00B844AC" w:rsidRDefault="00F62A06">
            <w:pPr>
              <w:spacing w:after="0" w:line="240" w:lineRule="auto"/>
            </w:pPr>
            <w:r>
              <w:rPr>
                <w:sz w:val="17"/>
              </w:rPr>
              <w:t>File articles</w:t>
            </w:r>
          </w:p>
        </w:tc>
      </w:tr>
      <w:tr w:rsidR="00B844AC" w14:paraId="5D68403F" w14:textId="77777777">
        <w:trPr>
          <w:cantSplit/>
          <w:jc w:val="center"/>
        </w:trPr>
        <w:tc>
          <w:tcPr>
            <w:tcW w:w="1728" w:type="dxa"/>
            <w:tcBorders>
              <w:top w:val="single" w:sz="4" w:space="0" w:color="BFC9D9"/>
              <w:left w:val="single" w:sz="24" w:space="0" w:color="F97316"/>
              <w:bottom w:val="single" w:sz="4" w:space="0" w:color="BFC9D9"/>
              <w:right w:val="single" w:sz="4" w:space="0" w:color="BFC9D9"/>
            </w:tcBorders>
            <w:shd w:val="clear" w:color="auto" w:fill="FFF1E3"/>
          </w:tcPr>
          <w:p w14:paraId="0DB0236D" w14:textId="77777777" w:rsidR="00B844AC" w:rsidRDefault="00F62A06">
            <w:pPr>
              <w:spacing w:after="0" w:line="240" w:lineRule="auto"/>
            </w:pPr>
            <w:r>
              <w:rPr>
                <w:b/>
                <w:sz w:val="17"/>
              </w:rPr>
              <w:t>Classes of owners</w:t>
            </w:r>
          </w:p>
        </w:tc>
        <w:tc>
          <w:tcPr>
            <w:tcW w:w="1670" w:type="dxa"/>
            <w:tcBorders>
              <w:top w:val="single" w:sz="4" w:space="0" w:color="BFC9D9"/>
              <w:left w:val="single" w:sz="4" w:space="0" w:color="BFC9D9"/>
              <w:bottom w:val="single" w:sz="4" w:space="0" w:color="BFC9D9"/>
              <w:right w:val="single" w:sz="4" w:space="0" w:color="BFC9D9"/>
            </w:tcBorders>
            <w:shd w:val="clear" w:color="auto" w:fill="FFF1E3"/>
          </w:tcPr>
          <w:p w14:paraId="394BC6D1" w14:textId="77777777" w:rsidR="00B844AC" w:rsidRDefault="00F62A06">
            <w:pPr>
              <w:spacing w:after="0" w:line="240" w:lineRule="auto"/>
            </w:pPr>
            <w:r>
              <w:rPr>
                <w:sz w:val="17"/>
              </w:rPr>
              <w:t>1</w:t>
            </w:r>
          </w:p>
        </w:tc>
        <w:tc>
          <w:tcPr>
            <w:tcW w:w="1670" w:type="dxa"/>
            <w:tcBorders>
              <w:top w:val="single" w:sz="4" w:space="0" w:color="BFC9D9"/>
              <w:left w:val="single" w:sz="4" w:space="0" w:color="BFC9D9"/>
              <w:bottom w:val="single" w:sz="4" w:space="0" w:color="BFC9D9"/>
              <w:right w:val="single" w:sz="4" w:space="0" w:color="BFC9D9"/>
            </w:tcBorders>
            <w:shd w:val="clear" w:color="auto" w:fill="FFF1E3"/>
          </w:tcPr>
          <w:p w14:paraId="2B171EF0" w14:textId="77777777" w:rsidR="00B844AC" w:rsidRDefault="00F62A06">
            <w:pPr>
              <w:spacing w:after="0" w:line="240" w:lineRule="auto"/>
            </w:pPr>
            <w:r>
              <w:rPr>
                <w:sz w:val="17"/>
              </w:rPr>
              <w:t>1</w:t>
            </w:r>
          </w:p>
        </w:tc>
        <w:tc>
          <w:tcPr>
            <w:tcW w:w="1670" w:type="dxa"/>
            <w:tcBorders>
              <w:top w:val="single" w:sz="4" w:space="0" w:color="BFC9D9"/>
              <w:left w:val="single" w:sz="4" w:space="0" w:color="BFC9D9"/>
              <w:bottom w:val="single" w:sz="4" w:space="0" w:color="BFC9D9"/>
              <w:right w:val="single" w:sz="4" w:space="0" w:color="BFC9D9"/>
            </w:tcBorders>
            <w:shd w:val="clear" w:color="auto" w:fill="FFF1E3"/>
          </w:tcPr>
          <w:p w14:paraId="310A9CF4" w14:textId="77777777" w:rsidR="00B844AC" w:rsidRDefault="00F62A06">
            <w:pPr>
              <w:spacing w:after="0" w:line="240" w:lineRule="auto"/>
            </w:pPr>
            <w:r>
              <w:rPr>
                <w:sz w:val="17"/>
              </w:rPr>
              <w:t>2</w:t>
            </w:r>
          </w:p>
        </w:tc>
        <w:tc>
          <w:tcPr>
            <w:tcW w:w="1670" w:type="dxa"/>
            <w:tcBorders>
              <w:top w:val="single" w:sz="4" w:space="0" w:color="BFC9D9"/>
              <w:left w:val="single" w:sz="4" w:space="0" w:color="BFC9D9"/>
              <w:bottom w:val="single" w:sz="4" w:space="0" w:color="BFC9D9"/>
              <w:right w:val="single" w:sz="4" w:space="0" w:color="BFC9D9"/>
            </w:tcBorders>
            <w:shd w:val="clear" w:color="auto" w:fill="FFF1E3"/>
          </w:tcPr>
          <w:p w14:paraId="7F340637" w14:textId="77777777" w:rsidR="00B844AC" w:rsidRDefault="00F62A06">
            <w:pPr>
              <w:spacing w:after="0" w:line="240" w:lineRule="auto"/>
            </w:pPr>
            <w:r>
              <w:rPr>
                <w:sz w:val="17"/>
              </w:rPr>
              <w:t>2</w:t>
            </w:r>
          </w:p>
        </w:tc>
        <w:tc>
          <w:tcPr>
            <w:tcW w:w="1670" w:type="dxa"/>
            <w:tcBorders>
              <w:top w:val="single" w:sz="4" w:space="0" w:color="BFC9D9"/>
              <w:left w:val="single" w:sz="4" w:space="0" w:color="BFC9D9"/>
              <w:bottom w:val="single" w:sz="4" w:space="0" w:color="BFC9D9"/>
              <w:right w:val="single" w:sz="4" w:space="0" w:color="BFC9D9"/>
            </w:tcBorders>
            <w:shd w:val="clear" w:color="auto" w:fill="FFF1E3"/>
          </w:tcPr>
          <w:p w14:paraId="09DF7A6C" w14:textId="77777777" w:rsidR="00B844AC" w:rsidRDefault="00F62A06">
            <w:pPr>
              <w:spacing w:after="0" w:line="240" w:lineRule="auto"/>
            </w:pPr>
            <w:r>
              <w:rPr>
                <w:sz w:val="17"/>
              </w:rPr>
              <w:t>1</w:t>
            </w:r>
          </w:p>
        </w:tc>
      </w:tr>
      <w:tr w:rsidR="00B844AC" w14:paraId="542EB091" w14:textId="77777777">
        <w:trPr>
          <w:cantSplit/>
          <w:jc w:val="center"/>
        </w:trPr>
        <w:tc>
          <w:tcPr>
            <w:tcW w:w="1728" w:type="dxa"/>
            <w:tcBorders>
              <w:top w:val="single" w:sz="4" w:space="0" w:color="BFC9D9"/>
              <w:left w:val="single" w:sz="24" w:space="0" w:color="EAB308"/>
              <w:bottom w:val="single" w:sz="4" w:space="0" w:color="BFC9D9"/>
              <w:right w:val="single" w:sz="4" w:space="0" w:color="BFC9D9"/>
            </w:tcBorders>
            <w:shd w:val="clear" w:color="auto" w:fill="FEF8D2"/>
          </w:tcPr>
          <w:p w14:paraId="0375A7E0" w14:textId="77777777" w:rsidR="00B844AC" w:rsidRDefault="00F62A06">
            <w:pPr>
              <w:spacing w:after="0" w:line="240" w:lineRule="auto"/>
            </w:pPr>
            <w:r>
              <w:rPr>
                <w:b/>
                <w:sz w:val="17"/>
              </w:rPr>
              <w:t>Limited liability</w:t>
            </w:r>
          </w:p>
        </w:tc>
        <w:tc>
          <w:tcPr>
            <w:tcW w:w="1670" w:type="dxa"/>
            <w:tcBorders>
              <w:top w:val="single" w:sz="4" w:space="0" w:color="BFC9D9"/>
              <w:left w:val="single" w:sz="4" w:space="0" w:color="BFC9D9"/>
              <w:bottom w:val="single" w:sz="4" w:space="0" w:color="BFC9D9"/>
              <w:right w:val="single" w:sz="4" w:space="0" w:color="BFC9D9"/>
            </w:tcBorders>
            <w:shd w:val="clear" w:color="auto" w:fill="FEF8D2"/>
          </w:tcPr>
          <w:p w14:paraId="53B600EF" w14:textId="77777777" w:rsidR="00B844AC" w:rsidRDefault="00F62A06">
            <w:pPr>
              <w:spacing w:after="0" w:line="240" w:lineRule="auto"/>
            </w:pPr>
            <w:r>
              <w:rPr>
                <w:sz w:val="17"/>
              </w:rPr>
              <w:t>No</w:t>
            </w:r>
          </w:p>
        </w:tc>
        <w:tc>
          <w:tcPr>
            <w:tcW w:w="1670" w:type="dxa"/>
            <w:tcBorders>
              <w:top w:val="single" w:sz="4" w:space="0" w:color="BFC9D9"/>
              <w:left w:val="single" w:sz="4" w:space="0" w:color="BFC9D9"/>
              <w:bottom w:val="single" w:sz="4" w:space="0" w:color="BFC9D9"/>
              <w:right w:val="single" w:sz="4" w:space="0" w:color="BFC9D9"/>
            </w:tcBorders>
            <w:shd w:val="clear" w:color="auto" w:fill="FEF8D2"/>
          </w:tcPr>
          <w:p w14:paraId="084EB262" w14:textId="77777777" w:rsidR="00B844AC" w:rsidRDefault="00F62A06">
            <w:pPr>
              <w:spacing w:after="0" w:line="240" w:lineRule="auto"/>
            </w:pPr>
            <w:r>
              <w:rPr>
                <w:sz w:val="17"/>
              </w:rPr>
              <w:t>Yes†</w:t>
            </w:r>
          </w:p>
        </w:tc>
        <w:tc>
          <w:tcPr>
            <w:tcW w:w="1670" w:type="dxa"/>
            <w:tcBorders>
              <w:top w:val="single" w:sz="4" w:space="0" w:color="BFC9D9"/>
              <w:left w:val="single" w:sz="4" w:space="0" w:color="BFC9D9"/>
              <w:bottom w:val="single" w:sz="4" w:space="0" w:color="BFC9D9"/>
              <w:right w:val="single" w:sz="4" w:space="0" w:color="BFC9D9"/>
            </w:tcBorders>
            <w:shd w:val="clear" w:color="auto" w:fill="FEF8D2"/>
          </w:tcPr>
          <w:p w14:paraId="4E1E201C" w14:textId="77777777" w:rsidR="00B844AC" w:rsidRDefault="00F62A06">
            <w:pPr>
              <w:spacing w:after="0" w:line="240" w:lineRule="auto"/>
            </w:pPr>
            <w:r>
              <w:rPr>
                <w:sz w:val="17"/>
              </w:rPr>
              <w:t>Limited partners only</w:t>
            </w:r>
          </w:p>
        </w:tc>
        <w:tc>
          <w:tcPr>
            <w:tcW w:w="1670" w:type="dxa"/>
            <w:tcBorders>
              <w:top w:val="single" w:sz="4" w:space="0" w:color="BFC9D9"/>
              <w:left w:val="single" w:sz="4" w:space="0" w:color="BFC9D9"/>
              <w:bottom w:val="single" w:sz="4" w:space="0" w:color="BFC9D9"/>
              <w:right w:val="single" w:sz="4" w:space="0" w:color="BFC9D9"/>
            </w:tcBorders>
            <w:shd w:val="clear" w:color="auto" w:fill="FEF8D2"/>
          </w:tcPr>
          <w:p w14:paraId="74C2A916" w14:textId="77777777" w:rsidR="00B844AC" w:rsidRDefault="00F62A06">
            <w:pPr>
              <w:spacing w:after="0" w:line="240" w:lineRule="auto"/>
            </w:pPr>
            <w:r>
              <w:rPr>
                <w:sz w:val="17"/>
              </w:rPr>
              <w:t>Yes</w:t>
            </w:r>
          </w:p>
        </w:tc>
        <w:tc>
          <w:tcPr>
            <w:tcW w:w="1670" w:type="dxa"/>
            <w:tcBorders>
              <w:top w:val="single" w:sz="4" w:space="0" w:color="BFC9D9"/>
              <w:left w:val="single" w:sz="4" w:space="0" w:color="BFC9D9"/>
              <w:bottom w:val="single" w:sz="4" w:space="0" w:color="BFC9D9"/>
              <w:right w:val="single" w:sz="4" w:space="0" w:color="BFC9D9"/>
            </w:tcBorders>
            <w:shd w:val="clear" w:color="auto" w:fill="FEF8D2"/>
          </w:tcPr>
          <w:p w14:paraId="6ADDA5CE" w14:textId="77777777" w:rsidR="00B844AC" w:rsidRDefault="00F62A06">
            <w:pPr>
              <w:spacing w:after="0" w:line="240" w:lineRule="auto"/>
            </w:pPr>
            <w:r>
              <w:rPr>
                <w:sz w:val="17"/>
              </w:rPr>
              <w:t>Yes</w:t>
            </w:r>
          </w:p>
        </w:tc>
      </w:tr>
      <w:tr w:rsidR="00B844AC" w14:paraId="2F16292E" w14:textId="77777777">
        <w:trPr>
          <w:cantSplit/>
          <w:jc w:val="center"/>
        </w:trPr>
        <w:tc>
          <w:tcPr>
            <w:tcW w:w="1728" w:type="dxa"/>
            <w:tcBorders>
              <w:top w:val="single" w:sz="4" w:space="0" w:color="BFC9D9"/>
              <w:left w:val="single" w:sz="24" w:space="0" w:color="22C55E"/>
              <w:bottom w:val="single" w:sz="4" w:space="0" w:color="BFC9D9"/>
              <w:right w:val="single" w:sz="4" w:space="0" w:color="BFC9D9"/>
            </w:tcBorders>
            <w:shd w:val="clear" w:color="auto" w:fill="E8F8EE"/>
          </w:tcPr>
          <w:p w14:paraId="1E3897B3" w14:textId="77777777" w:rsidR="00B844AC" w:rsidRDefault="00F62A06">
            <w:pPr>
              <w:spacing w:after="0" w:line="240" w:lineRule="auto"/>
            </w:pPr>
            <w:r>
              <w:rPr>
                <w:b/>
                <w:sz w:val="17"/>
              </w:rPr>
              <w:t>Control</w:t>
            </w:r>
          </w:p>
        </w:tc>
        <w:tc>
          <w:tcPr>
            <w:tcW w:w="1670" w:type="dxa"/>
            <w:tcBorders>
              <w:top w:val="single" w:sz="4" w:space="0" w:color="BFC9D9"/>
              <w:left w:val="single" w:sz="4" w:space="0" w:color="BFC9D9"/>
              <w:bottom w:val="single" w:sz="4" w:space="0" w:color="BFC9D9"/>
              <w:right w:val="single" w:sz="4" w:space="0" w:color="BFC9D9"/>
            </w:tcBorders>
            <w:shd w:val="clear" w:color="auto" w:fill="E8F8EE"/>
          </w:tcPr>
          <w:p w14:paraId="7C206C84" w14:textId="77777777" w:rsidR="00B844AC" w:rsidRDefault="00F62A06">
            <w:pPr>
              <w:spacing w:after="0" w:line="240" w:lineRule="auto"/>
            </w:pPr>
            <w:r>
              <w:rPr>
                <w:sz w:val="17"/>
              </w:rPr>
              <w:t>Equal</w:t>
            </w:r>
          </w:p>
        </w:tc>
        <w:tc>
          <w:tcPr>
            <w:tcW w:w="1670" w:type="dxa"/>
            <w:tcBorders>
              <w:top w:val="single" w:sz="4" w:space="0" w:color="BFC9D9"/>
              <w:left w:val="single" w:sz="4" w:space="0" w:color="BFC9D9"/>
              <w:bottom w:val="single" w:sz="4" w:space="0" w:color="BFC9D9"/>
              <w:right w:val="single" w:sz="4" w:space="0" w:color="BFC9D9"/>
            </w:tcBorders>
            <w:shd w:val="clear" w:color="auto" w:fill="E8F8EE"/>
          </w:tcPr>
          <w:p w14:paraId="02EFF087" w14:textId="77777777" w:rsidR="00B844AC" w:rsidRDefault="00F62A06">
            <w:pPr>
              <w:spacing w:after="0" w:line="240" w:lineRule="auto"/>
            </w:pPr>
            <w:r>
              <w:rPr>
                <w:sz w:val="17"/>
              </w:rPr>
              <w:t>Equal</w:t>
            </w:r>
          </w:p>
        </w:tc>
        <w:tc>
          <w:tcPr>
            <w:tcW w:w="1670" w:type="dxa"/>
            <w:tcBorders>
              <w:top w:val="single" w:sz="4" w:space="0" w:color="BFC9D9"/>
              <w:left w:val="single" w:sz="4" w:space="0" w:color="BFC9D9"/>
              <w:bottom w:val="single" w:sz="4" w:space="0" w:color="BFC9D9"/>
              <w:right w:val="single" w:sz="4" w:space="0" w:color="BFC9D9"/>
            </w:tcBorders>
            <w:shd w:val="clear" w:color="auto" w:fill="E8F8EE"/>
          </w:tcPr>
          <w:p w14:paraId="49EB2629" w14:textId="77777777" w:rsidR="00B844AC" w:rsidRDefault="00F62A06">
            <w:pPr>
              <w:spacing w:after="0" w:line="240" w:lineRule="auto"/>
            </w:pPr>
            <w:r>
              <w:rPr>
                <w:sz w:val="17"/>
              </w:rPr>
              <w:t>General partner only</w:t>
            </w:r>
          </w:p>
        </w:tc>
        <w:tc>
          <w:tcPr>
            <w:tcW w:w="1670" w:type="dxa"/>
            <w:tcBorders>
              <w:top w:val="single" w:sz="4" w:space="0" w:color="BFC9D9"/>
              <w:left w:val="single" w:sz="4" w:space="0" w:color="BFC9D9"/>
              <w:bottom w:val="single" w:sz="4" w:space="0" w:color="BFC9D9"/>
              <w:right w:val="single" w:sz="4" w:space="0" w:color="BFC9D9"/>
            </w:tcBorders>
            <w:shd w:val="clear" w:color="auto" w:fill="E8F8EE"/>
          </w:tcPr>
          <w:p w14:paraId="5D23D8CC" w14:textId="77777777" w:rsidR="00B844AC" w:rsidRDefault="00F62A06">
            <w:pPr>
              <w:spacing w:after="0" w:line="240" w:lineRule="auto"/>
            </w:pPr>
            <w:r>
              <w:rPr>
                <w:sz w:val="17"/>
              </w:rPr>
              <w:t>General partner only</w:t>
            </w:r>
          </w:p>
        </w:tc>
        <w:tc>
          <w:tcPr>
            <w:tcW w:w="1670" w:type="dxa"/>
            <w:tcBorders>
              <w:top w:val="single" w:sz="4" w:space="0" w:color="BFC9D9"/>
              <w:left w:val="single" w:sz="4" w:space="0" w:color="BFC9D9"/>
              <w:bottom w:val="single" w:sz="4" w:space="0" w:color="BFC9D9"/>
              <w:right w:val="single" w:sz="4" w:space="0" w:color="BFC9D9"/>
            </w:tcBorders>
            <w:shd w:val="clear" w:color="auto" w:fill="E8F8EE"/>
          </w:tcPr>
          <w:p w14:paraId="4340FC26" w14:textId="77777777" w:rsidR="00B844AC" w:rsidRDefault="00F62A06">
            <w:pPr>
              <w:spacing w:after="0" w:line="240" w:lineRule="auto"/>
            </w:pPr>
            <w:r>
              <w:rPr>
                <w:sz w:val="17"/>
              </w:rPr>
              <w:t>Members or managers</w:t>
            </w:r>
          </w:p>
        </w:tc>
      </w:tr>
    </w:tbl>
    <w:p w14:paraId="0036885B" w14:textId="77777777" w:rsidR="00B844AC" w:rsidRDefault="00B844AC">
      <w:pPr>
        <w:spacing w:after="0" w:line="120" w:lineRule="exact"/>
      </w:pPr>
    </w:p>
    <w:p w14:paraId="4719B8D7" w14:textId="77777777" w:rsidR="00B844AC" w:rsidRDefault="00F62A06">
      <w:pPr>
        <w:pStyle w:val="ListBullet"/>
      </w:pPr>
      <w:r>
        <w:t xml:space="preserve">† LLP shield (Revised Uniform Partnership Act (RUPA) § 306(c)): partnership debts incurred while an LLP are the LLP's alone </w:t>
      </w:r>
      <w:r>
        <w:rPr>
          <w:i/>
          <w:color w:val="64748B"/>
        </w:rPr>
        <w:t>◆ (partners still answer for their own torts)</w:t>
      </w:r>
      <w:r>
        <w:t>.</w:t>
      </w:r>
    </w:p>
    <w:p w14:paraId="40D4E946" w14:textId="77777777" w:rsidR="00B844AC" w:rsidRDefault="00F62A06">
      <w:pPr>
        <w:pStyle w:val="ListBullet"/>
      </w:pPr>
      <w:r>
        <w:rPr>
          <w:b/>
        </w:rPr>
        <w:t>Selection factors:</w:t>
      </w:r>
      <w:r>
        <w:t xml:space="preserve"> formation complexity; right to manage; ability to raise money; filing paperwork; avoiding personal liability; tax treatment; ability to exit and cash out promptly; which fiduciary duties apply.</w:t>
      </w:r>
    </w:p>
    <w:p w14:paraId="4305EA23" w14:textId="77777777" w:rsidR="00B844AC" w:rsidRDefault="00F62A06">
      <w:pPr>
        <w:pStyle w:val="ListBullet"/>
      </w:pPr>
      <w:r>
        <w:rPr>
          <w:b/>
        </w:rPr>
        <w:t>Sole proprietorship:</w:t>
      </w:r>
      <w:r>
        <w:t xml:space="preserve"> default for one person; full control; no separation of personal and business assets/liabilities; can use a trade name; hard to raise money.</w:t>
      </w:r>
    </w:p>
    <w:p w14:paraId="54F41409" w14:textId="77777777" w:rsidR="00B844AC" w:rsidRDefault="00F62A06">
      <w:pPr>
        <w:pStyle w:val="ListBullet"/>
      </w:pPr>
      <w:r>
        <w:rPr>
          <w:b/>
        </w:rPr>
        <w:t>General partnership:</w:t>
      </w:r>
      <w:r>
        <w:t xml:space="preserve"> default for 2+ people; simple, democratic, flexible; can be formed inadvertently; partners are agents and fiduciaries of each other; personally liable for partnership obligations.</w:t>
      </w:r>
    </w:p>
    <w:p w14:paraId="32B17683" w14:textId="77777777" w:rsidR="00B844AC" w:rsidRDefault="00F62A06">
      <w:pPr>
        <w:pStyle w:val="ListBullet2"/>
      </w:pPr>
      <w:r>
        <w:t>Pros: simplicity; single layer of tax; more resources, cost sharing, broader skills than a sole proprietorship. Cons: no indefinite life; unlimited liability; conflict; expansion, succession and termination problems.</w:t>
      </w:r>
    </w:p>
    <w:p w14:paraId="5D1C3FE0" w14:textId="77777777" w:rsidR="00B844AC" w:rsidRDefault="00F62A06">
      <w:pPr>
        <w:pStyle w:val="ListBullet"/>
      </w:pPr>
      <w:r>
        <w:rPr>
          <w:b/>
        </w:rPr>
        <w:t>LLC:</w:t>
      </w:r>
      <w:r>
        <w:t xml:space="preserve"> not a corporation; limited liability + pass-through tax; veil piercing the main exception; a creature of contract (operating agreement shapes agency) (Revised Uniform Limited Liability Company Act, RULLCA).</w:t>
      </w:r>
    </w:p>
    <w:p w14:paraId="1FCB6EBC" w14:textId="77777777" w:rsidR="00B844AC" w:rsidRDefault="00F62A06">
      <w:pPr>
        <w:pStyle w:val="ListBullet"/>
      </w:pPr>
      <w:r>
        <w:rPr>
          <w:b/>
        </w:rPr>
        <w:t>Corporation:</w:t>
      </w:r>
      <w:r>
        <w:t xml:space="preserve"> shareholders elect directors; directors hire officers; directors and officers (D&amp;O) are agents and owe care and loyalty (Delaware General Corporation Law, DGCL; Model Business Corporation Act, MBCA).</w:t>
      </w:r>
    </w:p>
    <w:p w14:paraId="5A63ED86" w14:textId="77777777" w:rsidR="00B844AC" w:rsidRDefault="00F62A06">
      <w:pPr>
        <w:pStyle w:val="ListBullet"/>
      </w:pPr>
      <w:r>
        <w:rPr>
          <w:b/>
        </w:rPr>
        <w:t>Asset partitioning:</w:t>
      </w:r>
      <w:r>
        <w:t xml:space="preserve"> affirmative = shield firm assets from owners' personal creditors ("entity shielding"); defensive = shield owners' assets from firm creditors ("limited liability" — absent in a general partnership).</w:t>
      </w:r>
    </w:p>
    <w:p w14:paraId="469C159B" w14:textId="77777777" w:rsidR="00B844AC" w:rsidRDefault="00F62A06">
      <w:pPr>
        <w:pStyle w:val="Heading2"/>
        <w:pBdr>
          <w:bottom w:val="single" w:sz="8" w:space="2" w:color="C55A11"/>
        </w:pBdr>
      </w:pPr>
      <w:bookmarkStart w:id="7" w:name="_Toc243216104"/>
      <w:r>
        <w:rPr>
          <w:b w:val="0"/>
        </w:rPr>
        <w:t>6. Partnership Basics and Formation</w:t>
      </w:r>
      <w:bookmarkEnd w:id="7"/>
    </w:p>
    <w:p w14:paraId="6CF5B2AC" w14:textId="77777777" w:rsidR="00B844AC" w:rsidRDefault="00F62A06">
      <w:pPr>
        <w:pStyle w:val="Heading3"/>
      </w:pPr>
      <w:r>
        <w:rPr>
          <w:b w:val="0"/>
        </w:rPr>
        <w:t xml:space="preserve">Uniform Partnership Act (UPA, 1914) vs. RUPA (1997)</w:t>
      </w:r>
    </w:p>
    <w:p w14:paraId="28D468BF" w14:textId="77777777" w:rsidR="00B844AC" w:rsidRDefault="00F62A06">
      <w:pPr>
        <w:pStyle w:val="ListBullet"/>
      </w:pPr>
      <w:r>
        <w:rPr>
          <w:b/>
        </w:rPr>
        <w:t>UPA = aggregate theory:</w:t>
      </w:r>
      <w:r>
        <w:t xml:space="preserve"> partnership is an association of its partners, not a separate entity (problems with suits and property).</w:t>
      </w:r>
    </w:p>
    <w:p w14:paraId="77C32F64" w14:textId="77777777" w:rsidR="00B844AC" w:rsidRDefault="00F62A06">
      <w:pPr>
        <w:pStyle w:val="ListBullet"/>
      </w:pPr>
      <w:r>
        <w:rPr>
          <w:b/>
        </w:rPr>
        <w:t>RUPA = entity theory:</w:t>
      </w:r>
      <w:r>
        <w:t xml:space="preserve"> "A partnership is an entity distinct from its partners" (§ 201); property belongs to the entity (§ 203). Entity features: sue and be sued (§ 307); own and convey property; keep books; file tax returns; judgments collected from firm then partners. Aggregate leftovers: joint and several liability of partners (§ 306); no entity-level income tax (pass-through).</w:t>
      </w:r>
    </w:p>
    <w:tbl>
      <w:tblPr>
        <w:tblW w:w="10079" w:type="dxa"/>
        <w:jc w:val="center"/>
        <w:tblLayout w:type="fixed"/>
        <w:tblCellMar>
          <w:top w:w="40" w:type="dxa"/>
          <w:left w:w="80" w:type="dxa"/>
          <w:bottom w:w="40" w:type="dxa"/>
          <w:right w:w="80" w:type="dxa"/>
        </w:tblCellMar>
        <w:tblLook w:val="04A0" w:firstRow="1" w:lastRow="0" w:firstColumn="1" w:lastColumn="0" w:noHBand="0" w:noVBand="1"/>
      </w:tblPr>
      <w:tblGrid>
        <w:gridCol w:w="1340"/>
        <w:gridCol w:w="4017"/>
        <w:gridCol w:w="4722"/>
      </w:tblGrid>
      <w:tr w:rsidR="00B844AC" w14:paraId="00B2AB3C" w14:textId="77777777">
        <w:trPr>
          <w:cantSplit/>
          <w:tblHeader/>
          <w:jc w:val="center"/>
        </w:trPr>
        <w:tc>
          <w:tcPr>
            <w:tcW w:w="1341" w:type="dxa"/>
            <w:tcBorders>
              <w:top w:val="single" w:sz="4" w:space="0" w:color="BFC9D9"/>
              <w:left w:val="single" w:sz="4" w:space="0" w:color="BFC9D9"/>
              <w:bottom w:val="single" w:sz="4" w:space="0" w:color="BFC9D9"/>
              <w:right w:val="single" w:sz="4" w:space="0" w:color="BFC9D9"/>
            </w:tcBorders>
            <w:shd w:val="clear" w:color="auto" w:fill="1F3864"/>
          </w:tcPr>
          <w:p w14:paraId="15FDFE86" w14:textId="77777777" w:rsidR="00B844AC" w:rsidRDefault="00F62A06">
            <w:pPr>
              <w:spacing w:after="0" w:line="240" w:lineRule="auto"/>
            </w:pPr>
            <w:r>
              <w:rPr>
                <w:b/>
                <w:color w:val="FFFFFF"/>
                <w:sz w:val="17"/>
              </w:rPr>
              <w:t>Issue</w:t>
            </w:r>
          </w:p>
        </w:tc>
        <w:tc>
          <w:tcPr>
            <w:tcW w:w="4017" w:type="dxa"/>
            <w:tcBorders>
              <w:top w:val="single" w:sz="4" w:space="0" w:color="BFC9D9"/>
              <w:left w:val="single" w:sz="4" w:space="0" w:color="BFC9D9"/>
              <w:bottom w:val="single" w:sz="4" w:space="0" w:color="BFC9D9"/>
              <w:right w:val="single" w:sz="4" w:space="0" w:color="BFC9D9"/>
            </w:tcBorders>
            <w:shd w:val="clear" w:color="auto" w:fill="1F3864"/>
          </w:tcPr>
          <w:p w14:paraId="4C1A236F" w14:textId="77777777" w:rsidR="00B844AC" w:rsidRDefault="00F62A06">
            <w:pPr>
              <w:spacing w:after="0" w:line="240" w:lineRule="auto"/>
            </w:pPr>
            <w:r>
              <w:rPr>
                <w:b/>
                <w:color w:val="FFFFFF"/>
                <w:sz w:val="17"/>
              </w:rPr>
              <w:t>UPA (1914) — aggregate</w:t>
            </w:r>
          </w:p>
        </w:tc>
        <w:tc>
          <w:tcPr>
            <w:tcW w:w="4722" w:type="dxa"/>
            <w:tcBorders>
              <w:top w:val="single" w:sz="4" w:space="0" w:color="BFC9D9"/>
              <w:left w:val="single" w:sz="4" w:space="0" w:color="BFC9D9"/>
              <w:bottom w:val="single" w:sz="4" w:space="0" w:color="BFC9D9"/>
              <w:right w:val="single" w:sz="4" w:space="0" w:color="BFC9D9"/>
            </w:tcBorders>
            <w:shd w:val="clear" w:color="auto" w:fill="1F3864"/>
          </w:tcPr>
          <w:p w14:paraId="21CE417A" w14:textId="77777777" w:rsidR="00B844AC" w:rsidRDefault="00F62A06">
            <w:pPr>
              <w:spacing w:after="0" w:line="240" w:lineRule="auto"/>
            </w:pPr>
            <w:r>
              <w:rPr>
                <w:b/>
                <w:color w:val="FFFFFF"/>
                <w:sz w:val="17"/>
              </w:rPr>
              <w:t>RUPA (1997) — entity</w:t>
            </w:r>
          </w:p>
        </w:tc>
      </w:tr>
      <w:tr w:rsidR="00B844AC" w14:paraId="0D63E23C" w14:textId="77777777">
        <w:trPr>
          <w:cantSplit/>
          <w:jc w:val="center"/>
        </w:trPr>
        <w:tc>
          <w:tcPr>
            <w:tcW w:w="1341" w:type="dxa"/>
            <w:tcBorders>
              <w:top w:val="single" w:sz="4" w:space="0" w:color="BFC9D9"/>
              <w:left w:val="single" w:sz="24" w:space="0" w:color="EF4444"/>
              <w:bottom w:val="single" w:sz="4" w:space="0" w:color="BFC9D9"/>
              <w:right w:val="single" w:sz="4" w:space="0" w:color="BFC9D9"/>
            </w:tcBorders>
            <w:shd w:val="clear" w:color="auto" w:fill="FDEDED"/>
          </w:tcPr>
          <w:p w14:paraId="615FBBF7" w14:textId="77777777" w:rsidR="00B844AC" w:rsidRDefault="00F62A06">
            <w:pPr>
              <w:spacing w:after="0" w:line="240" w:lineRule="auto"/>
            </w:pPr>
            <w:r>
              <w:rPr>
                <w:b/>
                <w:sz w:val="17"/>
              </w:rPr>
              <w:t>Nature</w:t>
            </w:r>
          </w:p>
        </w:tc>
        <w:tc>
          <w:tcPr>
            <w:tcW w:w="4017" w:type="dxa"/>
            <w:tcBorders>
              <w:top w:val="single" w:sz="4" w:space="0" w:color="BFC9D9"/>
              <w:left w:val="single" w:sz="4" w:space="0" w:color="BFC9D9"/>
              <w:bottom w:val="single" w:sz="4" w:space="0" w:color="BFC9D9"/>
              <w:right w:val="single" w:sz="4" w:space="0" w:color="BFC9D9"/>
            </w:tcBorders>
            <w:shd w:val="clear" w:color="auto" w:fill="FDEDED"/>
          </w:tcPr>
          <w:p w14:paraId="30BAE227" w14:textId="77777777" w:rsidR="00B844AC" w:rsidRDefault="00F62A06">
            <w:pPr>
              <w:spacing w:after="0" w:line="240" w:lineRule="auto"/>
            </w:pPr>
            <w:r>
              <w:rPr>
                <w:sz w:val="17"/>
              </w:rPr>
              <w:t>Association of partners</w:t>
            </w:r>
          </w:p>
        </w:tc>
        <w:tc>
          <w:tcPr>
            <w:tcW w:w="4722" w:type="dxa"/>
            <w:tcBorders>
              <w:top w:val="single" w:sz="4" w:space="0" w:color="BFC9D9"/>
              <w:left w:val="single" w:sz="4" w:space="0" w:color="BFC9D9"/>
              <w:bottom w:val="single" w:sz="4" w:space="0" w:color="BFC9D9"/>
              <w:right w:val="single" w:sz="4" w:space="0" w:color="BFC9D9"/>
            </w:tcBorders>
            <w:shd w:val="clear" w:color="auto" w:fill="FDEDED"/>
          </w:tcPr>
          <w:p w14:paraId="0C82B4EF" w14:textId="77777777" w:rsidR="00B844AC" w:rsidRDefault="00F62A06">
            <w:pPr>
              <w:spacing w:after="0" w:line="240" w:lineRule="auto"/>
            </w:pPr>
            <w:r>
              <w:rPr>
                <w:sz w:val="17"/>
              </w:rPr>
              <w:t>Entity distinct from partners (§ 201)</w:t>
            </w:r>
          </w:p>
        </w:tc>
      </w:tr>
      <w:tr w:rsidR="00B844AC" w14:paraId="1097CBAD" w14:textId="77777777">
        <w:trPr>
          <w:cantSplit/>
          <w:jc w:val="center"/>
        </w:trPr>
        <w:tc>
          <w:tcPr>
            <w:tcW w:w="1341" w:type="dxa"/>
            <w:tcBorders>
              <w:top w:val="single" w:sz="4" w:space="0" w:color="BFC9D9"/>
              <w:left w:val="single" w:sz="24" w:space="0" w:color="F97316"/>
              <w:bottom w:val="single" w:sz="4" w:space="0" w:color="BFC9D9"/>
              <w:right w:val="single" w:sz="4" w:space="0" w:color="BFC9D9"/>
            </w:tcBorders>
            <w:shd w:val="clear" w:color="auto" w:fill="FFF1E3"/>
          </w:tcPr>
          <w:p w14:paraId="4BEACE1F" w14:textId="77777777" w:rsidR="00B844AC" w:rsidRDefault="00F62A06">
            <w:pPr>
              <w:spacing w:after="0" w:line="240" w:lineRule="auto"/>
            </w:pPr>
            <w:r>
              <w:rPr>
                <w:b/>
                <w:sz w:val="17"/>
              </w:rPr>
              <w:t>Property</w:t>
            </w:r>
          </w:p>
        </w:tc>
        <w:tc>
          <w:tcPr>
            <w:tcW w:w="4017" w:type="dxa"/>
            <w:tcBorders>
              <w:top w:val="single" w:sz="4" w:space="0" w:color="BFC9D9"/>
              <w:left w:val="single" w:sz="4" w:space="0" w:color="BFC9D9"/>
              <w:bottom w:val="single" w:sz="4" w:space="0" w:color="BFC9D9"/>
              <w:right w:val="single" w:sz="4" w:space="0" w:color="BFC9D9"/>
            </w:tcBorders>
            <w:shd w:val="clear" w:color="auto" w:fill="FFF1E3"/>
          </w:tcPr>
          <w:p w14:paraId="09F24931" w14:textId="77777777" w:rsidR="00B844AC" w:rsidRDefault="00F62A06">
            <w:pPr>
              <w:spacing w:after="0" w:line="240" w:lineRule="auto"/>
            </w:pPr>
            <w:r>
              <w:rPr>
                <w:sz w:val="17"/>
              </w:rPr>
              <w:t>Partners co-own as "tenants in partnership" (§ 25)</w:t>
            </w:r>
          </w:p>
        </w:tc>
        <w:tc>
          <w:tcPr>
            <w:tcW w:w="4722" w:type="dxa"/>
            <w:tcBorders>
              <w:top w:val="single" w:sz="4" w:space="0" w:color="BFC9D9"/>
              <w:left w:val="single" w:sz="4" w:space="0" w:color="BFC9D9"/>
              <w:bottom w:val="single" w:sz="4" w:space="0" w:color="BFC9D9"/>
              <w:right w:val="single" w:sz="4" w:space="0" w:color="BFC9D9"/>
            </w:tcBorders>
            <w:shd w:val="clear" w:color="auto" w:fill="FFF1E3"/>
          </w:tcPr>
          <w:p w14:paraId="2EEE8CAE" w14:textId="77777777" w:rsidR="00B844AC" w:rsidRDefault="00F62A06">
            <w:pPr>
              <w:spacing w:after="0" w:line="240" w:lineRule="auto"/>
            </w:pPr>
            <w:r>
              <w:rPr>
                <w:sz w:val="17"/>
              </w:rPr>
              <w:t>Entity owns; partner not a co-owner (§§ 203, 501)</w:t>
            </w:r>
          </w:p>
        </w:tc>
      </w:tr>
      <w:tr w:rsidR="00B844AC" w14:paraId="06411F3B" w14:textId="77777777">
        <w:trPr>
          <w:cantSplit/>
          <w:jc w:val="center"/>
        </w:trPr>
        <w:tc>
          <w:tcPr>
            <w:tcW w:w="1341" w:type="dxa"/>
            <w:tcBorders>
              <w:top w:val="single" w:sz="4" w:space="0" w:color="BFC9D9"/>
              <w:left w:val="single" w:sz="24" w:space="0" w:color="EAB308"/>
              <w:bottom w:val="single" w:sz="4" w:space="0" w:color="BFC9D9"/>
              <w:right w:val="single" w:sz="4" w:space="0" w:color="BFC9D9"/>
            </w:tcBorders>
            <w:shd w:val="clear" w:color="auto" w:fill="FEF8D2"/>
          </w:tcPr>
          <w:p w14:paraId="2A6D64DF" w14:textId="77777777" w:rsidR="00B844AC" w:rsidRDefault="00F62A06">
            <w:pPr>
              <w:spacing w:after="0" w:line="240" w:lineRule="auto"/>
            </w:pPr>
            <w:r>
              <w:rPr>
                <w:b/>
                <w:sz w:val="17"/>
              </w:rPr>
              <w:t>Liability</w:t>
            </w:r>
          </w:p>
        </w:tc>
        <w:tc>
          <w:tcPr>
            <w:tcW w:w="4017" w:type="dxa"/>
            <w:tcBorders>
              <w:top w:val="single" w:sz="4" w:space="0" w:color="BFC9D9"/>
              <w:left w:val="single" w:sz="4" w:space="0" w:color="BFC9D9"/>
              <w:bottom w:val="single" w:sz="4" w:space="0" w:color="BFC9D9"/>
              <w:right w:val="single" w:sz="4" w:space="0" w:color="BFC9D9"/>
            </w:tcBorders>
            <w:shd w:val="clear" w:color="auto" w:fill="FEF8D2"/>
          </w:tcPr>
          <w:p w14:paraId="41C37B41" w14:textId="77777777" w:rsidR="00B844AC" w:rsidRDefault="00F62A06">
            <w:pPr>
              <w:spacing w:after="0" w:line="240" w:lineRule="auto"/>
            </w:pPr>
            <w:r>
              <w:rPr>
                <w:sz w:val="17"/>
              </w:rPr>
              <w:t>Joint and several for torts; joint for contracts (§ 15)</w:t>
            </w:r>
          </w:p>
        </w:tc>
        <w:tc>
          <w:tcPr>
            <w:tcW w:w="4722" w:type="dxa"/>
            <w:tcBorders>
              <w:top w:val="single" w:sz="4" w:space="0" w:color="BFC9D9"/>
              <w:left w:val="single" w:sz="4" w:space="0" w:color="BFC9D9"/>
              <w:bottom w:val="single" w:sz="4" w:space="0" w:color="BFC9D9"/>
              <w:right w:val="single" w:sz="4" w:space="0" w:color="BFC9D9"/>
            </w:tcBorders>
            <w:shd w:val="clear" w:color="auto" w:fill="FEF8D2"/>
          </w:tcPr>
          <w:p w14:paraId="035C47F4" w14:textId="77777777" w:rsidR="00B844AC" w:rsidRDefault="00F62A06">
            <w:pPr>
              <w:spacing w:after="0" w:line="240" w:lineRule="auto"/>
            </w:pPr>
            <w:r>
              <w:rPr>
                <w:sz w:val="17"/>
              </w:rPr>
              <w:t>Joint and several for all; exhaust firm assets first (§§ 306–307)</w:t>
            </w:r>
          </w:p>
        </w:tc>
      </w:tr>
      <w:tr w:rsidR="00B844AC" w14:paraId="3C5B9886" w14:textId="77777777">
        <w:trPr>
          <w:cantSplit/>
          <w:jc w:val="center"/>
        </w:trPr>
        <w:tc>
          <w:tcPr>
            <w:tcW w:w="1341" w:type="dxa"/>
            <w:tcBorders>
              <w:top w:val="single" w:sz="4" w:space="0" w:color="BFC9D9"/>
              <w:left w:val="single" w:sz="24" w:space="0" w:color="22C55E"/>
              <w:bottom w:val="single" w:sz="4" w:space="0" w:color="BFC9D9"/>
              <w:right w:val="single" w:sz="4" w:space="0" w:color="BFC9D9"/>
            </w:tcBorders>
            <w:shd w:val="clear" w:color="auto" w:fill="E8F8EE"/>
          </w:tcPr>
          <w:p w14:paraId="0B57C7C5" w14:textId="77777777" w:rsidR="00B844AC" w:rsidRDefault="00F62A06">
            <w:pPr>
              <w:spacing w:after="0" w:line="240" w:lineRule="auto"/>
            </w:pPr>
            <w:r>
              <w:rPr>
                <w:b/>
                <w:sz w:val="17"/>
              </w:rPr>
              <w:t>Partner leaves</w:t>
            </w:r>
          </w:p>
        </w:tc>
        <w:tc>
          <w:tcPr>
            <w:tcW w:w="4017" w:type="dxa"/>
            <w:tcBorders>
              <w:top w:val="single" w:sz="4" w:space="0" w:color="BFC9D9"/>
              <w:left w:val="single" w:sz="4" w:space="0" w:color="BFC9D9"/>
              <w:bottom w:val="single" w:sz="4" w:space="0" w:color="BFC9D9"/>
              <w:right w:val="single" w:sz="4" w:space="0" w:color="BFC9D9"/>
            </w:tcBorders>
            <w:shd w:val="clear" w:color="auto" w:fill="E8F8EE"/>
          </w:tcPr>
          <w:p w14:paraId="41977FEC" w14:textId="77777777" w:rsidR="00B844AC" w:rsidRDefault="00F62A06">
            <w:pPr>
              <w:spacing w:after="0" w:line="240" w:lineRule="auto"/>
            </w:pPr>
            <w:r>
              <w:rPr>
                <w:sz w:val="17"/>
              </w:rPr>
              <w:t>Always dissolves (§§ 29, 31)</w:t>
            </w:r>
          </w:p>
        </w:tc>
        <w:tc>
          <w:tcPr>
            <w:tcW w:w="4722" w:type="dxa"/>
            <w:tcBorders>
              <w:top w:val="single" w:sz="4" w:space="0" w:color="BFC9D9"/>
              <w:left w:val="single" w:sz="4" w:space="0" w:color="BFC9D9"/>
              <w:bottom w:val="single" w:sz="4" w:space="0" w:color="BFC9D9"/>
              <w:right w:val="single" w:sz="4" w:space="0" w:color="BFC9D9"/>
            </w:tcBorders>
            <w:shd w:val="clear" w:color="auto" w:fill="E8F8EE"/>
          </w:tcPr>
          <w:p w14:paraId="6C1352C7" w14:textId="77777777" w:rsidR="00B844AC" w:rsidRDefault="00F62A06">
            <w:pPr>
              <w:spacing w:after="0" w:line="240" w:lineRule="auto"/>
            </w:pPr>
            <w:r>
              <w:rPr>
                <w:sz w:val="17"/>
              </w:rPr>
              <w:t>Dissociation; buyout or winding up (§ 603)</w:t>
            </w:r>
          </w:p>
        </w:tc>
      </w:tr>
      <w:tr w:rsidR="00B844AC" w14:paraId="21C2353B" w14:textId="77777777">
        <w:trPr>
          <w:cantSplit/>
          <w:jc w:val="center"/>
        </w:trPr>
        <w:tc>
          <w:tcPr>
            <w:tcW w:w="1341" w:type="dxa"/>
            <w:tcBorders>
              <w:top w:val="single" w:sz="4" w:space="0" w:color="BFC9D9"/>
              <w:left w:val="single" w:sz="24" w:space="0" w:color="3B82F6"/>
              <w:bottom w:val="single" w:sz="4" w:space="0" w:color="BFC9D9"/>
              <w:right w:val="single" w:sz="4" w:space="0" w:color="BFC9D9"/>
            </w:tcBorders>
            <w:shd w:val="clear" w:color="auto" w:fill="E8F0FE"/>
          </w:tcPr>
          <w:p w14:paraId="20F72CD1" w14:textId="77777777" w:rsidR="00B844AC" w:rsidRDefault="00F62A06">
            <w:pPr>
              <w:spacing w:after="0" w:line="240" w:lineRule="auto"/>
            </w:pPr>
            <w:r>
              <w:rPr>
                <w:b/>
                <w:sz w:val="17"/>
              </w:rPr>
              <w:t>Power to dissolve</w:t>
            </w:r>
          </w:p>
        </w:tc>
        <w:tc>
          <w:tcPr>
            <w:tcW w:w="4017" w:type="dxa"/>
            <w:tcBorders>
              <w:top w:val="single" w:sz="4" w:space="0" w:color="BFC9D9"/>
              <w:left w:val="single" w:sz="4" w:space="0" w:color="BFC9D9"/>
              <w:bottom w:val="single" w:sz="4" w:space="0" w:color="BFC9D9"/>
              <w:right w:val="single" w:sz="4" w:space="0" w:color="BFC9D9"/>
            </w:tcBorders>
            <w:shd w:val="clear" w:color="auto" w:fill="E8F0FE"/>
          </w:tcPr>
          <w:p w14:paraId="457F0320" w14:textId="77777777" w:rsidR="00B844AC" w:rsidRDefault="00F62A06">
            <w:pPr>
              <w:spacing w:after="0" w:line="240" w:lineRule="auto"/>
            </w:pPr>
            <w:r>
              <w:rPr>
                <w:sz w:val="17"/>
              </w:rPr>
              <w:t>Always exists; may be wrongful</w:t>
            </w:r>
          </w:p>
        </w:tc>
        <w:tc>
          <w:tcPr>
            <w:tcW w:w="4722" w:type="dxa"/>
            <w:tcBorders>
              <w:top w:val="single" w:sz="4" w:space="0" w:color="BFC9D9"/>
              <w:left w:val="single" w:sz="4" w:space="0" w:color="BFC9D9"/>
              <w:bottom w:val="single" w:sz="4" w:space="0" w:color="BFC9D9"/>
              <w:right w:val="single" w:sz="4" w:space="0" w:color="BFC9D9"/>
            </w:tcBorders>
            <w:shd w:val="clear" w:color="auto" w:fill="E8F0FE"/>
          </w:tcPr>
          <w:p w14:paraId="34A7BB1E" w14:textId="77777777" w:rsidR="00B844AC" w:rsidRDefault="00F62A06">
            <w:pPr>
              <w:spacing w:after="0" w:line="240" w:lineRule="auto"/>
            </w:pPr>
            <w:r>
              <w:rPr>
                <w:sz w:val="17"/>
              </w:rPr>
              <w:t>Power to dissociate always exists; may be wrongful (§ 602)</w:t>
            </w:r>
          </w:p>
        </w:tc>
      </w:tr>
      <w:tr w:rsidR="00B844AC" w14:paraId="03BE1EDC" w14:textId="77777777">
        <w:trPr>
          <w:cantSplit/>
          <w:jc w:val="center"/>
        </w:trPr>
        <w:tc>
          <w:tcPr>
            <w:tcW w:w="1341" w:type="dxa"/>
            <w:tcBorders>
              <w:top w:val="single" w:sz="4" w:space="0" w:color="BFC9D9"/>
              <w:left w:val="single" w:sz="24" w:space="0" w:color="A855F7"/>
              <w:bottom w:val="single" w:sz="4" w:space="0" w:color="BFC9D9"/>
              <w:right w:val="single" w:sz="4" w:space="0" w:color="BFC9D9"/>
            </w:tcBorders>
            <w:shd w:val="clear" w:color="auto" w:fill="F4ECFF"/>
          </w:tcPr>
          <w:p w14:paraId="3280EF47" w14:textId="77777777" w:rsidR="00B844AC" w:rsidRDefault="00F62A06">
            <w:pPr>
              <w:spacing w:after="0" w:line="240" w:lineRule="auto"/>
            </w:pPr>
            <w:r>
              <w:rPr>
                <w:b/>
                <w:sz w:val="17"/>
              </w:rPr>
              <w:t>Exit price</w:t>
            </w:r>
          </w:p>
        </w:tc>
        <w:tc>
          <w:tcPr>
            <w:tcW w:w="4017" w:type="dxa"/>
            <w:tcBorders>
              <w:top w:val="single" w:sz="4" w:space="0" w:color="BFC9D9"/>
              <w:left w:val="single" w:sz="4" w:space="0" w:color="BFC9D9"/>
              <w:bottom w:val="single" w:sz="4" w:space="0" w:color="BFC9D9"/>
              <w:right w:val="single" w:sz="4" w:space="0" w:color="BFC9D9"/>
            </w:tcBorders>
            <w:shd w:val="clear" w:color="auto" w:fill="F4ECFF"/>
          </w:tcPr>
          <w:p w14:paraId="17683E47" w14:textId="77777777" w:rsidR="00B844AC" w:rsidRDefault="00F62A06">
            <w:pPr>
              <w:spacing w:after="0" w:line="240" w:lineRule="auto"/>
            </w:pPr>
            <w:r>
              <w:rPr>
                <w:sz w:val="17"/>
              </w:rPr>
              <w:t>Liquidation; wrongful partner paid less damages, no goodwill (§ 38)</w:t>
            </w:r>
          </w:p>
        </w:tc>
        <w:tc>
          <w:tcPr>
            <w:tcW w:w="4722" w:type="dxa"/>
            <w:tcBorders>
              <w:top w:val="single" w:sz="4" w:space="0" w:color="BFC9D9"/>
              <w:left w:val="single" w:sz="4" w:space="0" w:color="BFC9D9"/>
              <w:bottom w:val="single" w:sz="4" w:space="0" w:color="BFC9D9"/>
              <w:right w:val="single" w:sz="4" w:space="0" w:color="BFC9D9"/>
            </w:tcBorders>
            <w:shd w:val="clear" w:color="auto" w:fill="F4ECFF"/>
          </w:tcPr>
          <w:p w14:paraId="1529E836" w14:textId="77777777" w:rsidR="00B844AC" w:rsidRDefault="00F62A06">
            <w:pPr>
              <w:spacing w:after="0" w:line="240" w:lineRule="auto"/>
            </w:pPr>
            <w:r>
              <w:rPr>
                <w:sz w:val="17"/>
              </w:rPr>
              <w:t>Greater of liquidation or going-concern value, less damages, plus interest (§ 701)</w:t>
            </w:r>
          </w:p>
        </w:tc>
      </w:tr>
      <w:tr w:rsidR="00B844AC" w14:paraId="67D4A24C" w14:textId="77777777">
        <w:trPr>
          <w:cantSplit/>
          <w:jc w:val="center"/>
        </w:trPr>
        <w:tc>
          <w:tcPr>
            <w:tcW w:w="1341" w:type="dxa"/>
            <w:tcBorders>
              <w:top w:val="single" w:sz="4" w:space="0" w:color="BFC9D9"/>
              <w:left w:val="single" w:sz="24" w:space="0" w:color="EF4444"/>
              <w:bottom w:val="single" w:sz="4" w:space="0" w:color="BFC9D9"/>
              <w:right w:val="single" w:sz="4" w:space="0" w:color="BFC9D9"/>
            </w:tcBorders>
            <w:shd w:val="clear" w:color="auto" w:fill="FDEDED"/>
          </w:tcPr>
          <w:p w14:paraId="2FB29D16" w14:textId="77777777" w:rsidR="00B844AC" w:rsidRDefault="00F62A06">
            <w:pPr>
              <w:spacing w:after="0" w:line="240" w:lineRule="auto"/>
            </w:pPr>
            <w:r>
              <w:rPr>
                <w:b/>
                <w:sz w:val="17"/>
              </w:rPr>
              <w:t>Liquidation order</w:t>
            </w:r>
          </w:p>
        </w:tc>
        <w:tc>
          <w:tcPr>
            <w:tcW w:w="4017" w:type="dxa"/>
            <w:tcBorders>
              <w:top w:val="single" w:sz="4" w:space="0" w:color="BFC9D9"/>
              <w:left w:val="single" w:sz="4" w:space="0" w:color="BFC9D9"/>
              <w:bottom w:val="single" w:sz="4" w:space="0" w:color="BFC9D9"/>
              <w:right w:val="single" w:sz="4" w:space="0" w:color="BFC9D9"/>
            </w:tcBorders>
            <w:shd w:val="clear" w:color="auto" w:fill="FDEDED"/>
          </w:tcPr>
          <w:p w14:paraId="7241338D" w14:textId="77777777" w:rsidR="00B844AC" w:rsidRDefault="00F62A06">
            <w:pPr>
              <w:spacing w:after="0" w:line="240" w:lineRule="auto"/>
            </w:pPr>
            <w:r>
              <w:rPr>
                <w:sz w:val="17"/>
              </w:rPr>
              <w:t>Outsiders → partner loans → capital → profits (§ 40)</w:t>
            </w:r>
          </w:p>
        </w:tc>
        <w:tc>
          <w:tcPr>
            <w:tcW w:w="4722" w:type="dxa"/>
            <w:tcBorders>
              <w:top w:val="single" w:sz="4" w:space="0" w:color="BFC9D9"/>
              <w:left w:val="single" w:sz="4" w:space="0" w:color="BFC9D9"/>
              <w:bottom w:val="single" w:sz="4" w:space="0" w:color="BFC9D9"/>
              <w:right w:val="single" w:sz="4" w:space="0" w:color="BFC9D9"/>
            </w:tcBorders>
            <w:shd w:val="clear" w:color="auto" w:fill="FDEDED"/>
          </w:tcPr>
          <w:p w14:paraId="4A638AE7" w14:textId="77777777" w:rsidR="00B844AC" w:rsidRDefault="00F62A06">
            <w:pPr>
              <w:spacing w:after="0" w:line="240" w:lineRule="auto"/>
            </w:pPr>
            <w:r>
              <w:rPr>
                <w:sz w:val="17"/>
              </w:rPr>
              <w:t>Creditors incl. partners → contributions → surplus (§ 806)</w:t>
            </w:r>
          </w:p>
        </w:tc>
      </w:tr>
      <w:tr w:rsidR="00B844AC" w14:paraId="2BA2CC4C" w14:textId="77777777">
        <w:trPr>
          <w:cantSplit/>
          <w:jc w:val="center"/>
        </w:trPr>
        <w:tc>
          <w:tcPr>
            <w:tcW w:w="1341" w:type="dxa"/>
            <w:tcBorders>
              <w:top w:val="single" w:sz="4" w:space="0" w:color="BFC9D9"/>
              <w:left w:val="single" w:sz="24" w:space="0" w:color="F97316"/>
              <w:bottom w:val="single" w:sz="4" w:space="0" w:color="BFC9D9"/>
              <w:right w:val="single" w:sz="4" w:space="0" w:color="BFC9D9"/>
            </w:tcBorders>
            <w:shd w:val="clear" w:color="auto" w:fill="FFF1E3"/>
          </w:tcPr>
          <w:p w14:paraId="63632A67" w14:textId="77777777" w:rsidR="00B844AC" w:rsidRDefault="00F62A06">
            <w:pPr>
              <w:spacing w:after="0" w:line="240" w:lineRule="auto"/>
            </w:pPr>
            <w:r>
              <w:rPr>
                <w:b/>
                <w:sz w:val="17"/>
              </w:rPr>
              <w:t>Fiduciary duties</w:t>
            </w:r>
          </w:p>
        </w:tc>
        <w:tc>
          <w:tcPr>
            <w:tcW w:w="4017" w:type="dxa"/>
            <w:tcBorders>
              <w:top w:val="single" w:sz="4" w:space="0" w:color="BFC9D9"/>
              <w:left w:val="single" w:sz="4" w:space="0" w:color="BFC9D9"/>
              <w:bottom w:val="single" w:sz="4" w:space="0" w:color="BFC9D9"/>
              <w:right w:val="single" w:sz="4" w:space="0" w:color="BFC9D9"/>
            </w:tcBorders>
            <w:shd w:val="clear" w:color="auto" w:fill="FFF1E3"/>
          </w:tcPr>
          <w:p w14:paraId="6E5EA7BA" w14:textId="77777777" w:rsidR="00B844AC" w:rsidRDefault="00F62A06">
            <w:pPr>
              <w:spacing w:after="0" w:line="240" w:lineRule="auto"/>
            </w:pPr>
            <w:r>
              <w:rPr>
                <w:sz w:val="17"/>
              </w:rPr>
              <w:t>Common law + § 21 (account) + § 20 (information)</w:t>
            </w:r>
          </w:p>
        </w:tc>
        <w:tc>
          <w:tcPr>
            <w:tcW w:w="4722" w:type="dxa"/>
            <w:tcBorders>
              <w:top w:val="single" w:sz="4" w:space="0" w:color="BFC9D9"/>
              <w:left w:val="single" w:sz="4" w:space="0" w:color="BFC9D9"/>
              <w:bottom w:val="single" w:sz="4" w:space="0" w:color="BFC9D9"/>
              <w:right w:val="single" w:sz="4" w:space="0" w:color="BFC9D9"/>
            </w:tcBorders>
            <w:shd w:val="clear" w:color="auto" w:fill="FFF1E3"/>
          </w:tcPr>
          <w:p w14:paraId="40558381" w14:textId="77777777" w:rsidR="00B844AC" w:rsidRDefault="00F62A06">
            <w:pPr>
              <w:spacing w:after="0" w:line="240" w:lineRule="auto"/>
            </w:pPr>
            <w:r>
              <w:rPr>
                <w:sz w:val="17"/>
              </w:rPr>
              <w:t>Defined loyalty and care + good faith (§ 409); limited waivers (§ 105)</w:t>
            </w:r>
          </w:p>
        </w:tc>
      </w:tr>
    </w:tbl>
    <w:p w14:paraId="1F8450AF" w14:textId="77777777" w:rsidR="00B844AC" w:rsidRDefault="00B844AC">
      <w:pPr>
        <w:spacing w:after="0" w:line="120" w:lineRule="exact"/>
      </w:pPr>
    </w:p>
    <w:p w14:paraId="32181195" w14:textId="77777777" w:rsidR="00B844AC" w:rsidRDefault="00F62A06">
      <w:pPr>
        <w:pStyle w:val="Heading3"/>
      </w:pPr>
      <w:r>
        <w:rPr>
          <w:b w:val="0"/>
        </w:rPr>
        <w:lastRenderedPageBreak/>
        <w:t>Formation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58D2B1F" w14:textId="77777777">
        <w:trPr>
          <w:cantSplit/>
          <w:jc w:val="center"/>
        </w:trPr>
        <w:tc>
          <w:tcPr>
            <w:tcW w:w="10080" w:type="dxa"/>
            <w:tcBorders>
              <w:top w:val="nil"/>
              <w:left w:val="single" w:sz="30" w:space="0" w:color="7C3AED"/>
              <w:bottom w:val="nil"/>
              <w:right w:val="nil"/>
            </w:tcBorders>
            <w:shd w:val="clear" w:color="auto" w:fill="F3EEFF"/>
          </w:tcPr>
          <w:p w14:paraId="606749F5" w14:textId="77777777" w:rsidR="00B844AC" w:rsidRDefault="00F62A06">
            <w:pPr>
              <w:spacing w:after="0"/>
            </w:pPr>
            <w:r>
              <w:rPr>
                <w:b/>
                <w:color w:val="6D28D9"/>
                <w:sz w:val="17"/>
              </w:rPr>
              <w:t xml:space="preserve">RULE  </w:t>
            </w:r>
            <w:r>
              <w:t>"The association of two or more persons to carry on as co-owners a business for profit forms a partnership, whether or not the persons intend to form a partnership" (RUPA § 202(a); UPA § 6). No formalities; disclaimers don't control if the parties do the things that make a partnership.</w:t>
            </w:r>
          </w:p>
        </w:tc>
      </w:tr>
    </w:tbl>
    <w:p w14:paraId="43BC2C6A" w14:textId="77777777" w:rsidR="00B844AC" w:rsidRDefault="00B844AC">
      <w:pPr>
        <w:spacing w:after="0" w:line="100" w:lineRule="exact"/>
      </w:pPr>
    </w:p>
    <w:p w14:paraId="2500A491" w14:textId="77777777" w:rsidR="00B844AC" w:rsidRDefault="00F62A06">
      <w:pPr>
        <w:pStyle w:val="ListBullet"/>
      </w:pPr>
      <w:r>
        <w:rPr>
          <w:b/>
        </w:rPr>
        <w:t>Profit sharing → presumption</w:t>
      </w:r>
      <w:r>
        <w:t xml:space="preserve"> of partnership (RUPA § 202(c)(3); UPA § 7(4): "prima facie evidence") </w:t>
      </w:r>
      <w:r>
        <w:rPr>
          <w:b/>
        </w:rPr>
        <w:t>unless</w:t>
      </w:r>
      <w:r>
        <w:t xml:space="preserve"> received as: debt repayment; wages or independent-contractor pay; rent; annuity/retirement benefit; interest on a loan (even if it varies with profits); price of goodwill or other property. Co-ownership of property or sharing gross returns alone ≠ partnership.</w:t>
      </w:r>
    </w:p>
    <w:p w14:paraId="24B62226" w14:textId="77777777" w:rsidR="00B844AC" w:rsidRDefault="00F62A06">
      <w:pPr>
        <w:pStyle w:val="ListBullet"/>
      </w:pPr>
      <w:r>
        <w:rPr>
          <w:b/>
        </w:rPr>
        <w:t>No single test — factors:</w:t>
      </w:r>
      <w:r>
        <w:t xml:space="preserve"> sharing profits (reward); sharing losses (risk); right to manage (control); intent (express/implied); capital contribution; dealings with third parties (tax returns, holding out); rights on dissolution.</w:t>
      </w:r>
    </w:p>
    <w:p w14:paraId="7A48CC9D" w14:textId="77777777" w:rsidR="00B844AC" w:rsidRDefault="00F62A06">
      <w:pPr>
        <w:pStyle w:val="ListBullet"/>
      </w:pPr>
      <w:r>
        <w:rPr>
          <w:b/>
        </w:rPr>
        <w:t>Agency inside partnerships:</w:t>
      </w:r>
      <w:r>
        <w:t xml:space="preserve"> each partner is an agent of the partnership; may have actual or apparent authority; torts create vicarious liability; each partner is a fiduciary; partners personally liable for partnership obligations, incl. co-partners' and employees' acts.</w:t>
      </w:r>
    </w:p>
    <w:p w14:paraId="55DEA7CF" w14:textId="77777777" w:rsidR="00B844AC" w:rsidRDefault="00F62A06">
      <w:pPr>
        <w:pStyle w:val="ListBullet"/>
      </w:pPr>
      <w:r>
        <w:rPr>
          <w:b/>
        </w:rPr>
        <w:t>Distinguish:</w:t>
      </w:r>
      <w:r>
        <w:t xml:space="preserve"> employee; lender; franchisee; landlord/tenant.</w:t>
      </w:r>
    </w:p>
    <w:p w14:paraId="59D884F1" w14:textId="77777777" w:rsidR="00B844AC" w:rsidRDefault="00F62A06">
      <w:pPr>
        <w:pStyle w:val="ListBullet"/>
      </w:pPr>
      <w:r>
        <w:rPr>
          <w:b/>
        </w:rPr>
        <w:t>Joint venture</w:t>
      </w:r>
      <w:r>
        <w:t xml:space="preserve"> = partnership for a limited undertaking; partnership law applies (Sandvick elements in § 10).</w:t>
      </w:r>
    </w:p>
    <w:p w14:paraId="6270FC19" w14:textId="77777777" w:rsidR="00B844AC" w:rsidRDefault="00F62A06">
      <w:pPr>
        <w:pStyle w:val="Heading3"/>
      </w:pPr>
      <w:r>
        <w:rPr>
          <w:b w:val="0"/>
        </w:rPr>
        <w:t>Partners vs. employees</w:t>
      </w:r>
    </w:p>
    <w:p w14:paraId="2384302A" w14:textId="77777777" w:rsidR="00B844AC" w:rsidRDefault="00F62A06">
      <w:pPr>
        <w:keepNext/>
        <w:pBdr>
          <w:left w:val="single" w:sz="18" w:space="6" w:color="DC2626"/>
        </w:pBdr>
        <w:spacing w:before="100" w:after="20"/>
        <w:ind w:left="173"/>
      </w:pPr>
      <w:r>
        <w:rPr>
          <w:b/>
          <w:color w:val="B91C1C"/>
          <w:sz w:val="21"/>
        </w:rPr>
        <w:t>Fenwick v. Unemployment Compensation Commission (N.J. 1945)</w:t>
      </w:r>
      <w:r>
        <w:rPr>
          <w:color w:val="B91C1C"/>
          <w:sz w:val="15"/>
        </w:rPr>
        <w:t xml:space="preserve">  </w:t>
      </w:r>
      <w:r>
        <w:rPr>
          <w:b/>
          <w:color w:val="FFFFFF"/>
          <w:sz w:val="15"/>
          <w:shd w:val="clear" w:color="auto" w:fill="DC2626"/>
        </w:rPr>
        <w:t> MAIN CASE · CLASS 6 </w:t>
      </w:r>
    </w:p>
    <w:p w14:paraId="21387002" w14:textId="77777777" w:rsidR="00B844AC" w:rsidRDefault="00F62A06">
      <w:pPr>
        <w:keepNext/>
        <w:pBdr>
          <w:left w:val="single" w:sz="18" w:space="6" w:color="DC2626"/>
        </w:pBdr>
        <w:shd w:val="clear" w:color="auto" w:fill="EAF2FF"/>
        <w:spacing w:after="30"/>
        <w:ind w:left="173"/>
      </w:pPr>
      <w:r>
        <w:rPr>
          <w:b/>
          <w:color w:val="1D4ED8"/>
        </w:rPr>
        <w:t xml:space="preserve">Facts:  </w:t>
      </w:r>
      <w:r>
        <w:t>A beauty-shop owner turned his receptionist into a "partner" on paper when she asked for a raise: no capital, no control, no share of losses, same job and pay plus 20% of profits if business allowed. If she was an employee, he owed unemployment taxes.</w:t>
      </w:r>
    </w:p>
    <w:p w14:paraId="0D2DD1C6" w14:textId="77777777" w:rsidR="00B844AC" w:rsidRDefault="00F62A06">
      <w:pPr>
        <w:keepNext/>
        <w:pBdr>
          <w:left w:val="single" w:sz="18" w:space="6" w:color="DC2626"/>
        </w:pBdr>
        <w:shd w:val="clear" w:color="auto" w:fill="E7F8EE"/>
        <w:spacing w:after="30"/>
        <w:ind w:left="173"/>
      </w:pPr>
      <w:r>
        <w:rPr>
          <w:b/>
          <w:color w:val="15803D"/>
        </w:rPr>
        <w:t xml:space="preserve">Held:  </w:t>
      </w:r>
      <w:r>
        <w:t>She was an employee. Weighing intent, profit and loss sharing, ownership and control, management, conduct toward others, and rights on dissolution, co-ownership was missing; her profit share was really wages.</w:t>
      </w:r>
    </w:p>
    <w:p w14:paraId="31D552A0" w14:textId="77777777" w:rsidR="00B844AC" w:rsidRDefault="00F62A06">
      <w:pPr>
        <w:pBdr>
          <w:left w:val="single" w:sz="18" w:space="6" w:color="DC2626"/>
        </w:pBdr>
        <w:shd w:val="clear" w:color="auto" w:fill="FEF6C2"/>
        <w:spacing w:after="80"/>
        <w:ind w:left="173"/>
      </w:pPr>
      <w:r>
        <w:rPr>
          <w:b/>
          <w:color w:val="8A6100"/>
        </w:rPr>
        <w:t xml:space="preserve">Why it matters:  </w:t>
      </w:r>
      <w:r>
        <w:t>A partnership label doesn't make a partnership; the wages exception defeats the profit-sharing presumption.</w:t>
      </w:r>
    </w:p>
    <w:p w14:paraId="5FCF98B8" w14:textId="77777777" w:rsidR="00B844AC" w:rsidRDefault="00F62A06">
      <w:pPr>
        <w:keepNext/>
        <w:pBdr>
          <w:left w:val="single" w:sz="18" w:space="6" w:color="DC2626"/>
        </w:pBdr>
        <w:spacing w:before="100" w:after="20"/>
        <w:ind w:left="173"/>
      </w:pPr>
      <w:r>
        <w:rPr>
          <w:b/>
          <w:color w:val="B91C1C"/>
          <w:sz w:val="21"/>
        </w:rPr>
        <w:t>Zajac v. Harris (Ark. 1967)</w:t>
      </w:r>
      <w:r>
        <w:rPr>
          <w:color w:val="B91C1C"/>
          <w:sz w:val="15"/>
        </w:rPr>
        <w:t xml:space="preserve">  </w:t>
      </w:r>
      <w:r>
        <w:rPr>
          <w:b/>
          <w:color w:val="FFFFFF"/>
          <w:sz w:val="15"/>
          <w:shd w:val="clear" w:color="auto" w:fill="DC2626"/>
        </w:rPr>
        <w:t> MAIN CASE · CLASS 6 </w:t>
      </w:r>
    </w:p>
    <w:p w14:paraId="3A22A775" w14:textId="77777777" w:rsidR="00B844AC" w:rsidRDefault="00F62A06">
      <w:pPr>
        <w:keepNext/>
        <w:pBdr>
          <w:left w:val="single" w:sz="18" w:space="6" w:color="DC2626"/>
        </w:pBdr>
        <w:shd w:val="clear" w:color="auto" w:fill="EAF2FF"/>
        <w:spacing w:after="30"/>
        <w:ind w:left="173"/>
      </w:pPr>
      <w:r>
        <w:rPr>
          <w:b/>
          <w:color w:val="1D4ED8"/>
        </w:rPr>
        <w:t xml:space="preserve">Facts:  </w:t>
      </w:r>
      <w:r>
        <w:t>An illiterate man joined a car-salvage business, put in $9,000 of his own borrowed money to buy cars, and split profits equally — even on deals the other man handled alone. The other man's books treated him as an employee.</w:t>
      </w:r>
    </w:p>
    <w:p w14:paraId="5E7EFA76" w14:textId="77777777" w:rsidR="00B844AC" w:rsidRDefault="00F62A06">
      <w:pPr>
        <w:keepNext/>
        <w:pBdr>
          <w:left w:val="single" w:sz="18" w:space="6" w:color="DC2626"/>
        </w:pBdr>
        <w:shd w:val="clear" w:color="auto" w:fill="E7F8EE"/>
        <w:spacing w:after="30"/>
        <w:ind w:left="173"/>
      </w:pPr>
      <w:r>
        <w:rPr>
          <w:b/>
          <w:color w:val="15803D"/>
        </w:rPr>
        <w:t xml:space="preserve">Held:  </w:t>
      </w:r>
      <w:r>
        <w:t>A partnership existed. His capital contribution and share of all profits showed co-ownership; one-sided bookkeeping didn't change that.</w:t>
      </w:r>
    </w:p>
    <w:p w14:paraId="485B5B3B" w14:textId="77777777" w:rsidR="00B844AC" w:rsidRDefault="00F62A06">
      <w:pPr>
        <w:pBdr>
          <w:left w:val="single" w:sz="18" w:space="6" w:color="DC2626"/>
        </w:pBdr>
        <w:shd w:val="clear" w:color="auto" w:fill="FEF6C2"/>
        <w:spacing w:after="80"/>
        <w:ind w:left="173"/>
      </w:pPr>
      <w:r>
        <w:rPr>
          <w:b/>
          <w:color w:val="8A6100"/>
        </w:rPr>
        <w:t xml:space="preserve">Why it matters:  </w:t>
      </w:r>
      <w:r>
        <w:t>Contrast Fenwick: putting in capital and sharing the whole business's profits points to partnership.</w:t>
      </w:r>
    </w:p>
    <w:p w14:paraId="73C7C285" w14:textId="77777777" w:rsidR="00B844AC" w:rsidRDefault="00F62A06">
      <w:pPr>
        <w:keepNext/>
        <w:pBdr>
          <w:left w:val="single" w:sz="18" w:space="6" w:color="DC2626"/>
        </w:pBdr>
        <w:spacing w:before="100" w:after="20"/>
        <w:ind w:left="173"/>
      </w:pPr>
      <w:r>
        <w:rPr>
          <w:b/>
          <w:color w:val="B91C1C"/>
          <w:sz w:val="21"/>
        </w:rPr>
        <w:t>Clackamas Gastroenterology Associates, P.C. v. Wells (U.S. 2003)</w:t>
      </w:r>
      <w:r>
        <w:rPr>
          <w:color w:val="B91C1C"/>
          <w:sz w:val="15"/>
        </w:rPr>
        <w:t xml:space="preserve">  </w:t>
      </w:r>
      <w:r>
        <w:rPr>
          <w:b/>
          <w:color w:val="FFFFFF"/>
          <w:sz w:val="15"/>
          <w:shd w:val="clear" w:color="auto" w:fill="DC2626"/>
        </w:rPr>
        <w:t> MAIN CASE · CLASS 6 </w:t>
      </w:r>
    </w:p>
    <w:p w14:paraId="517E4B39" w14:textId="77777777" w:rsidR="00B844AC" w:rsidRDefault="00F62A06">
      <w:pPr>
        <w:keepNext/>
        <w:pBdr>
          <w:left w:val="single" w:sz="18" w:space="6" w:color="DC2626"/>
        </w:pBdr>
        <w:shd w:val="clear" w:color="auto" w:fill="EAF2FF"/>
        <w:spacing w:after="30"/>
        <w:ind w:left="173"/>
      </w:pPr>
      <w:r>
        <w:rPr>
          <w:b/>
          <w:color w:val="1D4ED8"/>
        </w:rPr>
        <w:t xml:space="preserve">Facts:  </w:t>
      </w:r>
      <w:r>
        <w:t xml:space="preserve">A bookkeeper sued a medical clinic under the Americans with Disabilities Act (ADA), which covers only employers with 15+ employees; the count depended on whether its four physician-owners were "employees."</w:t>
      </w:r>
    </w:p>
    <w:p w14:paraId="75189A8D" w14:textId="77777777" w:rsidR="00B844AC" w:rsidRDefault="00F62A06">
      <w:pPr>
        <w:keepNext/>
        <w:pBdr>
          <w:left w:val="single" w:sz="18" w:space="6" w:color="DC2626"/>
        </w:pBdr>
        <w:shd w:val="clear" w:color="auto" w:fill="E7F8EE"/>
        <w:spacing w:after="30"/>
        <w:ind w:left="173"/>
      </w:pPr>
      <w:r>
        <w:rPr>
          <w:b/>
          <w:color w:val="15803D"/>
        </w:rPr>
        <w:t xml:space="preserve">Held:  </w:t>
      </w:r>
      <w:r>
        <w:t xml:space="preserve">Apply the common-law control test using the Equal Employment Opportunity Commission's (EEOC's) six factors (hiring/firing and rules; supervision; reporting to someone higher; influence over the organization; intent in agreements; sharing profits, losses, liabilities). Remanded.</w:t>
      </w:r>
    </w:p>
    <w:p w14:paraId="4BEE130D" w14:textId="77777777" w:rsidR="00B844AC" w:rsidRDefault="00F62A06">
      <w:pPr>
        <w:pBdr>
          <w:left w:val="single" w:sz="18" w:space="6" w:color="DC2626"/>
        </w:pBdr>
        <w:shd w:val="clear" w:color="auto" w:fill="FEF6C2"/>
        <w:spacing w:after="80"/>
        <w:ind w:left="173"/>
      </w:pPr>
      <w:r>
        <w:rPr>
          <w:b/>
          <w:color w:val="8A6100"/>
        </w:rPr>
        <w:t xml:space="preserve">Why it matters:  </w:t>
      </w:r>
      <w:r>
        <w:t>Status turns on control, not titles — owners who run the business are employers, not employees.</w:t>
      </w:r>
    </w:p>
    <w:p w14:paraId="075DAF12" w14:textId="77777777" w:rsidR="00B844AC" w:rsidRDefault="00F62A06">
      <w:pPr>
        <w:keepNext/>
        <w:pBdr>
          <w:left w:val="single" w:sz="18" w:space="6" w:color="DC2626"/>
        </w:pBdr>
        <w:spacing w:before="100" w:after="20"/>
        <w:ind w:left="173"/>
      </w:pPr>
      <w:r>
        <w:rPr>
          <w:b/>
          <w:color w:val="B91C1C"/>
          <w:sz w:val="21"/>
        </w:rPr>
        <w:t>Davis v. Loftus (Ill. App. 2002)</w:t>
      </w:r>
      <w:r>
        <w:rPr>
          <w:color w:val="B91C1C"/>
          <w:sz w:val="15"/>
        </w:rPr>
        <w:t xml:space="preserve">  </w:t>
      </w:r>
      <w:r>
        <w:rPr>
          <w:b/>
          <w:color w:val="FFFFFF"/>
          <w:sz w:val="15"/>
          <w:shd w:val="clear" w:color="auto" w:fill="DC2626"/>
        </w:rPr>
        <w:t> MAIN CASE · CLASS 6 </w:t>
      </w:r>
    </w:p>
    <w:p w14:paraId="3011F4BF" w14:textId="77777777" w:rsidR="00B844AC" w:rsidRDefault="00F62A06">
      <w:pPr>
        <w:keepNext/>
        <w:pBdr>
          <w:left w:val="single" w:sz="18" w:space="6" w:color="DC2626"/>
        </w:pBdr>
        <w:shd w:val="clear" w:color="auto" w:fill="EAF2FF"/>
        <w:spacing w:after="30"/>
        <w:ind w:left="173"/>
      </w:pPr>
      <w:r>
        <w:rPr>
          <w:b/>
          <w:color w:val="1D4ED8"/>
        </w:rPr>
        <w:t xml:space="preserve">Facts:  </w:t>
      </w:r>
      <w:r>
        <w:t>Malpractice plaintiffs sued a law firm's "income partners," who got fixed salaries and bonuses, shared no profits or losses, had their small capital returned without gain, and couldn't vote.</w:t>
      </w:r>
    </w:p>
    <w:p w14:paraId="3BE7077F" w14:textId="77777777" w:rsidR="00B844AC" w:rsidRDefault="00F62A06">
      <w:pPr>
        <w:keepNext/>
        <w:pBdr>
          <w:left w:val="single" w:sz="18" w:space="6" w:color="DC2626"/>
        </w:pBdr>
        <w:shd w:val="clear" w:color="auto" w:fill="E7F8EE"/>
        <w:spacing w:after="30"/>
        <w:ind w:left="173"/>
      </w:pPr>
      <w:r>
        <w:rPr>
          <w:b/>
          <w:color w:val="15803D"/>
        </w:rPr>
        <w:t xml:space="preserve">Held:  </w:t>
      </w:r>
      <w:r>
        <w:t>They aren't partners under the UPA, so they aren't vicariously liable.</w:t>
      </w:r>
    </w:p>
    <w:p w14:paraId="29177140" w14:textId="77777777" w:rsidR="00B844AC" w:rsidRDefault="00F62A06">
      <w:pPr>
        <w:pBdr>
          <w:left w:val="single" w:sz="18" w:space="6" w:color="DC2626"/>
        </w:pBdr>
        <w:shd w:val="clear" w:color="auto" w:fill="FEF6C2"/>
        <w:spacing w:after="80"/>
        <w:ind w:left="173"/>
      </w:pPr>
      <w:r>
        <w:rPr>
          <w:b/>
          <w:color w:val="8A6100"/>
        </w:rPr>
        <w:t xml:space="preserve">Why it matters:  </w:t>
      </w:r>
      <w:r>
        <w:t>Profit sharing and control define real partners; titles don't.</w:t>
      </w:r>
    </w:p>
    <w:p w14:paraId="03605D20" w14:textId="77777777" w:rsidR="00B844AC" w:rsidRDefault="00F62A06">
      <w:pPr>
        <w:keepNext/>
        <w:pBdr>
          <w:left w:val="single" w:sz="18" w:space="6" w:color="DC2626"/>
        </w:pBdr>
        <w:spacing w:before="100" w:after="20"/>
        <w:ind w:left="173"/>
      </w:pPr>
      <w:r>
        <w:rPr>
          <w:b/>
          <w:color w:val="B91C1C"/>
          <w:sz w:val="21"/>
        </w:rPr>
        <w:t>Equal Employment Opportunity Commission v. Sidley Austin Brown &amp; Wood (7th Cir. 2002, Posner, J.)</w:t>
      </w:r>
      <w:r>
        <w:rPr>
          <w:color w:val="B91C1C"/>
          <w:sz w:val="15"/>
        </w:rPr>
        <w:t xml:space="preserve">  </w:t>
      </w:r>
      <w:r>
        <w:rPr>
          <w:b/>
          <w:color w:val="FFFFFF"/>
          <w:sz w:val="15"/>
          <w:shd w:val="clear" w:color="auto" w:fill="DC2626"/>
        </w:rPr>
        <w:t> MAIN CASE · CLASS 6 </w:t>
      </w:r>
    </w:p>
    <w:p w14:paraId="22E142EF" w14:textId="77777777" w:rsidR="00B844AC" w:rsidRDefault="00F62A06">
      <w:pPr>
        <w:keepNext/>
        <w:pBdr>
          <w:left w:val="single" w:sz="18" w:space="6" w:color="DC2626"/>
        </w:pBdr>
        <w:shd w:val="clear" w:color="auto" w:fill="EAF2FF"/>
        <w:spacing w:after="30"/>
        <w:ind w:left="173"/>
      </w:pPr>
      <w:r>
        <w:rPr>
          <w:b/>
          <w:color w:val="1D4ED8"/>
        </w:rPr>
        <w:t xml:space="preserve">Facts:  </w:t>
      </w:r>
      <w:r>
        <w:t>Sidley demoted 32 partners; the EEOC investigated age discrimination. A self-perpetuating executive committee controlled everything, though the 32 shared profits, had capital at risk, and were personally liable.</w:t>
      </w:r>
    </w:p>
    <w:p w14:paraId="36D1880B" w14:textId="77777777" w:rsidR="00B844AC" w:rsidRDefault="00F62A06">
      <w:pPr>
        <w:keepNext/>
        <w:pBdr>
          <w:left w:val="single" w:sz="18" w:space="6" w:color="DC2626"/>
        </w:pBdr>
        <w:shd w:val="clear" w:color="auto" w:fill="E7F8EE"/>
        <w:spacing w:after="30"/>
        <w:ind w:left="173"/>
      </w:pPr>
      <w:r>
        <w:rPr>
          <w:b/>
          <w:color w:val="15803D"/>
        </w:rPr>
        <w:t xml:space="preserve">Held:  </w:t>
      </w:r>
      <w:r>
        <w:t>The EEOC may pursue the coverage subpoena; partners under state law might still be "employees" for federal antidiscrimination purposes if they lack real control. Concurrence: they were bona fide partners.</w:t>
      </w:r>
    </w:p>
    <w:p w14:paraId="1F5CD0D6" w14:textId="77777777" w:rsidR="00B844AC" w:rsidRDefault="00F62A06">
      <w:pPr>
        <w:pBdr>
          <w:left w:val="single" w:sz="18" w:space="6" w:color="DC2626"/>
        </w:pBdr>
        <w:shd w:val="clear" w:color="auto" w:fill="FEF6C2"/>
        <w:spacing w:after="80"/>
        <w:ind w:left="173"/>
      </w:pPr>
      <w:r>
        <w:rPr>
          <w:b/>
          <w:color w:val="8A6100"/>
        </w:rPr>
        <w:t xml:space="preserve">Why it matters:  </w:t>
      </w:r>
      <w:r>
        <w:t>Formal partner status vs. actual power — compare Clackamas and Davis.</w:t>
      </w:r>
    </w:p>
    <w:p w14:paraId="46C4561E" w14:textId="77777777" w:rsidR="00B844AC" w:rsidRDefault="00F62A06">
      <w:pPr>
        <w:keepNext/>
        <w:pBdr>
          <w:left w:val="single" w:sz="18" w:space="6" w:color="DC2626"/>
        </w:pBdr>
        <w:spacing w:before="100" w:after="20"/>
        <w:ind w:left="173"/>
      </w:pPr>
      <w:r>
        <w:rPr>
          <w:b/>
          <w:color w:val="B91C1C"/>
          <w:sz w:val="21"/>
        </w:rPr>
        <w:lastRenderedPageBreak/>
        <w:t>Frank v. R.A. Pickens &amp; Son Co. (Ark. 1978)</w:t>
      </w:r>
      <w:r>
        <w:rPr>
          <w:color w:val="B91C1C"/>
          <w:sz w:val="15"/>
        </w:rPr>
        <w:t xml:space="preserve">  </w:t>
      </w:r>
      <w:r>
        <w:rPr>
          <w:b/>
          <w:color w:val="FFFFFF"/>
          <w:sz w:val="15"/>
          <w:shd w:val="clear" w:color="auto" w:fill="DC2626"/>
        </w:rPr>
        <w:t> MAIN CASE · CLASS 6 </w:t>
      </w:r>
    </w:p>
    <w:p w14:paraId="75289576" w14:textId="77777777" w:rsidR="00B844AC" w:rsidRDefault="00F62A06">
      <w:pPr>
        <w:keepNext/>
        <w:pBdr>
          <w:left w:val="single" w:sz="18" w:space="6" w:color="DC2626"/>
        </w:pBdr>
        <w:shd w:val="clear" w:color="auto" w:fill="EAF2FF"/>
        <w:spacing w:after="30"/>
        <w:ind w:left="173"/>
      </w:pPr>
      <w:r>
        <w:rPr>
          <w:b/>
          <w:color w:val="1D4ED8"/>
        </w:rPr>
        <w:t xml:space="preserve">Facts:  </w:t>
      </w:r>
      <w:r>
        <w:t>In a 22-member farming partnership, partners bought in at book value under an understanding that the manager could end anyone's interest at will and pay book value. The manager ended Frank's interest; Frank sued to force a liquidation.</w:t>
      </w:r>
    </w:p>
    <w:p w14:paraId="30FAC488" w14:textId="77777777" w:rsidR="00B844AC" w:rsidRDefault="00F62A06">
      <w:pPr>
        <w:keepNext/>
        <w:pBdr>
          <w:left w:val="single" w:sz="18" w:space="6" w:color="DC2626"/>
        </w:pBdr>
        <w:shd w:val="clear" w:color="auto" w:fill="E7F8EE"/>
        <w:spacing w:after="30"/>
        <w:ind w:left="173"/>
      </w:pPr>
      <w:r>
        <w:rPr>
          <w:b/>
          <w:color w:val="15803D"/>
        </w:rPr>
        <w:t xml:space="preserve">Held:  </w:t>
      </w:r>
      <w:r>
        <w:t>Frank was a partner, but the agreement controls; he gets book value and can't force a sale.</w:t>
      </w:r>
    </w:p>
    <w:p w14:paraId="1F526834" w14:textId="77777777" w:rsidR="00B844AC" w:rsidRDefault="00F62A06">
      <w:pPr>
        <w:pBdr>
          <w:left w:val="single" w:sz="18" w:space="6" w:color="DC2626"/>
        </w:pBdr>
        <w:shd w:val="clear" w:color="auto" w:fill="FEF6C2"/>
        <w:spacing w:after="80"/>
        <w:ind w:left="173"/>
      </w:pPr>
      <w:r>
        <w:rPr>
          <w:b/>
          <w:color w:val="8A6100"/>
        </w:rPr>
        <w:t xml:space="preserve">Why it matters:  </w:t>
      </w:r>
      <w:r>
        <w:t>UPA rules are defaults that partners can change by agreement.</w:t>
      </w:r>
    </w:p>
    <w:p w14:paraId="377461B7" w14:textId="77777777" w:rsidR="00B844AC" w:rsidRDefault="00F62A06">
      <w:pPr>
        <w:pStyle w:val="Heading3"/>
      </w:pPr>
      <w:r>
        <w:rPr>
          <w:b w:val="0"/>
        </w:rPr>
        <w:t>Partners vs. lenders</w:t>
      </w:r>
    </w:p>
    <w:p w14:paraId="06D5869F" w14:textId="77777777" w:rsidR="00B844AC" w:rsidRDefault="00F62A06">
      <w:pPr>
        <w:keepNext/>
        <w:pBdr>
          <w:left w:val="single" w:sz="18" w:space="6" w:color="DC2626"/>
        </w:pBdr>
        <w:spacing w:before="100" w:after="20"/>
        <w:ind w:left="173"/>
      </w:pPr>
      <w:r>
        <w:rPr>
          <w:b/>
          <w:color w:val="B91C1C"/>
          <w:sz w:val="21"/>
        </w:rPr>
        <w:t>Martin v. Peyton (N.Y. 1927)</w:t>
      </w:r>
      <w:r>
        <w:rPr>
          <w:color w:val="B91C1C"/>
          <w:sz w:val="15"/>
        </w:rPr>
        <w:t xml:space="preserve">  </w:t>
      </w:r>
      <w:r>
        <w:rPr>
          <w:b/>
          <w:color w:val="FFFFFF"/>
          <w:sz w:val="15"/>
          <w:shd w:val="clear" w:color="auto" w:fill="DC2626"/>
        </w:rPr>
        <w:t> MAIN CASE · CLASS 6 </w:t>
      </w:r>
    </w:p>
    <w:p w14:paraId="489A2CC5" w14:textId="77777777" w:rsidR="00B844AC" w:rsidRDefault="00F62A06">
      <w:pPr>
        <w:keepNext/>
        <w:pBdr>
          <w:left w:val="single" w:sz="18" w:space="6" w:color="DC2626"/>
        </w:pBdr>
        <w:shd w:val="clear" w:color="auto" w:fill="EAF2FF"/>
        <w:spacing w:after="30"/>
        <w:ind w:left="173"/>
      </w:pPr>
      <w:r>
        <w:rPr>
          <w:b/>
          <w:color w:val="1D4ED8"/>
        </w:rPr>
        <w:t xml:space="preserve">Facts:  </w:t>
      </w:r>
      <w:r>
        <w:t>Wealthy friends of a partner lent a failing brokerage $2.5 million in securities for 40% of profits (capped), with information rights, a veto over speculative deals, an option to buy in, and the partners' resignations held in escrow. A creditor sued them as partners.</w:t>
      </w:r>
    </w:p>
    <w:p w14:paraId="5DB46572" w14:textId="77777777" w:rsidR="00B844AC" w:rsidRDefault="00F62A06">
      <w:pPr>
        <w:keepNext/>
        <w:pBdr>
          <w:left w:val="single" w:sz="18" w:space="6" w:color="DC2626"/>
        </w:pBdr>
        <w:shd w:val="clear" w:color="auto" w:fill="E7F8EE"/>
        <w:spacing w:after="30"/>
        <w:ind w:left="173"/>
      </w:pPr>
      <w:r>
        <w:rPr>
          <w:b/>
          <w:color w:val="15803D"/>
        </w:rPr>
        <w:t xml:space="preserve">Held:  </w:t>
      </w:r>
      <w:r>
        <w:t>They were lenders, not partners. Each term was a reasonable protection for a big, risky loan; they could veto but not initiate or bind. Enough such terms together could cross the line — "a question of degree."</w:t>
      </w:r>
    </w:p>
    <w:p w14:paraId="6CA4A51F" w14:textId="77777777" w:rsidR="00B844AC" w:rsidRDefault="00F62A06">
      <w:pPr>
        <w:pBdr>
          <w:left w:val="single" w:sz="18" w:space="6" w:color="DC2626"/>
        </w:pBdr>
        <w:shd w:val="clear" w:color="auto" w:fill="FEF6C2"/>
        <w:spacing w:after="80"/>
        <w:ind w:left="173"/>
      </w:pPr>
      <w:r>
        <w:rPr>
          <w:b/>
          <w:color w:val="8A6100"/>
        </w:rPr>
        <w:t xml:space="preserve">Why it matters:  </w:t>
      </w:r>
      <w:r>
        <w:t>The leading lender-vs.-partner case (contrast Cargill and Kaufman-Brown).</w:t>
      </w:r>
    </w:p>
    <w:p w14:paraId="035F86E2" w14:textId="77777777" w:rsidR="00B844AC" w:rsidRDefault="00F62A06">
      <w:pPr>
        <w:keepNext/>
        <w:pBdr>
          <w:left w:val="single" w:sz="18" w:space="6" w:color="DC2626"/>
        </w:pBdr>
        <w:spacing w:before="100" w:after="20"/>
        <w:ind w:left="173"/>
      </w:pPr>
      <w:r>
        <w:rPr>
          <w:b/>
          <w:color w:val="B91C1C"/>
          <w:sz w:val="21"/>
        </w:rPr>
        <w:t>Kaufman-Brown Potato Co. v. Long (9th Cir. 1950)</w:t>
      </w:r>
      <w:r>
        <w:rPr>
          <w:color w:val="B91C1C"/>
          <w:sz w:val="15"/>
        </w:rPr>
        <w:t xml:space="preserve">  </w:t>
      </w:r>
      <w:r>
        <w:rPr>
          <w:b/>
          <w:color w:val="FFFFFF"/>
          <w:sz w:val="15"/>
          <w:shd w:val="clear" w:color="auto" w:fill="DC2626"/>
        </w:rPr>
        <w:t> MAIN CASE · CLASS 6 </w:t>
      </w:r>
    </w:p>
    <w:p w14:paraId="02C63FE2" w14:textId="77777777" w:rsidR="00B844AC" w:rsidRDefault="00F62A06">
      <w:pPr>
        <w:keepNext/>
        <w:pBdr>
          <w:left w:val="single" w:sz="18" w:space="6" w:color="DC2626"/>
        </w:pBdr>
        <w:shd w:val="clear" w:color="auto" w:fill="EAF2FF"/>
        <w:spacing w:after="30"/>
        <w:ind w:left="173"/>
      </w:pPr>
      <w:r>
        <w:rPr>
          <w:b/>
          <w:color w:val="1D4ED8"/>
        </w:rPr>
        <w:t xml:space="preserve">Facts:  </w:t>
      </w:r>
      <w:r>
        <w:t>Potato distributors bought interests in growers' crops, advanced money, and agreed to split profits and losses "between the partners." When the growers went bankrupt, the distributors claimed to be creditors.</w:t>
      </w:r>
    </w:p>
    <w:p w14:paraId="0A8D61EC" w14:textId="77777777" w:rsidR="00B844AC" w:rsidRDefault="00F62A06">
      <w:pPr>
        <w:keepNext/>
        <w:pBdr>
          <w:left w:val="single" w:sz="18" w:space="6" w:color="DC2626"/>
        </w:pBdr>
        <w:shd w:val="clear" w:color="auto" w:fill="E7F8EE"/>
        <w:spacing w:after="30"/>
        <w:ind w:left="173"/>
      </w:pPr>
      <w:r>
        <w:rPr>
          <w:b/>
          <w:color w:val="15803D"/>
        </w:rPr>
        <w:t xml:space="preserve">Held:  </w:t>
      </w:r>
      <w:r>
        <w:t>They were partners, not creditors — they shared profits and losses in the venture and acted like co-owners.</w:t>
      </w:r>
    </w:p>
    <w:p w14:paraId="6CF263A4" w14:textId="77777777" w:rsidR="00B844AC" w:rsidRDefault="00F62A06">
      <w:pPr>
        <w:pBdr>
          <w:left w:val="single" w:sz="18" w:space="6" w:color="DC2626"/>
        </w:pBdr>
        <w:shd w:val="clear" w:color="auto" w:fill="FEF6C2"/>
        <w:spacing w:after="80"/>
        <w:ind w:left="173"/>
      </w:pPr>
      <w:r>
        <w:rPr>
          <w:b/>
          <w:color w:val="8A6100"/>
        </w:rPr>
        <w:t xml:space="preserve">Why it matters:  </w:t>
      </w:r>
      <w:r>
        <w:t>Contrast with Martin v. Peyton: sharing losses and co-owner conduct tip toward partnership.</w:t>
      </w:r>
    </w:p>
    <w:p w14:paraId="29E5714C" w14:textId="77777777" w:rsidR="00B844AC" w:rsidRDefault="00F62A06">
      <w:pPr>
        <w:pStyle w:val="Heading3"/>
      </w:pPr>
      <w:r>
        <w:rPr>
          <w:b w:val="0"/>
        </w:rPr>
        <w:t>Partnership by estoppel (purported partner)</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27087C4" w14:textId="77777777">
        <w:trPr>
          <w:cantSplit/>
          <w:jc w:val="center"/>
        </w:trPr>
        <w:tc>
          <w:tcPr>
            <w:tcW w:w="10080" w:type="dxa"/>
            <w:tcBorders>
              <w:top w:val="nil"/>
              <w:left w:val="single" w:sz="30" w:space="0" w:color="7C3AED"/>
              <w:bottom w:val="nil"/>
              <w:right w:val="nil"/>
            </w:tcBorders>
            <w:shd w:val="clear" w:color="auto" w:fill="F3EEFF"/>
          </w:tcPr>
          <w:p w14:paraId="62383C5C" w14:textId="77777777" w:rsidR="00B844AC" w:rsidRDefault="00F62A06">
            <w:pPr>
              <w:spacing w:after="0"/>
            </w:pPr>
            <w:r>
              <w:rPr>
                <w:b/>
                <w:color w:val="6D28D9"/>
                <w:sz w:val="17"/>
              </w:rPr>
              <w:t xml:space="preserve">RULE  </w:t>
            </w:r>
            <w:r>
              <w:t>One who represents himself (or consents to being represented) as a partner is liable to a person who relies on the representation — UPA § 16: "given credit" to the apparent partnership; RUPA § 308: "enters into a transaction." Public representations reach anyone who relies.</w:t>
            </w:r>
          </w:p>
        </w:tc>
      </w:tr>
    </w:tbl>
    <w:p w14:paraId="521524B9" w14:textId="77777777" w:rsidR="00B844AC" w:rsidRDefault="00B844AC">
      <w:pPr>
        <w:spacing w:after="0" w:line="100" w:lineRule="exact"/>
      </w:pPr>
    </w:p>
    <w:p w14:paraId="102EA1BB" w14:textId="77777777" w:rsidR="00B844AC" w:rsidRDefault="00F62A06">
      <w:pPr>
        <w:keepNext/>
        <w:pBdr>
          <w:left w:val="single" w:sz="18" w:space="6" w:color="DC2626"/>
        </w:pBdr>
        <w:spacing w:before="100" w:after="20"/>
        <w:ind w:left="173"/>
      </w:pPr>
      <w:r>
        <w:rPr>
          <w:b/>
          <w:color w:val="B91C1C"/>
          <w:sz w:val="21"/>
        </w:rPr>
        <w:t>Young v. Jones (D.S.C. 1992)</w:t>
      </w:r>
      <w:r>
        <w:rPr>
          <w:color w:val="B91C1C"/>
          <w:sz w:val="15"/>
        </w:rPr>
        <w:t xml:space="preserve">  </w:t>
      </w:r>
      <w:r>
        <w:rPr>
          <w:b/>
          <w:color w:val="FFFFFF"/>
          <w:sz w:val="15"/>
          <w:shd w:val="clear" w:color="auto" w:fill="DC2626"/>
        </w:rPr>
        <w:t> MAIN CASE · CLASS 6 </w:t>
      </w:r>
    </w:p>
    <w:p w14:paraId="67FF3236" w14:textId="77777777" w:rsidR="00B844AC" w:rsidRDefault="00F62A06">
      <w:pPr>
        <w:keepNext/>
        <w:pBdr>
          <w:left w:val="single" w:sz="18" w:space="6" w:color="DC2626"/>
        </w:pBdr>
        <w:shd w:val="clear" w:color="auto" w:fill="EAF2FF"/>
        <w:spacing w:after="30"/>
        <w:ind w:left="173"/>
      </w:pPr>
      <w:r>
        <w:rPr>
          <w:b/>
          <w:color w:val="1D4ED8"/>
        </w:rPr>
        <w:t xml:space="preserve">Facts:  </w:t>
      </w:r>
      <w:r>
        <w:t>Investors lost $550,000 relying on a fraudulent audit letter from Price Waterhouse's Bahamas firm, then sued the U.S. firm as its partner, citing its worldwide-firm advertising.</w:t>
      </w:r>
    </w:p>
    <w:p w14:paraId="4436330F" w14:textId="77777777" w:rsidR="00B844AC" w:rsidRDefault="00F62A06">
      <w:pPr>
        <w:keepNext/>
        <w:pBdr>
          <w:left w:val="single" w:sz="18" w:space="6" w:color="DC2626"/>
        </w:pBdr>
        <w:shd w:val="clear" w:color="auto" w:fill="E7F8EE"/>
        <w:spacing w:after="30"/>
        <w:ind w:left="173"/>
      </w:pPr>
      <w:r>
        <w:rPr>
          <w:b/>
          <w:color w:val="15803D"/>
        </w:rPr>
        <w:t xml:space="preserve">Held:  </w:t>
      </w:r>
      <w:r>
        <w:t>No partnership in fact and none by estoppel — plaintiffs didn't see or rely on any representation that the firms were partners and extended no credit on that basis.</w:t>
      </w:r>
    </w:p>
    <w:p w14:paraId="6E51A070" w14:textId="77777777" w:rsidR="00B844AC" w:rsidRDefault="00F62A06">
      <w:pPr>
        <w:pBdr>
          <w:left w:val="single" w:sz="18" w:space="6" w:color="DC2626"/>
        </w:pBdr>
        <w:shd w:val="clear" w:color="auto" w:fill="FEF6C2"/>
        <w:spacing w:after="80"/>
        <w:ind w:left="173"/>
      </w:pPr>
      <w:r>
        <w:rPr>
          <w:b/>
          <w:color w:val="8A6100"/>
        </w:rPr>
        <w:t xml:space="preserve">Why it matters:  </w:t>
      </w:r>
      <w:r>
        <w:t>Partnership by estoppel requires a representation and reliance (UPA § 16; RUPA § 308).</w:t>
      </w:r>
    </w:p>
    <w:p w14:paraId="4C84C84C" w14:textId="77777777" w:rsidR="00B844AC" w:rsidRDefault="00F62A06">
      <w:pPr>
        <w:pStyle w:val="Heading2"/>
        <w:pBdr>
          <w:bottom w:val="single" w:sz="8" w:space="2" w:color="C55A11"/>
        </w:pBdr>
      </w:pPr>
      <w:bookmarkStart w:id="8" w:name="_Toc243216105"/>
      <w:r>
        <w:rPr>
          <w:b w:val="0"/>
        </w:rPr>
        <w:t>7. Partners' Economic Rights and Property</w:t>
      </w:r>
      <w:bookmarkEnd w:id="8"/>
    </w:p>
    <w:p w14:paraId="1D04DCC2" w14:textId="77777777" w:rsidR="00B844AC" w:rsidRDefault="00F62A06">
      <w:pPr>
        <w:pStyle w:val="Heading3"/>
      </w:pPr>
      <w:r>
        <w:rPr>
          <w:b w:val="0"/>
        </w:rPr>
        <w:t>Default economics</w:t>
      </w:r>
    </w:p>
    <w:p w14:paraId="5E95CD73" w14:textId="77777777" w:rsidR="00B844AC" w:rsidRDefault="00F62A06">
      <w:pPr>
        <w:pStyle w:val="ListBullet"/>
      </w:pPr>
      <w:r>
        <w:t xml:space="preserve">Inputs: </w:t>
      </w:r>
      <w:r>
        <w:rPr>
          <w:b/>
        </w:rPr>
        <w:t>labor and property.</w:t>
      </w:r>
      <w:r>
        <w:t xml:space="preserve"> Returns: equal share of profits; on exit, return of contributions valued at contribution (no interest).</w:t>
      </w:r>
    </w:p>
    <w:p w14:paraId="33F79FDA" w14:textId="77777777" w:rsidR="00B844AC" w:rsidRDefault="00F62A06">
      <w:pPr>
        <w:pStyle w:val="ListBullet"/>
      </w:pPr>
      <w:r>
        <w:rPr>
          <w:b/>
        </w:rPr>
        <w:t>Losses shared like profits</w:t>
      </w:r>
      <w:r>
        <w:t xml:space="preserve">; </w:t>
      </w:r>
      <w:r>
        <w:rPr>
          <w:b/>
        </w:rPr>
        <w:t>no compensation</w:t>
      </w:r>
      <w:r>
        <w:t xml:space="preserve"> for services (except winding up) (RUPA § 401(a), (j); UPA § 18(a), (f)).</w:t>
      </w:r>
    </w:p>
    <w:p w14:paraId="3DBC3753" w14:textId="77777777" w:rsidR="00B844AC" w:rsidRDefault="00F62A06">
      <w:pPr>
        <w:pStyle w:val="ListBullet"/>
      </w:pPr>
      <w:r>
        <w:rPr>
          <w:b/>
        </w:rPr>
        <w:t>Becoming a partner</w:t>
      </w:r>
      <w:r>
        <w:t xml:space="preserve"> after formation: per agreement, Article 11 transaction, or </w:t>
      </w:r>
      <w:r>
        <w:rPr>
          <w:b/>
        </w:rPr>
        <w:t>unanimous</w:t>
      </w:r>
      <w:r>
        <w:t xml:space="preserve"> consent (§ 402; UPA § 18(g)).</w:t>
      </w:r>
    </w:p>
    <w:p w14:paraId="78A34FC7" w14:textId="77777777" w:rsidR="00B844AC" w:rsidRDefault="00F62A06">
      <w:pPr>
        <w:pStyle w:val="ListBullet"/>
      </w:pPr>
      <w:r>
        <w:rPr>
          <w:b/>
        </w:rPr>
        <w:t>Transferable interest</w:t>
      </w:r>
      <w:r>
        <w:t xml:space="preserve"> = right to receive distributions (§ 102(23)); transfer permitted; transferee gets distributions only — no management or information; transferor stays a partner (but may be expelled unanimously if all is transferred, § 601(4)(B)). Charging order: judgment creditor's lien on distributions (§ 504).</w:t>
      </w:r>
    </w:p>
    <w:p w14:paraId="2C388353" w14:textId="77777777" w:rsidR="00B844AC" w:rsidRDefault="00F62A06">
      <w:pPr>
        <w:pStyle w:val="ListBullet"/>
      </w:pPr>
      <w:r>
        <w:rPr>
          <w:b/>
        </w:rPr>
        <w:t>Finance terms:</w:t>
      </w:r>
      <w:r>
        <w:t xml:space="preserve"> capital contribution (no return before withdrawal/liquidation); capital account (contributions + profits − losses − draws; kept at book value); draws (periodic profit distributions); advances/loans (repaid </w:t>
      </w:r>
      <w:r>
        <w:rPr>
          <w:b/>
        </w:rPr>
        <w:t>with interest</w:t>
      </w:r>
      <w:r>
        <w:t>); compensation (none by default).</w:t>
      </w:r>
    </w:p>
    <w:p w14:paraId="0F12CEB6" w14:textId="77777777" w:rsidR="00B844AC" w:rsidRDefault="00F62A06">
      <w:pPr>
        <w:pStyle w:val="ListBullet"/>
      </w:pPr>
      <w:r>
        <w:rPr>
          <w:b/>
        </w:rPr>
        <w:t>Liability:</w:t>
      </w:r>
      <w:r>
        <w:t xml:space="preserve"> all partners jointly and severally liable for all obligations unless claimant agrees or law provides (RUPA § 306(a)); incoming partner not personally liable for pre-admission debts (§ 306(b)); creditor must generally exhaust partnership assets first (§ 307). UPA § 15: joint and several for torts; only joint for contracts.</w:t>
      </w:r>
    </w:p>
    <w:p w14:paraId="5F90E180" w14:textId="77777777" w:rsidR="00B844AC" w:rsidRDefault="00F62A06">
      <w:pPr>
        <w:pStyle w:val="ListBullet"/>
      </w:pPr>
      <w:r>
        <w:rPr>
          <w:b/>
        </w:rPr>
        <w:t>At formation:</w:t>
      </w:r>
      <w:r>
        <w:t xml:space="preserve"> value non-cash contributions; distinguish capital contributions from loans; distinguish partnership-owned assets from partner-owned assets used by the firm.</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5EF9F17" w14:textId="77777777">
        <w:trPr>
          <w:cantSplit/>
          <w:jc w:val="center"/>
        </w:trPr>
        <w:tc>
          <w:tcPr>
            <w:tcW w:w="10080" w:type="dxa"/>
            <w:tcBorders>
              <w:top w:val="nil"/>
              <w:left w:val="single" w:sz="30" w:space="0" w:color="DB2777"/>
              <w:bottom w:val="nil"/>
              <w:right w:val="nil"/>
            </w:tcBorders>
            <w:shd w:val="clear" w:color="auto" w:fill="FDEFF6"/>
          </w:tcPr>
          <w:p w14:paraId="5427CCFB" w14:textId="77777777" w:rsidR="00B844AC" w:rsidRDefault="00F62A06">
            <w:pPr>
              <w:spacing w:after="0"/>
            </w:pPr>
            <w:r>
              <w:rPr>
                <w:b/>
                <w:color w:val="9D174D"/>
                <w:sz w:val="17"/>
              </w:rPr>
              <w:lastRenderedPageBreak/>
              <w:t xml:space="preserve">TIP  </w:t>
            </w:r>
            <w:r>
              <w:t>Worked example — capital account. Three equal partners each contribute $50,000. Year-one profit $330,000 ($110,000 each). Each draws $90,000. Each capital account = $50,000 + $110,000 − $90,000 = $70,000. Capital accounts are kept at book value (cost), not market value — which is why G &amp; S v. Belman's "capital account" buyout paid so little.</w:t>
            </w:r>
          </w:p>
        </w:tc>
      </w:tr>
    </w:tbl>
    <w:p w14:paraId="24B6EA08" w14:textId="77777777" w:rsidR="00B844AC" w:rsidRDefault="00B844AC">
      <w:pPr>
        <w:spacing w:after="0" w:line="100" w:lineRule="exact"/>
      </w:pPr>
    </w:p>
    <w:p w14:paraId="183D02FC" w14:textId="77777777" w:rsidR="00B844AC" w:rsidRDefault="00F62A06">
      <w:pPr>
        <w:pStyle w:val="Heading3"/>
      </w:pPr>
      <w:r>
        <w:rPr>
          <w:b w:val="0"/>
        </w:rPr>
        <w:t>Partnership property</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0BFA3302" w14:textId="77777777">
        <w:trPr>
          <w:cantSplit/>
          <w:jc w:val="center"/>
        </w:trPr>
        <w:tc>
          <w:tcPr>
            <w:tcW w:w="10080" w:type="dxa"/>
            <w:tcBorders>
              <w:top w:val="nil"/>
              <w:left w:val="single" w:sz="30" w:space="0" w:color="7C3AED"/>
              <w:bottom w:val="nil"/>
              <w:right w:val="nil"/>
            </w:tcBorders>
            <w:shd w:val="clear" w:color="auto" w:fill="F3EEFF"/>
          </w:tcPr>
          <w:p w14:paraId="77A83B5C" w14:textId="77777777" w:rsidR="00B844AC" w:rsidRDefault="00F62A06">
            <w:pPr>
              <w:spacing w:after="0"/>
            </w:pPr>
            <w:r>
              <w:rPr>
                <w:b/>
                <w:color w:val="6D28D9"/>
                <w:sz w:val="17"/>
              </w:rPr>
              <w:t xml:space="preserve">RULE  </w:t>
            </w:r>
            <w:r>
              <w:t>Partnership property = property acquired in the partnership's name, or by a partner with the transfer document indicating partner capacity or the partnership; property bought with partnership funds is presumed partnership property; property in a partner's name without such indication or partnership funds is presumed separate (RUPA §§ 203–204). Intent at acquisition controls.</w:t>
            </w:r>
          </w:p>
        </w:tc>
      </w:tr>
    </w:tbl>
    <w:p w14:paraId="18838D80" w14:textId="77777777" w:rsidR="00B844AC" w:rsidRDefault="00B844AC">
      <w:pPr>
        <w:spacing w:after="0" w:line="100" w:lineRule="exact"/>
      </w:pPr>
    </w:p>
    <w:p w14:paraId="09D81CB4" w14:textId="77777777" w:rsidR="00B844AC" w:rsidRDefault="00F62A06">
      <w:pPr>
        <w:pStyle w:val="ListBullet"/>
      </w:pPr>
      <w:r>
        <w:rPr>
          <w:b/>
        </w:rPr>
        <w:t>UPA § 25:</w:t>
      </w:r>
      <w:r>
        <w:t xml:space="preserve"> partner is co-owner of specific property as "tenant in partnership." </w:t>
      </w:r>
      <w:r>
        <w:rPr>
          <w:b/>
        </w:rPr>
        <w:t>RUPA § 501:</w:t>
      </w:r>
      <w:r>
        <w:t xml:space="preserve"> a partner is not a co-owner and has no transferable interest in partnership property.</w:t>
      </w:r>
    </w:p>
    <w:p w14:paraId="42D1D785" w14:textId="77777777" w:rsidR="00B844AC" w:rsidRDefault="00F62A06">
      <w:pPr>
        <w:pStyle w:val="ListBullet"/>
      </w:pPr>
      <w:r>
        <w:rPr>
          <w:b/>
        </w:rPr>
        <w:t>Conveyance:</w:t>
      </w:r>
      <w:r>
        <w:t xml:space="preserve"> title in the partnership name passes only in that name; any partner may sign; partnership can recover an improper transfer except from a good-faith purchaser for value (§ 302; UPA § 10).</w:t>
      </w:r>
    </w:p>
    <w:p w14:paraId="0745D0A7" w14:textId="77777777" w:rsidR="00B844AC" w:rsidRDefault="00F62A06">
      <w:pPr>
        <w:pStyle w:val="ListBullet"/>
      </w:pPr>
      <w:r>
        <w:rPr>
          <w:b/>
        </w:rPr>
        <w:t>Duty:</w:t>
      </w:r>
      <w:r>
        <w:t xml:space="preserve"> account for and hold as trustee any benefit from use of partnership property or appropriation of a partnership opportunity (§ 409(b)(1)).</w:t>
      </w:r>
    </w:p>
    <w:p w14:paraId="1C624726" w14:textId="77777777" w:rsidR="00B844AC" w:rsidRDefault="00F62A06">
      <w:pPr>
        <w:keepNext/>
        <w:pBdr>
          <w:left w:val="single" w:sz="18" w:space="6" w:color="DC2626"/>
        </w:pBdr>
        <w:spacing w:before="100" w:after="20"/>
        <w:ind w:left="173"/>
      </w:pPr>
      <w:r>
        <w:rPr>
          <w:b/>
          <w:color w:val="B91C1C"/>
          <w:sz w:val="21"/>
        </w:rPr>
        <w:t>In re Fulton (Bankr. 1984)</w:t>
      </w:r>
      <w:r>
        <w:rPr>
          <w:color w:val="B91C1C"/>
          <w:sz w:val="15"/>
        </w:rPr>
        <w:t xml:space="preserve">  </w:t>
      </w:r>
      <w:r>
        <w:rPr>
          <w:b/>
          <w:color w:val="FFFFFF"/>
          <w:sz w:val="15"/>
          <w:shd w:val="clear" w:color="auto" w:fill="DC2626"/>
        </w:rPr>
        <w:t> MAIN CASE · CLASS 7 </w:t>
      </w:r>
    </w:p>
    <w:p w14:paraId="0150444A" w14:textId="77777777" w:rsidR="00B844AC" w:rsidRDefault="00F62A06">
      <w:pPr>
        <w:keepNext/>
        <w:pBdr>
          <w:left w:val="single" w:sz="18" w:space="6" w:color="DC2626"/>
        </w:pBdr>
        <w:shd w:val="clear" w:color="auto" w:fill="EAF2FF"/>
        <w:spacing w:after="30"/>
        <w:ind w:left="173"/>
      </w:pPr>
      <w:r>
        <w:rPr>
          <w:b/>
          <w:color w:val="1D4ED8"/>
        </w:rPr>
        <w:t xml:space="preserve">Facts:  </w:t>
      </w:r>
      <w:r>
        <w:t>Two men ran a trucking business together. One bought a trailer with money his grandmother lent him, titled it in the business's name, and used it in the business. The other partner went bankrupt and listed the trailer.</w:t>
      </w:r>
    </w:p>
    <w:p w14:paraId="7F58894B" w14:textId="77777777" w:rsidR="00B844AC" w:rsidRDefault="00F62A06">
      <w:pPr>
        <w:keepNext/>
        <w:pBdr>
          <w:left w:val="single" w:sz="18" w:space="6" w:color="DC2626"/>
        </w:pBdr>
        <w:shd w:val="clear" w:color="auto" w:fill="E7F8EE"/>
        <w:spacing w:after="30"/>
        <w:ind w:left="173"/>
      </w:pPr>
      <w:r>
        <w:rPr>
          <w:b/>
          <w:color w:val="15803D"/>
        </w:rPr>
        <w:t xml:space="preserve">Held:  </w:t>
      </w:r>
      <w:r>
        <w:t>The trailer is partnership property (title, purpose, intent at acquisition); the bankrupt partner's estate gets only his partnership interest. The purchase counted as the buying partner's capital contribution.</w:t>
      </w:r>
    </w:p>
    <w:p w14:paraId="02980E38" w14:textId="77777777" w:rsidR="00B844AC" w:rsidRDefault="00F62A06">
      <w:pPr>
        <w:pBdr>
          <w:left w:val="single" w:sz="18" w:space="6" w:color="DC2626"/>
        </w:pBdr>
        <w:shd w:val="clear" w:color="auto" w:fill="FEF6C2"/>
        <w:spacing w:after="80"/>
        <w:ind w:left="173"/>
      </w:pPr>
      <w:r>
        <w:rPr>
          <w:b/>
          <w:color w:val="8A6100"/>
        </w:rPr>
        <w:t xml:space="preserve">Why it matters:  </w:t>
      </w:r>
      <w:r>
        <w:t>Applies RUPA § 204's property rules and the UPA § 40 payout order.</w:t>
      </w:r>
    </w:p>
    <w:p w14:paraId="1E661EB0" w14:textId="77777777" w:rsidR="00B844AC" w:rsidRDefault="00F62A06">
      <w:pPr>
        <w:keepNext/>
        <w:pBdr>
          <w:left w:val="single" w:sz="18" w:space="6" w:color="DC2626"/>
        </w:pBdr>
        <w:spacing w:before="100" w:after="20"/>
        <w:ind w:left="173"/>
      </w:pPr>
      <w:r>
        <w:rPr>
          <w:b/>
          <w:color w:val="B91C1C"/>
          <w:sz w:val="21"/>
        </w:rPr>
        <w:t>Putnam v. Shoaf (Tenn. App. 1981)</w:t>
      </w:r>
      <w:r>
        <w:rPr>
          <w:color w:val="B91C1C"/>
          <w:sz w:val="15"/>
        </w:rPr>
        <w:t xml:space="preserve">  </w:t>
      </w:r>
      <w:r>
        <w:rPr>
          <w:b/>
          <w:color w:val="FFFFFF"/>
          <w:sz w:val="15"/>
          <w:shd w:val="clear" w:color="auto" w:fill="DC2626"/>
        </w:rPr>
        <w:t> MAIN CASE · CLASS 7 </w:t>
      </w:r>
    </w:p>
    <w:p w14:paraId="4EB3FD16" w14:textId="77777777" w:rsidR="00B844AC" w:rsidRDefault="00F62A06">
      <w:pPr>
        <w:keepNext/>
        <w:pBdr>
          <w:left w:val="single" w:sz="18" w:space="6" w:color="DC2626"/>
        </w:pBdr>
        <w:shd w:val="clear" w:color="auto" w:fill="EAF2FF"/>
        <w:spacing w:after="30"/>
        <w:ind w:left="173"/>
      </w:pPr>
      <w:r>
        <w:rPr>
          <w:b/>
          <w:color w:val="1D4ED8"/>
        </w:rPr>
        <w:t xml:space="preserve">Facts:  </w:t>
      </w:r>
      <w:r>
        <w:t>To leave a money-losing gin partnership, Mrs. Putnam paid in cash and conveyed her interest to buyers who took over the debts. Later, a bookkeeper's embezzlement was discovered and the partnership recovered $68,000 from banks; she claimed a share.</w:t>
      </w:r>
    </w:p>
    <w:p w14:paraId="6A0119D8" w14:textId="77777777" w:rsidR="00B844AC" w:rsidRDefault="00F62A06">
      <w:pPr>
        <w:keepNext/>
        <w:pBdr>
          <w:left w:val="single" w:sz="18" w:space="6" w:color="DC2626"/>
        </w:pBdr>
        <w:shd w:val="clear" w:color="auto" w:fill="E7F8EE"/>
        <w:spacing w:after="30"/>
        <w:ind w:left="173"/>
      </w:pPr>
      <w:r>
        <w:rPr>
          <w:b/>
          <w:color w:val="15803D"/>
        </w:rPr>
        <w:t xml:space="preserve">Held:  </w:t>
      </w:r>
      <w:r>
        <w:t>She gets nothing. A partner owns an interest in the partnership, not specific assets; the claims belonged to the partnership, and she sold her whole interest.</w:t>
      </w:r>
    </w:p>
    <w:p w14:paraId="4749600A" w14:textId="77777777" w:rsidR="00B844AC" w:rsidRDefault="00F62A06">
      <w:pPr>
        <w:pBdr>
          <w:left w:val="single" w:sz="18" w:space="6" w:color="DC2626"/>
        </w:pBdr>
        <w:shd w:val="clear" w:color="auto" w:fill="FEF6C2"/>
        <w:spacing w:after="80"/>
        <w:ind w:left="173"/>
      </w:pPr>
      <w:r>
        <w:rPr>
          <w:b/>
          <w:color w:val="8A6100"/>
        </w:rPr>
        <w:t xml:space="preserve">Why it matters:  </w:t>
      </w:r>
      <w:r>
        <w:t>Selling your partnership interest sells everything, including unknown claims.</w:t>
      </w:r>
    </w:p>
    <w:p w14:paraId="64F6410A" w14:textId="77777777" w:rsidR="00B844AC" w:rsidRDefault="00F62A06">
      <w:pPr>
        <w:pStyle w:val="Heading3"/>
      </w:pPr>
      <w:r>
        <w:rPr>
          <w:b w:val="0"/>
        </w:rPr>
        <w:t>Distribution on liquidation</w:t>
      </w:r>
    </w:p>
    <w:p w14:paraId="5629FB91" w14:textId="77777777" w:rsidR="00B844AC" w:rsidRDefault="00F62A06">
      <w:pPr>
        <w:pStyle w:val="ListBullet"/>
      </w:pPr>
      <w:r>
        <w:rPr>
          <w:b/>
        </w:rPr>
        <w:t>UPA § 40(b):</w:t>
      </w:r>
      <w:r>
        <w:t xml:space="preserve"> </w:t>
      </w:r>
      <w:r>
        <w:rPr>
          <w:color w:val="B91C1C"/>
          <w:shd w:val="clear" w:color="auto" w:fill="FDE2E2"/>
        </w:rPr>
        <w:t xml:space="preserve">(1) outside creditors; </w:t>
      </w:r>
      <w:r>
        <w:rPr>
          <w:color w:val="C2410C"/>
          <w:shd w:val="clear" w:color="auto" w:fill="FFE7D1"/>
        </w:rPr>
        <w:t xml:space="preserve">(2) partners' loans/advances; </w:t>
      </w:r>
      <w:r>
        <w:rPr>
          <w:color w:val="854D0E"/>
          <w:shd w:val="clear" w:color="auto" w:fill="FDF1A8"/>
        </w:rPr>
        <w:t xml:space="preserve">(3) partners' capital; </w:t>
      </w:r>
      <w:r>
        <w:rPr>
          <w:color w:val="15803D"/>
          <w:shd w:val="clear" w:color="auto" w:fill="D7F5E1"/>
        </w:rPr>
        <w:t xml:space="preserve">(4) partners' profits. § 40(d): partners contribute to cover shortfalls per § 18(a) (loss shares).</w:t>
      </w:r>
    </w:p>
    <w:p w14:paraId="23A4C8D6" w14:textId="77777777" w:rsidR="00B844AC" w:rsidRDefault="00F62A06">
      <w:pPr>
        <w:pStyle w:val="ListBullet"/>
      </w:pPr>
      <w:r>
        <w:rPr>
          <w:b/>
        </w:rPr>
        <w:t>RUPA § 806:</w:t>
      </w:r>
      <w:r>
        <w:t xml:space="preserve"> creditors </w:t>
      </w:r>
      <w:r>
        <w:rPr>
          <w:b/>
        </w:rPr>
        <w:t>including partner-creditors</w:t>
      </w:r>
      <w:r>
        <w:t xml:space="preserve"> paid together; then unreturned contributions; then remaining surplus per distribution shares; partners contribute for shortfalls in proportion to their shares (not for LLP-era debts).</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F8DE1BF" w14:textId="77777777">
        <w:trPr>
          <w:cantSplit/>
          <w:jc w:val="center"/>
        </w:trPr>
        <w:tc>
          <w:tcPr>
            <w:tcW w:w="10080" w:type="dxa"/>
            <w:tcBorders>
              <w:top w:val="nil"/>
              <w:left w:val="single" w:sz="30" w:space="0" w:color="DB2777"/>
              <w:bottom w:val="nil"/>
              <w:right w:val="nil"/>
            </w:tcBorders>
            <w:shd w:val="clear" w:color="auto" w:fill="FDEFF6"/>
          </w:tcPr>
          <w:p w14:paraId="03B98772" w14:textId="77777777" w:rsidR="00B844AC" w:rsidRDefault="00F62A06">
            <w:pPr>
              <w:spacing w:after="0"/>
            </w:pPr>
            <w:r>
              <w:rPr>
                <w:b/>
                <w:color w:val="9D174D"/>
                <w:sz w:val="17"/>
              </w:rPr>
              <w:t xml:space="preserve">TIP  </w:t>
            </w:r>
            <w:r>
              <w:t>Worked example (In re Fulton problem) — the partnership's only asset sells for $4,000; it owes an outside creditor $1,000; Carroll contributed the $4,600 trailer as capital; Fulton contributed only labor. Pay the creditor $1,000, then return $3,000 of Carroll's capital; nothing is left for profits, and Carroll bears the $1,600 capital shortfall (shared with Fulton per loss-sharing rules unless Kovacik applies). Carroll's personal creditors reach only his distribution, not the trailer.</w:t>
            </w:r>
          </w:p>
        </w:tc>
      </w:tr>
    </w:tbl>
    <w:p w14:paraId="011A6B94" w14:textId="77777777" w:rsidR="00B844AC" w:rsidRDefault="00B844AC">
      <w:pPr>
        <w:spacing w:after="0" w:line="100" w:lineRule="exact"/>
      </w:pPr>
    </w:p>
    <w:p w14:paraId="6D9DC4BC" w14:textId="77777777" w:rsidR="00B844AC" w:rsidRDefault="00F62A06">
      <w:pPr>
        <w:pStyle w:val="Heading2"/>
        <w:pBdr>
          <w:bottom w:val="single" w:sz="8" w:space="2" w:color="C55A11"/>
        </w:pBdr>
      </w:pPr>
      <w:bookmarkStart w:id="9" w:name="_Toc243216106"/>
      <w:r>
        <w:rPr>
          <w:b w:val="0"/>
        </w:rPr>
        <w:t>8. Management and Authority</w:t>
      </w:r>
      <w:bookmarkEnd w:id="9"/>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5A612088" w14:textId="77777777">
        <w:trPr>
          <w:cantSplit/>
          <w:jc w:val="center"/>
        </w:trPr>
        <w:tc>
          <w:tcPr>
            <w:tcW w:w="10080" w:type="dxa"/>
            <w:tcBorders>
              <w:top w:val="nil"/>
              <w:left w:val="single" w:sz="30" w:space="0" w:color="7C3AED"/>
              <w:bottom w:val="nil"/>
              <w:right w:val="nil"/>
            </w:tcBorders>
            <w:shd w:val="clear" w:color="auto" w:fill="F3EEFF"/>
          </w:tcPr>
          <w:p w14:paraId="58915470" w14:textId="77777777" w:rsidR="00B844AC" w:rsidRDefault="00F62A06">
            <w:pPr>
              <w:spacing w:after="0"/>
            </w:pPr>
            <w:r>
              <w:rPr>
                <w:b/>
                <w:color w:val="6D28D9"/>
                <w:sz w:val="17"/>
              </w:rPr>
              <w:t xml:space="preserve">RULE  </w:t>
            </w:r>
            <w:r>
              <w:t>Equality is the default. Each partner has equal management rights (RUPA § 401(h)). Ordinary-course matters → majority; acts outside the ordinary course and amendments to the partnership agreement → unanimous (§ 401(k); UPA § 18(h), adding that acts contravening the agreement need everyone's consent). Equality applies regardless of capital contributed or work done.</w:t>
            </w:r>
          </w:p>
        </w:tc>
      </w:tr>
    </w:tbl>
    <w:p w14:paraId="5B29E50F" w14:textId="77777777" w:rsidR="00B844AC" w:rsidRDefault="00B844AC">
      <w:pPr>
        <w:spacing w:after="0" w:line="10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0D986405" w14:textId="77777777">
        <w:trPr>
          <w:cantSplit/>
          <w:jc w:val="center"/>
        </w:trPr>
        <w:tc>
          <w:tcPr>
            <w:tcW w:w="10080" w:type="dxa"/>
            <w:tcBorders>
              <w:top w:val="nil"/>
              <w:left w:val="single" w:sz="30" w:space="0" w:color="7C3AED"/>
              <w:bottom w:val="nil"/>
              <w:right w:val="nil"/>
            </w:tcBorders>
            <w:shd w:val="clear" w:color="auto" w:fill="F3EEFF"/>
          </w:tcPr>
          <w:p w14:paraId="7145609D" w14:textId="77777777" w:rsidR="00B844AC" w:rsidRDefault="00F62A06">
            <w:pPr>
              <w:spacing w:after="0"/>
            </w:pPr>
            <w:r>
              <w:rPr>
                <w:b/>
                <w:color w:val="6D28D9"/>
                <w:sz w:val="17"/>
              </w:rPr>
              <w:lastRenderedPageBreak/>
              <w:t xml:space="preserve">RULE  </w:t>
            </w:r>
            <w:r>
              <w:t>Authority to bind (RUPA § 301): each partner is an agent of the partnership; an act apparently carrying on in the ordinary course the partnership's business (or business of its kind) binds the partnership unless the partner lacked authority AND the third party knew or had notice. Acts outside the ordinary course bind only if authorized by all other partners.</w:t>
            </w:r>
          </w:p>
        </w:tc>
      </w:tr>
    </w:tbl>
    <w:p w14:paraId="2A41C665" w14:textId="77777777" w:rsidR="00B844AC" w:rsidRDefault="00B844AC">
      <w:pPr>
        <w:spacing w:after="0" w:line="100" w:lineRule="exact"/>
      </w:pPr>
    </w:p>
    <w:p w14:paraId="3864DB78" w14:textId="77777777" w:rsidR="00B844AC" w:rsidRDefault="00F62A06">
      <w:pPr>
        <w:pStyle w:val="ListBullet"/>
      </w:pPr>
      <w:r>
        <w:rPr>
          <w:b/>
        </w:rPr>
        <w:t>Statement of partnership authority (§ 303):</w:t>
      </w:r>
      <w:r>
        <w:t xml:space="preserve"> filed grants are conclusive for those who give value in reliance; filed limits are </w:t>
      </w:r>
      <w:r>
        <w:rPr>
          <w:b/>
        </w:rPr>
        <w:t>not</w:t>
      </w:r>
      <w:r>
        <w:t xml:space="preserve"> notice to third parties (except recorded limits on transferring real property). Statements of dissociation/dissolution give constructive notice after 90 days (§ 103(d)).</w:t>
      </w:r>
    </w:p>
    <w:p w14:paraId="10446F13" w14:textId="77777777" w:rsidR="00B844AC" w:rsidRDefault="00F62A06">
      <w:pPr>
        <w:pStyle w:val="ListBullet"/>
      </w:pPr>
      <w:r>
        <w:rPr>
          <w:b/>
        </w:rPr>
        <w:t>No duty to inquire:</w:t>
      </w:r>
      <w:r>
        <w:t xml:space="preserve"> absent actual knowledge or notice, third parties needn't read the partnership agreement (RNR).</w:t>
      </w:r>
    </w:p>
    <w:p w14:paraId="2C65F5A2" w14:textId="77777777" w:rsidR="00B844AC" w:rsidRDefault="00F62A06">
      <w:pPr>
        <w:pStyle w:val="ListBullet"/>
      </w:pPr>
      <w:r>
        <w:rPr>
          <w:b/>
        </w:rPr>
        <w:t>Breach internally:</w:t>
      </w:r>
      <w:r>
        <w:t xml:space="preserve"> partnership is bound to T, but the partner who exceeded actual authority must indemnify; partnership may sue a partner for breach of the agreement or duty (§ 410(a)); partner may sue the partnership/others, with or without an accounting (§ 410(b)).</w:t>
      </w:r>
    </w:p>
    <w:p w14:paraId="5E8D1780" w14:textId="77777777" w:rsidR="00B844AC" w:rsidRDefault="00F62A06">
      <w:pPr>
        <w:pStyle w:val="ListBullet"/>
      </w:pPr>
      <w:r>
        <w:rPr>
          <w:b/>
        </w:rPr>
        <w:t>Torts:</w:t>
      </w:r>
      <w:r>
        <w:t xml:space="preserve"> partnership liable for partner's wrongful acts in the ordinary course or with authority (§ 305); partnership must </w:t>
      </w:r>
      <w:r>
        <w:rPr>
          <w:b/>
        </w:rPr>
        <w:t>indemnify</w:t>
      </w:r>
      <w:r>
        <w:t xml:space="preserve"> a partner for ordinary-course liabilities (§ 401(c)).</w:t>
      </w:r>
    </w:p>
    <w:p w14:paraId="65CB668F" w14:textId="77777777" w:rsidR="00B844AC" w:rsidRDefault="00F62A06">
      <w:pPr>
        <w:pStyle w:val="ListBullet"/>
      </w:pPr>
      <w:r>
        <w:rPr>
          <w:b/>
        </w:rPr>
        <w:t>Deadlock:</w:t>
      </w:r>
      <w:r>
        <w:t xml:space="preserve"> in a two-partner firm, each can make ordinary decisions and bind the firm; undoing them requires unanimity; a good-faith dissenter can't veto.</w:t>
      </w:r>
    </w:p>
    <w:p w14:paraId="472A6CB7" w14:textId="77777777" w:rsidR="00B844AC" w:rsidRDefault="00F62A06">
      <w:pPr>
        <w:keepNext/>
        <w:pBdr>
          <w:left w:val="single" w:sz="18" w:space="6" w:color="DC2626"/>
        </w:pBdr>
        <w:spacing w:before="100" w:after="20"/>
        <w:ind w:left="173"/>
      </w:pPr>
      <w:r>
        <w:rPr>
          <w:b/>
          <w:color w:val="B91C1C"/>
          <w:sz w:val="21"/>
        </w:rPr>
        <w:t>National Biscuit Co. v. Stroud (N.C. 1959)</w:t>
      </w:r>
      <w:r>
        <w:rPr>
          <w:color w:val="B91C1C"/>
          <w:sz w:val="15"/>
        </w:rPr>
        <w:t xml:space="preserve">  </w:t>
      </w:r>
      <w:r>
        <w:rPr>
          <w:b/>
          <w:color w:val="FFFFFF"/>
          <w:sz w:val="15"/>
          <w:shd w:val="clear" w:color="auto" w:fill="DC2626"/>
        </w:rPr>
        <w:t> MAIN CASE · CLASS 7 </w:t>
      </w:r>
    </w:p>
    <w:p w14:paraId="4199907B" w14:textId="77777777" w:rsidR="00B844AC" w:rsidRDefault="00F62A06">
      <w:pPr>
        <w:keepNext/>
        <w:pBdr>
          <w:left w:val="single" w:sz="18" w:space="6" w:color="DC2626"/>
        </w:pBdr>
        <w:shd w:val="clear" w:color="auto" w:fill="EAF2FF"/>
        <w:spacing w:after="30"/>
        <w:ind w:left="173"/>
      </w:pPr>
      <w:r>
        <w:rPr>
          <w:b/>
          <w:color w:val="1D4ED8"/>
        </w:rPr>
        <w:t xml:space="preserve">Facts:  </w:t>
      </w:r>
      <w:r>
        <w:t>In a two-man grocery partnership, Stroud told Nabisco he wouldn't be responsible for more bread. His partner Freeman ordered more anyway.</w:t>
      </w:r>
    </w:p>
    <w:p w14:paraId="3B489D05" w14:textId="77777777" w:rsidR="00B844AC" w:rsidRDefault="00F62A06">
      <w:pPr>
        <w:keepNext/>
        <w:pBdr>
          <w:left w:val="single" w:sz="18" w:space="6" w:color="DC2626"/>
        </w:pBdr>
        <w:shd w:val="clear" w:color="auto" w:fill="E7F8EE"/>
        <w:spacing w:after="30"/>
        <w:ind w:left="173"/>
      </w:pPr>
      <w:r>
        <w:rPr>
          <w:b/>
          <w:color w:val="15803D"/>
        </w:rPr>
        <w:t xml:space="preserve">Held:  </w:t>
      </w:r>
      <w:r>
        <w:t>The partnership and Stroud are bound. Buying bread was ordinary business, and with two equal partners Stroud "was not, and could not be, a majority," so he couldn't restrict Freeman.</w:t>
      </w:r>
    </w:p>
    <w:p w14:paraId="6BBC9697" w14:textId="77777777" w:rsidR="00B844AC" w:rsidRDefault="00F62A06">
      <w:pPr>
        <w:pBdr>
          <w:left w:val="single" w:sz="18" w:space="6" w:color="DC2626"/>
        </w:pBdr>
        <w:shd w:val="clear" w:color="auto" w:fill="FEF6C2"/>
        <w:spacing w:after="80"/>
        <w:ind w:left="173"/>
      </w:pPr>
      <w:r>
        <w:rPr>
          <w:b/>
          <w:color w:val="8A6100"/>
        </w:rPr>
        <w:t xml:space="preserve">Why it matters:  </w:t>
      </w:r>
      <w:r>
        <w:t>Partners' apparent authority binds the firm to outsiders on ordinary matters, even over a co-partner's objection.</w:t>
      </w:r>
    </w:p>
    <w:p w14:paraId="3CEA0D86" w14:textId="77777777" w:rsidR="00B844AC" w:rsidRDefault="00F62A06">
      <w:pPr>
        <w:keepNext/>
        <w:pBdr>
          <w:left w:val="single" w:sz="18" w:space="6" w:color="DC2626"/>
        </w:pBdr>
        <w:spacing w:before="100" w:after="20"/>
        <w:ind w:left="173"/>
      </w:pPr>
      <w:r>
        <w:rPr>
          <w:b/>
          <w:color w:val="B91C1C"/>
          <w:sz w:val="21"/>
        </w:rPr>
        <w:t>Summers v. Dooley (Idaho 1971)</w:t>
      </w:r>
      <w:r>
        <w:rPr>
          <w:color w:val="B91C1C"/>
          <w:sz w:val="15"/>
        </w:rPr>
        <w:t xml:space="preserve">  </w:t>
      </w:r>
      <w:r>
        <w:rPr>
          <w:b/>
          <w:color w:val="FFFFFF"/>
          <w:sz w:val="15"/>
          <w:shd w:val="clear" w:color="auto" w:fill="DC2626"/>
        </w:rPr>
        <w:t> MAIN CASE · CLASS 7 </w:t>
      </w:r>
    </w:p>
    <w:p w14:paraId="7A15B274" w14:textId="77777777" w:rsidR="00B844AC" w:rsidRDefault="00F62A06">
      <w:pPr>
        <w:keepNext/>
        <w:pBdr>
          <w:left w:val="single" w:sz="18" w:space="6" w:color="DC2626"/>
        </w:pBdr>
        <w:shd w:val="clear" w:color="auto" w:fill="EAF2FF"/>
        <w:spacing w:after="30"/>
        <w:ind w:left="173"/>
      </w:pPr>
      <w:r>
        <w:rPr>
          <w:b/>
          <w:color w:val="1D4ED8"/>
        </w:rPr>
        <w:t xml:space="preserve">Facts:  </w:t>
      </w:r>
      <w:r>
        <w:t>In a two-man trash-collection partnership, Summers hired a third worker over Dooley's objection, paid him personally, and sued for reimbursement.</w:t>
      </w:r>
    </w:p>
    <w:p w14:paraId="2D6C181C" w14:textId="77777777" w:rsidR="00B844AC" w:rsidRDefault="00F62A06">
      <w:pPr>
        <w:keepNext/>
        <w:pBdr>
          <w:left w:val="single" w:sz="18" w:space="6" w:color="DC2626"/>
        </w:pBdr>
        <w:shd w:val="clear" w:color="auto" w:fill="E7F8EE"/>
        <w:spacing w:after="30"/>
        <w:ind w:left="173"/>
      </w:pPr>
      <w:r>
        <w:rPr>
          <w:b/>
          <w:color w:val="15803D"/>
        </w:rPr>
        <w:t xml:space="preserve">Held:  </w:t>
      </w:r>
      <w:r>
        <w:t>No reimbursement. Business differences must be decided by a majority; one of two partners isn't a majority, and Dooley never agreed.</w:t>
      </w:r>
    </w:p>
    <w:p w14:paraId="26E5A957" w14:textId="77777777" w:rsidR="00B844AC" w:rsidRDefault="00F62A06">
      <w:pPr>
        <w:pBdr>
          <w:left w:val="single" w:sz="18" w:space="6" w:color="DC2626"/>
        </w:pBdr>
        <w:shd w:val="clear" w:color="auto" w:fill="FEF6C2"/>
        <w:spacing w:after="80"/>
        <w:ind w:left="173"/>
      </w:pPr>
      <w:r>
        <w:rPr>
          <w:b/>
          <w:color w:val="8A6100"/>
        </w:rPr>
        <w:t xml:space="preserve">Why it matters:  </w:t>
      </w:r>
      <w:r>
        <w:t>The internal counterpart to National Biscuit — between partners, a dissenting half can block an expense.</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5427"/>
        <w:gridCol w:w="4653"/>
      </w:tblGrid>
      <w:tr w:rsidR="00B844AC" w14:paraId="3625DF7A" w14:textId="77777777">
        <w:trPr>
          <w:cantSplit/>
          <w:tblHeader/>
          <w:jc w:val="center"/>
        </w:trPr>
        <w:tc>
          <w:tcPr>
            <w:tcW w:w="5427" w:type="dxa"/>
            <w:tcBorders>
              <w:top w:val="single" w:sz="4" w:space="0" w:color="BFC9D9"/>
              <w:left w:val="single" w:sz="4" w:space="0" w:color="BFC9D9"/>
              <w:bottom w:val="single" w:sz="4" w:space="0" w:color="BFC9D9"/>
              <w:right w:val="single" w:sz="4" w:space="0" w:color="BFC9D9"/>
            </w:tcBorders>
            <w:shd w:val="clear" w:color="auto" w:fill="1F3864"/>
          </w:tcPr>
          <w:p w14:paraId="539E26CD" w14:textId="77777777" w:rsidR="00B844AC" w:rsidRDefault="00F62A06">
            <w:pPr>
              <w:spacing w:after="0" w:line="240" w:lineRule="auto"/>
            </w:pPr>
            <w:r>
              <w:rPr>
                <w:b/>
                <w:color w:val="FFFFFF"/>
                <w:sz w:val="17"/>
              </w:rPr>
              <w:t>National Biscuit</w:t>
            </w:r>
          </w:p>
        </w:tc>
        <w:tc>
          <w:tcPr>
            <w:tcW w:w="4653" w:type="dxa"/>
            <w:tcBorders>
              <w:top w:val="single" w:sz="4" w:space="0" w:color="BFC9D9"/>
              <w:left w:val="single" w:sz="4" w:space="0" w:color="BFC9D9"/>
              <w:bottom w:val="single" w:sz="4" w:space="0" w:color="BFC9D9"/>
              <w:right w:val="single" w:sz="4" w:space="0" w:color="BFC9D9"/>
            </w:tcBorders>
            <w:shd w:val="clear" w:color="auto" w:fill="1F3864"/>
          </w:tcPr>
          <w:p w14:paraId="75436926" w14:textId="77777777" w:rsidR="00B844AC" w:rsidRDefault="00F62A06">
            <w:pPr>
              <w:spacing w:after="0" w:line="240" w:lineRule="auto"/>
            </w:pPr>
            <w:r>
              <w:rPr>
                <w:b/>
                <w:color w:val="FFFFFF"/>
                <w:sz w:val="17"/>
              </w:rPr>
              <w:t>Summers v. Dooley</w:t>
            </w:r>
          </w:p>
        </w:tc>
      </w:tr>
      <w:tr w:rsidR="00B844AC" w14:paraId="3839658D" w14:textId="77777777">
        <w:trPr>
          <w:cantSplit/>
          <w:jc w:val="center"/>
        </w:trPr>
        <w:tc>
          <w:tcPr>
            <w:tcW w:w="5427" w:type="dxa"/>
            <w:tcBorders>
              <w:top w:val="single" w:sz="4" w:space="0" w:color="BFC9D9"/>
              <w:left w:val="single" w:sz="24" w:space="0" w:color="EF4444"/>
              <w:bottom w:val="single" w:sz="4" w:space="0" w:color="BFC9D9"/>
              <w:right w:val="single" w:sz="4" w:space="0" w:color="BFC9D9"/>
            </w:tcBorders>
            <w:shd w:val="clear" w:color="auto" w:fill="FDEDED"/>
          </w:tcPr>
          <w:p w14:paraId="65FB0AC8" w14:textId="77777777" w:rsidR="00B844AC" w:rsidRDefault="00F62A06">
            <w:pPr>
              <w:spacing w:after="0" w:line="240" w:lineRule="auto"/>
            </w:pPr>
            <w:r>
              <w:rPr>
                <w:sz w:val="17"/>
              </w:rPr>
              <w:t>Ordinary differences "may be decided by a majority"</w:t>
            </w:r>
          </w:p>
        </w:tc>
        <w:tc>
          <w:tcPr>
            <w:tcW w:w="4653" w:type="dxa"/>
            <w:tcBorders>
              <w:top w:val="single" w:sz="4" w:space="0" w:color="BFC9D9"/>
              <w:left w:val="single" w:sz="4" w:space="0" w:color="BFC9D9"/>
              <w:bottom w:val="single" w:sz="4" w:space="0" w:color="BFC9D9"/>
              <w:right w:val="single" w:sz="4" w:space="0" w:color="BFC9D9"/>
            </w:tcBorders>
            <w:shd w:val="clear" w:color="auto" w:fill="FDEDED"/>
          </w:tcPr>
          <w:p w14:paraId="6AD99516" w14:textId="77777777" w:rsidR="00B844AC" w:rsidRDefault="00F62A06">
            <w:pPr>
              <w:spacing w:after="0" w:line="240" w:lineRule="auto"/>
            </w:pPr>
            <w:r>
              <w:rPr>
                <w:sz w:val="17"/>
              </w:rPr>
              <w:t>Differences "must be decided by a majority" absent other agreement</w:t>
            </w:r>
          </w:p>
        </w:tc>
      </w:tr>
      <w:tr w:rsidR="00B844AC" w14:paraId="42AFE2C9" w14:textId="77777777">
        <w:trPr>
          <w:cantSplit/>
          <w:jc w:val="center"/>
        </w:trPr>
        <w:tc>
          <w:tcPr>
            <w:tcW w:w="5427" w:type="dxa"/>
            <w:tcBorders>
              <w:top w:val="single" w:sz="4" w:space="0" w:color="BFC9D9"/>
              <w:left w:val="single" w:sz="24" w:space="0" w:color="F97316"/>
              <w:bottom w:val="single" w:sz="4" w:space="0" w:color="BFC9D9"/>
              <w:right w:val="single" w:sz="4" w:space="0" w:color="BFC9D9"/>
            </w:tcBorders>
            <w:shd w:val="clear" w:color="auto" w:fill="FFF1E3"/>
          </w:tcPr>
          <w:p w14:paraId="0CF9B61B" w14:textId="77777777" w:rsidR="00B844AC" w:rsidRDefault="00F62A06">
            <w:pPr>
              <w:spacing w:after="0" w:line="240" w:lineRule="auto"/>
            </w:pPr>
            <w:r>
              <w:rPr>
                <w:sz w:val="17"/>
              </w:rPr>
              <w:t xml:space="preserve">Contract </w:t>
            </w:r>
            <w:r>
              <w:rPr>
                <w:b/>
                <w:sz w:val="17"/>
              </w:rPr>
              <w:t>binding</w:t>
            </w:r>
            <w:r>
              <w:rPr>
                <w:sz w:val="17"/>
              </w:rPr>
              <w:t xml:space="preserve"> — Stroud wasn't a majority, so he couldn't restrict Freeman</w:t>
            </w:r>
          </w:p>
        </w:tc>
        <w:tc>
          <w:tcPr>
            <w:tcW w:w="4653" w:type="dxa"/>
            <w:tcBorders>
              <w:top w:val="single" w:sz="4" w:space="0" w:color="BFC9D9"/>
              <w:left w:val="single" w:sz="4" w:space="0" w:color="BFC9D9"/>
              <w:bottom w:val="single" w:sz="4" w:space="0" w:color="BFC9D9"/>
              <w:right w:val="single" w:sz="4" w:space="0" w:color="BFC9D9"/>
            </w:tcBorders>
            <w:shd w:val="clear" w:color="auto" w:fill="FFF1E3"/>
          </w:tcPr>
          <w:p w14:paraId="62CBE227" w14:textId="77777777" w:rsidR="00B844AC" w:rsidRDefault="00F62A06">
            <w:pPr>
              <w:spacing w:after="0" w:line="240" w:lineRule="auto"/>
            </w:pPr>
            <w:r>
              <w:rPr>
                <w:sz w:val="17"/>
              </w:rPr>
              <w:t xml:space="preserve">Expense </w:t>
            </w:r>
            <w:r>
              <w:rPr>
                <w:b/>
                <w:sz w:val="17"/>
              </w:rPr>
              <w:t>not reimbursable</w:t>
            </w:r>
            <w:r>
              <w:rPr>
                <w:sz w:val="17"/>
              </w:rPr>
              <w:t xml:space="preserve"> — majority didn't consent to the hire</w:t>
            </w:r>
          </w:p>
        </w:tc>
      </w:tr>
    </w:tbl>
    <w:p w14:paraId="709C1315" w14:textId="77777777" w:rsidR="00B844AC" w:rsidRDefault="00B844AC">
      <w:pPr>
        <w:spacing w:after="0" w:line="120" w:lineRule="exact"/>
      </w:pP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2343055B" w14:textId="77777777">
        <w:trPr>
          <w:cantSplit/>
          <w:jc w:val="center"/>
        </w:trPr>
        <w:tc>
          <w:tcPr>
            <w:tcW w:w="10080" w:type="dxa"/>
            <w:tcBorders>
              <w:top w:val="nil"/>
              <w:left w:val="single" w:sz="30" w:space="0" w:color="DB2777"/>
              <w:bottom w:val="nil"/>
              <w:right w:val="nil"/>
            </w:tcBorders>
            <w:shd w:val="clear" w:color="auto" w:fill="FDEFF6"/>
          </w:tcPr>
          <w:p w14:paraId="2E94F335" w14:textId="77777777" w:rsidR="00B844AC" w:rsidRDefault="00F62A06">
            <w:pPr>
              <w:spacing w:after="0"/>
            </w:pPr>
            <w:r>
              <w:rPr>
                <w:b/>
                <w:color w:val="9D174D"/>
                <w:sz w:val="17"/>
              </w:rPr>
              <w:t xml:space="preserve">TIP  </w:t>
            </w:r>
            <w:r>
              <w:t>Reconcile — as between partners and third parties, National Biscuit controls (apparent authority binds the firm); as among the partners, Summers controls. Covalt v. High: when partners are evenly divided, the power to act on the disputed matter is suspended internally, but not as to third parties. Always ask: ordinary course?</w:t>
            </w:r>
          </w:p>
        </w:tc>
      </w:tr>
    </w:tbl>
    <w:p w14:paraId="5D314A60" w14:textId="77777777" w:rsidR="00B844AC" w:rsidRDefault="00B844AC">
      <w:pPr>
        <w:spacing w:after="0" w:line="100" w:lineRule="exact"/>
      </w:pPr>
    </w:p>
    <w:p w14:paraId="46FF284E" w14:textId="77777777" w:rsidR="00B844AC" w:rsidRDefault="00F62A06">
      <w:pPr>
        <w:keepNext/>
        <w:pBdr>
          <w:left w:val="single" w:sz="18" w:space="6" w:color="DC2626"/>
        </w:pBdr>
        <w:spacing w:before="100" w:after="20"/>
        <w:ind w:left="173"/>
      </w:pPr>
      <w:r>
        <w:rPr>
          <w:b/>
          <w:color w:val="B91C1C"/>
          <w:sz w:val="21"/>
        </w:rPr>
        <w:t>Moren ex rel. Moren v. Jax Restaurant (Minn. App. 2004)</w:t>
      </w:r>
      <w:r>
        <w:rPr>
          <w:color w:val="B91C1C"/>
          <w:sz w:val="15"/>
        </w:rPr>
        <w:t xml:space="preserve">  </w:t>
      </w:r>
      <w:r>
        <w:rPr>
          <w:b/>
          <w:color w:val="FFFFFF"/>
          <w:sz w:val="15"/>
          <w:shd w:val="clear" w:color="auto" w:fill="DC2626"/>
        </w:rPr>
        <w:t> MAIN CASE · CLASS 7 </w:t>
      </w:r>
    </w:p>
    <w:p w14:paraId="45BA1399" w14:textId="77777777" w:rsidR="00B844AC" w:rsidRDefault="00F62A06">
      <w:pPr>
        <w:keepNext/>
        <w:pBdr>
          <w:left w:val="single" w:sz="18" w:space="6" w:color="DC2626"/>
        </w:pBdr>
        <w:shd w:val="clear" w:color="auto" w:fill="EAF2FF"/>
        <w:spacing w:after="30"/>
        <w:ind w:left="173"/>
      </w:pPr>
      <w:r>
        <w:rPr>
          <w:b/>
          <w:color w:val="1D4ED8"/>
        </w:rPr>
        <w:t xml:space="preserve">Facts:  </w:t>
      </w:r>
      <w:r>
        <w:t>A restaurant partner, helping in the kitchen after her shift, set her toddler on the counter; he was hurt in the dough press. The partnership was sued and sought indemnity from her.</w:t>
      </w:r>
    </w:p>
    <w:p w14:paraId="0E8EB791" w14:textId="77777777" w:rsidR="00B844AC" w:rsidRDefault="00F62A06">
      <w:pPr>
        <w:keepNext/>
        <w:pBdr>
          <w:left w:val="single" w:sz="18" w:space="6" w:color="DC2626"/>
        </w:pBdr>
        <w:shd w:val="clear" w:color="auto" w:fill="E7F8EE"/>
        <w:spacing w:after="30"/>
        <w:ind w:left="173"/>
      </w:pPr>
      <w:r>
        <w:rPr>
          <w:b/>
          <w:color w:val="15803D"/>
        </w:rPr>
        <w:t xml:space="preserve">Held:  </w:t>
      </w:r>
      <w:r>
        <w:t>The partnership is liable and can't get indemnity from her. Her conduct was in the ordinary course (even if partly personal), and the statute gives partners indemnity from the partnership, not the reverse.</w:t>
      </w:r>
    </w:p>
    <w:p w14:paraId="1424E722" w14:textId="77777777" w:rsidR="00B844AC" w:rsidRDefault="00F62A06">
      <w:pPr>
        <w:pBdr>
          <w:left w:val="single" w:sz="18" w:space="6" w:color="DC2626"/>
        </w:pBdr>
        <w:shd w:val="clear" w:color="auto" w:fill="FEF6C2"/>
        <w:spacing w:after="80"/>
        <w:ind w:left="173"/>
      </w:pPr>
      <w:r>
        <w:rPr>
          <w:b/>
          <w:color w:val="8A6100"/>
        </w:rPr>
        <w:t xml:space="preserve">Why it matters:  </w:t>
      </w:r>
      <w:r>
        <w:t>Partnership tort liability and indemnity under RUPA §§ 305, 401(c).</w:t>
      </w:r>
    </w:p>
    <w:p w14:paraId="66C3B254" w14:textId="77777777" w:rsidR="00B844AC" w:rsidRDefault="00F62A06">
      <w:pPr>
        <w:keepNext/>
        <w:pBdr>
          <w:left w:val="single" w:sz="18" w:space="6" w:color="DC2626"/>
        </w:pBdr>
        <w:spacing w:before="100" w:after="20"/>
        <w:ind w:left="173"/>
      </w:pPr>
      <w:r>
        <w:rPr>
          <w:b/>
          <w:color w:val="B91C1C"/>
          <w:sz w:val="21"/>
        </w:rPr>
        <w:lastRenderedPageBreak/>
        <w:t>RNR Investments Ltd. Partnership v. Peoples First Community Bank (Fla. App. 2002)</w:t>
      </w:r>
      <w:r>
        <w:rPr>
          <w:color w:val="B91C1C"/>
          <w:sz w:val="15"/>
        </w:rPr>
        <w:t xml:space="preserve">  </w:t>
      </w:r>
      <w:r>
        <w:rPr>
          <w:b/>
          <w:color w:val="FFFFFF"/>
          <w:sz w:val="15"/>
          <w:shd w:val="clear" w:color="auto" w:fill="DC2626"/>
        </w:rPr>
        <w:t> MAIN CASE · CLASS 7 </w:t>
      </w:r>
    </w:p>
    <w:p w14:paraId="7C9D3C72" w14:textId="77777777" w:rsidR="00B844AC" w:rsidRDefault="00F62A06">
      <w:pPr>
        <w:keepNext/>
        <w:pBdr>
          <w:left w:val="single" w:sz="18" w:space="6" w:color="DC2626"/>
        </w:pBdr>
        <w:shd w:val="clear" w:color="auto" w:fill="EAF2FF"/>
        <w:spacing w:after="30"/>
        <w:ind w:left="173"/>
      </w:pPr>
      <w:r>
        <w:rPr>
          <w:b/>
          <w:color w:val="1D4ED8"/>
        </w:rPr>
        <w:t xml:space="preserve">Facts:  </w:t>
      </w:r>
      <w:r>
        <w:t>A limited partnership's agreement capped what its general partner could borrow without the limited partners' consent. He borrowed $990,000 from a bank that didn't know of the cap; the partnership defaulted.</w:t>
      </w:r>
    </w:p>
    <w:p w14:paraId="3724CBE3" w14:textId="77777777" w:rsidR="00B844AC" w:rsidRDefault="00F62A06">
      <w:pPr>
        <w:keepNext/>
        <w:pBdr>
          <w:left w:val="single" w:sz="18" w:space="6" w:color="DC2626"/>
        </w:pBdr>
        <w:shd w:val="clear" w:color="auto" w:fill="E7F8EE"/>
        <w:spacing w:after="30"/>
        <w:ind w:left="173"/>
      </w:pPr>
      <w:r>
        <w:rPr>
          <w:b/>
          <w:color w:val="15803D"/>
        </w:rPr>
        <w:t xml:space="preserve">Held:  </w:t>
      </w:r>
      <w:r>
        <w:t>The partnership is bound. A partner's ordinary-course act binds the firm unless the third party knew or had notice of the lack of authority; banks needn't read partnership agreements.</w:t>
      </w:r>
    </w:p>
    <w:p w14:paraId="19AEA1A7" w14:textId="77777777" w:rsidR="00B844AC" w:rsidRDefault="00F62A06">
      <w:pPr>
        <w:pBdr>
          <w:left w:val="single" w:sz="18" w:space="6" w:color="DC2626"/>
        </w:pBdr>
        <w:shd w:val="clear" w:color="auto" w:fill="FEF6C2"/>
        <w:spacing w:after="80"/>
        <w:ind w:left="173"/>
      </w:pPr>
      <w:r>
        <w:rPr>
          <w:b/>
          <w:color w:val="8A6100"/>
        </w:rPr>
        <w:t xml:space="preserve">Why it matters:  </w:t>
      </w:r>
      <w:r>
        <w:t>Risk of a partner's overreach falls on the partnership; protect yourself by filing a statement of authority or notifying the lender.</w:t>
      </w:r>
    </w:p>
    <w:p w14:paraId="5B7C4381" w14:textId="77777777" w:rsidR="00B844AC" w:rsidRDefault="00F62A06">
      <w:pPr>
        <w:keepNext/>
        <w:pBdr>
          <w:left w:val="single" w:sz="18" w:space="6" w:color="DC2626"/>
        </w:pBdr>
        <w:spacing w:before="100" w:after="20"/>
        <w:ind w:left="173"/>
      </w:pPr>
      <w:r>
        <w:rPr>
          <w:b/>
          <w:color w:val="B91C1C"/>
          <w:sz w:val="21"/>
        </w:rPr>
        <w:t>Day v. Sidley &amp; Austin (D.D.C. 1975)</w:t>
      </w:r>
      <w:r>
        <w:rPr>
          <w:color w:val="B91C1C"/>
          <w:sz w:val="15"/>
        </w:rPr>
        <w:t xml:space="preserve">  </w:t>
      </w:r>
      <w:r>
        <w:rPr>
          <w:b/>
          <w:color w:val="FFFFFF"/>
          <w:sz w:val="15"/>
          <w:shd w:val="clear" w:color="auto" w:fill="DC2626"/>
        </w:rPr>
        <w:t> MAIN CASE · CLASSES 7–8 </w:t>
      </w:r>
    </w:p>
    <w:p w14:paraId="4936A2C6" w14:textId="77777777" w:rsidR="00B844AC" w:rsidRDefault="00F62A06">
      <w:pPr>
        <w:keepNext/>
        <w:pBdr>
          <w:left w:val="single" w:sz="18" w:space="6" w:color="DC2626"/>
        </w:pBdr>
        <w:shd w:val="clear" w:color="auto" w:fill="EAF2FF"/>
        <w:spacing w:after="30"/>
        <w:ind w:left="173"/>
      </w:pPr>
      <w:r>
        <w:rPr>
          <w:b/>
          <w:color w:val="1D4ED8"/>
        </w:rPr>
        <w:t xml:space="preserve">Facts:  </w:t>
      </w:r>
      <w:r>
        <w:t>A senior partner who chaired the firm's Washington office voted for a merger after being told no one would be worse off; afterward he lost sole chairmanship and the office moved. He resigned and sued.</w:t>
      </w:r>
    </w:p>
    <w:p w14:paraId="500F69E2" w14:textId="77777777" w:rsidR="00B844AC" w:rsidRDefault="00F62A06">
      <w:pPr>
        <w:keepNext/>
        <w:pBdr>
          <w:left w:val="single" w:sz="18" w:space="6" w:color="DC2626"/>
        </w:pBdr>
        <w:shd w:val="clear" w:color="auto" w:fill="E7F8EE"/>
        <w:spacing w:after="30"/>
        <w:ind w:left="173"/>
      </w:pPr>
      <w:r>
        <w:rPr>
          <w:b/>
          <w:color w:val="15803D"/>
        </w:rPr>
        <w:t xml:space="preserve">Held:  </w:t>
      </w:r>
      <w:r>
        <w:t>No claim. The partnership agreement gave the executive committee control of firm policy and let a majority approve the merger; fiduciary duty doesn't require disclosing internal changes that bring no profit to the others or loss to the firm.</w:t>
      </w:r>
    </w:p>
    <w:p w14:paraId="7A5DE8C7" w14:textId="77777777" w:rsidR="00B844AC" w:rsidRDefault="00F62A06">
      <w:pPr>
        <w:pBdr>
          <w:left w:val="single" w:sz="18" w:space="6" w:color="DC2626"/>
        </w:pBdr>
        <w:shd w:val="clear" w:color="auto" w:fill="FEF6C2"/>
        <w:spacing w:after="80"/>
        <w:ind w:left="173"/>
      </w:pPr>
      <w:r>
        <w:rPr>
          <w:b/>
          <w:color w:val="8A6100"/>
        </w:rPr>
        <w:t xml:space="preserve">Why it matters:  </w:t>
      </w:r>
      <w:r>
        <w:t>Partners can contract around statutory defaults (unanimity, equal management); "bruised ego" isn't a claim.</w:t>
      </w:r>
    </w:p>
    <w:p w14:paraId="7FB806C9" w14:textId="77777777" w:rsidR="00B844AC" w:rsidRDefault="00F62A06">
      <w:pPr>
        <w:pStyle w:val="Heading2"/>
        <w:pBdr>
          <w:bottom w:val="single" w:sz="8" w:space="2" w:color="C55A11"/>
        </w:pBdr>
      </w:pPr>
      <w:bookmarkStart w:id="10" w:name="_Toc243216107"/>
      <w:r>
        <w:rPr>
          <w:b w:val="0"/>
        </w:rPr>
        <w:t>9. Partners' Fiduciary Duties</w:t>
      </w:r>
      <w:bookmarkEnd w:id="10"/>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E5B546A" w14:textId="77777777">
        <w:trPr>
          <w:cantSplit/>
          <w:jc w:val="center"/>
        </w:trPr>
        <w:tc>
          <w:tcPr>
            <w:tcW w:w="10080" w:type="dxa"/>
            <w:tcBorders>
              <w:top w:val="nil"/>
              <w:left w:val="single" w:sz="30" w:space="0" w:color="7C3AED"/>
              <w:bottom w:val="nil"/>
              <w:right w:val="nil"/>
            </w:tcBorders>
            <w:shd w:val="clear" w:color="auto" w:fill="F3EEFF"/>
          </w:tcPr>
          <w:p w14:paraId="51E94DD2" w14:textId="77777777" w:rsidR="00B844AC" w:rsidRDefault="00F62A06">
            <w:pPr>
              <w:spacing w:after="0"/>
            </w:pPr>
            <w:r>
              <w:rPr>
                <w:b/>
                <w:color w:val="6D28D9"/>
                <w:sz w:val="17"/>
              </w:rPr>
              <w:t xml:space="preserve">RULE  </w:t>
            </w:r>
            <w:r>
              <w:t xml:space="preserve">RUPA § 409 — Loyalty includes: </w:t>
            </w:r>
            <w:r>
              <w:rPr>
                <w:color w:val="B91C1C"/>
                <w:shd w:val="clear" w:color="auto" w:fill="FDE2E2"/>
              </w:rPr>
              <w:t xml:space="preserve">(1) account for and hold as trustee any property, profit, or benefit derived in the conduct or winding up of the business, from use of partnership property, or from appropriating a partnership opportunity; </w:t>
            </w:r>
            <w:r>
              <w:rPr>
                <w:color w:val="C2410C"/>
                <w:shd w:val="clear" w:color="auto" w:fill="FFE7D1"/>
              </w:rPr>
              <w:t xml:space="preserve">(2) refrain from dealing with the partnership as (or for) an adverse party; </w:t>
            </w:r>
            <w:r>
              <w:rPr>
                <w:color w:val="854D0E"/>
                <w:shd w:val="clear" w:color="auto" w:fill="FDF1A8"/>
              </w:rPr>
              <w:t xml:space="preserve">(3) refrain from competing before dissolution.</w:t>
            </w:r>
            <w:r>
              <w:t xml:space="preserve"> Care: refrain from gross negligence or recklessness, intentional misconduct, or knowing violation of law (ordinary negligence is NOT a breach). Plus the</w:t>
            </w:r>
            <w:r>
              <w:t xml:space="preserve"> contractual obligation of good faith and fair dealing (§ 409(d)).</w:t>
            </w:r>
          </w:p>
        </w:tc>
      </w:tr>
    </w:tbl>
    <w:p w14:paraId="10C272A0" w14:textId="77777777" w:rsidR="00B844AC" w:rsidRDefault="00B844AC">
      <w:pPr>
        <w:spacing w:after="0" w:line="100" w:lineRule="exact"/>
      </w:pPr>
    </w:p>
    <w:p w14:paraId="0EB43161" w14:textId="77777777" w:rsidR="00B844AC" w:rsidRDefault="00F62A06">
      <w:pPr>
        <w:pStyle w:val="ListBullet"/>
      </w:pPr>
      <w:r>
        <w:t>Pursuing one's own interest isn't by itself a breach (§ 409(e)); all partners may authorize/ratify after full disclosure (§ 409(f)); fairness is a defense to self-dealing (§ 409(g)). UPA § 21 (account for benefits); § 20 (information on demand).</w:t>
      </w:r>
    </w:p>
    <w:p w14:paraId="31D71421" w14:textId="77777777" w:rsidR="00B844AC" w:rsidRDefault="00F62A06">
      <w:pPr>
        <w:pStyle w:val="ListBullet"/>
      </w:pPr>
      <w:r>
        <w:rPr>
          <w:b/>
        </w:rPr>
        <w:t>Waivers (§ 105):</w:t>
      </w:r>
      <w:r>
        <w:t xml:space="preserve"> agreement can't eliminate loyalty or care, good faith, or exculpate bad faith/intentional misconduct/knowing violations — but if </w:t>
      </w:r>
      <w:r>
        <w:rPr>
          <w:b/>
        </w:rPr>
        <w:t>not manifestly unreasonable</w:t>
      </w:r>
      <w:r>
        <w:t xml:space="preserve"> it may alter or eliminate aspects of loyalty, identify permitted activities, alter care, and set disinterested-approval procedures.</w:t>
      </w:r>
    </w:p>
    <w:p w14:paraId="232C112E" w14:textId="77777777" w:rsidR="00B844AC" w:rsidRDefault="00F62A06">
      <w:pPr>
        <w:pStyle w:val="ListBullet"/>
      </w:pPr>
      <w:r>
        <w:rPr>
          <w:b/>
        </w:rPr>
        <w:t>Organizational opportunity doctrine:</w:t>
      </w:r>
      <w:r>
        <w:t xml:space="preserve"> opportunities connected to the firm's business that a fiduciary learns of through his position belong to the firm (R2d § 387; corporate opportunity doctrine).</w:t>
      </w:r>
    </w:p>
    <w:p w14:paraId="6C9BC75B" w14:textId="77777777" w:rsidR="00B844AC" w:rsidRDefault="00F62A06">
      <w:pPr>
        <w:keepNext/>
        <w:pBdr>
          <w:left w:val="single" w:sz="18" w:space="6" w:color="DC2626"/>
        </w:pBdr>
        <w:spacing w:before="100" w:after="20"/>
        <w:ind w:left="173"/>
      </w:pPr>
      <w:r>
        <w:rPr>
          <w:b/>
          <w:color w:val="B91C1C"/>
          <w:sz w:val="21"/>
        </w:rPr>
        <w:t>Meinhard v. Salmon (N.Y. 1928, Cardozo, C.J.)</w:t>
      </w:r>
      <w:r>
        <w:rPr>
          <w:color w:val="B91C1C"/>
          <w:sz w:val="15"/>
        </w:rPr>
        <w:t xml:space="preserve">  </w:t>
      </w:r>
      <w:r>
        <w:rPr>
          <w:b/>
          <w:color w:val="FFFFFF"/>
          <w:sz w:val="15"/>
          <w:shd w:val="clear" w:color="auto" w:fill="DC2626"/>
        </w:rPr>
        <w:t> MAIN CASE · CLASS 8 </w:t>
      </w:r>
    </w:p>
    <w:p w14:paraId="2F3BF05C" w14:textId="77777777" w:rsidR="00B844AC" w:rsidRDefault="00F62A06">
      <w:pPr>
        <w:keepNext/>
        <w:pBdr>
          <w:left w:val="single" w:sz="18" w:space="6" w:color="DC2626"/>
        </w:pBdr>
        <w:shd w:val="clear" w:color="auto" w:fill="EAF2FF"/>
        <w:spacing w:after="30"/>
        <w:ind w:left="173"/>
      </w:pPr>
      <w:r>
        <w:rPr>
          <w:b/>
          <w:color w:val="1D4ED8"/>
        </w:rPr>
        <w:t xml:space="preserve">Facts:  </w:t>
      </w:r>
      <w:r>
        <w:t>Salmon leased the Hotel Bristol for 20 years; Meinhard put up half the money for a share of profits, and Salmon managed. Near the end, the landlord offered Salmon alone a far larger, longer lease covering the hotel and neighboring lots. Salmon took it without telling Meinhard.</w:t>
      </w:r>
    </w:p>
    <w:p w14:paraId="2980CE78" w14:textId="77777777" w:rsidR="00B844AC" w:rsidRDefault="00F62A06">
      <w:pPr>
        <w:keepNext/>
        <w:pBdr>
          <w:left w:val="single" w:sz="18" w:space="6" w:color="DC2626"/>
        </w:pBdr>
        <w:shd w:val="clear" w:color="auto" w:fill="E7F8EE"/>
        <w:spacing w:after="30"/>
        <w:ind w:left="173"/>
      </w:pPr>
      <w:r>
        <w:rPr>
          <w:b/>
          <w:color w:val="15803D"/>
        </w:rPr>
        <w:t xml:space="preserve">Held:  </w:t>
      </w:r>
      <w:r>
        <w:t>Meinhard gets half the new lease. Co-venturers owe "the punctilio of an honor the most sensitive"; the deal grew out of the venture, so Salmon, as manager, at least had to disclose it so Meinhard could compete. Dissent: the venture had ended.</w:t>
      </w:r>
    </w:p>
    <w:p w14:paraId="4D7D8B4A" w14:textId="77777777" w:rsidR="00B844AC" w:rsidRDefault="00F62A06">
      <w:pPr>
        <w:pBdr>
          <w:left w:val="single" w:sz="18" w:space="6" w:color="DC2626"/>
        </w:pBdr>
        <w:shd w:val="clear" w:color="auto" w:fill="FEF6C2"/>
        <w:spacing w:after="80"/>
        <w:ind w:left="173"/>
      </w:pPr>
      <w:r>
        <w:rPr>
          <w:b/>
          <w:color w:val="8A6100"/>
        </w:rPr>
        <w:t xml:space="preserve">Why it matters:  </w:t>
      </w:r>
      <w:r>
        <w:t>The foundational loyalty case — the root of the partnership-opportunity rule and a manager's duty to disclose.</w:t>
      </w:r>
    </w:p>
    <w:p w14:paraId="64556A7A" w14:textId="77777777" w:rsidR="00B844AC" w:rsidRDefault="00F62A06">
      <w:pPr>
        <w:keepNext/>
        <w:pBdr>
          <w:left w:val="single" w:sz="18" w:space="6" w:color="DC2626"/>
        </w:pBdr>
        <w:spacing w:before="100" w:after="20"/>
        <w:ind w:left="173"/>
      </w:pPr>
      <w:r>
        <w:rPr>
          <w:b/>
          <w:color w:val="B91C1C"/>
          <w:sz w:val="21"/>
        </w:rPr>
        <w:t>Sandvick v. LaCrosse (N.D. 2008)</w:t>
      </w:r>
      <w:r>
        <w:rPr>
          <w:color w:val="B91C1C"/>
          <w:sz w:val="15"/>
        </w:rPr>
        <w:t xml:space="preserve">  </w:t>
      </w:r>
      <w:r>
        <w:rPr>
          <w:b/>
          <w:color w:val="FFFFFF"/>
          <w:sz w:val="15"/>
          <w:shd w:val="clear" w:color="auto" w:fill="DC2626"/>
        </w:rPr>
        <w:t> MAIN CASE · CLASS 8 </w:t>
      </w:r>
    </w:p>
    <w:p w14:paraId="3BE2A6EF" w14:textId="77777777" w:rsidR="00B844AC" w:rsidRDefault="00F62A06">
      <w:pPr>
        <w:keepNext/>
        <w:pBdr>
          <w:left w:val="single" w:sz="18" w:space="6" w:color="DC2626"/>
        </w:pBdr>
        <w:shd w:val="clear" w:color="auto" w:fill="EAF2FF"/>
        <w:spacing w:after="30"/>
        <w:ind w:left="173"/>
      </w:pPr>
      <w:r>
        <w:rPr>
          <w:b/>
          <w:color w:val="1D4ED8"/>
        </w:rPr>
        <w:t xml:space="preserve">Facts:  </w:t>
      </w:r>
      <w:r>
        <w:t>Four investors jointly bought oil leases to resell. Shortly before they expired, two of them secretly bought "top leases" on the same land effective when the originals ended.</w:t>
      </w:r>
    </w:p>
    <w:p w14:paraId="012AE5C9" w14:textId="77777777" w:rsidR="00B844AC" w:rsidRDefault="00F62A06">
      <w:pPr>
        <w:keepNext/>
        <w:pBdr>
          <w:left w:val="single" w:sz="18" w:space="6" w:color="DC2626"/>
        </w:pBdr>
        <w:shd w:val="clear" w:color="auto" w:fill="E7F8EE"/>
        <w:spacing w:after="30"/>
        <w:ind w:left="173"/>
      </w:pPr>
      <w:r>
        <w:rPr>
          <w:b/>
          <w:color w:val="15803D"/>
        </w:rPr>
        <w:t xml:space="preserve">Held:  </w:t>
      </w:r>
      <w:r>
        <w:t>Not a partnership (a single deal, not an ongoing business), but a joint venture — and the two breached their duty of loyalty by not offering the others a share.</w:t>
      </w:r>
    </w:p>
    <w:p w14:paraId="65BE0405" w14:textId="77777777" w:rsidR="00B844AC" w:rsidRDefault="00F62A06">
      <w:pPr>
        <w:pBdr>
          <w:left w:val="single" w:sz="18" w:space="6" w:color="DC2626"/>
        </w:pBdr>
        <w:shd w:val="clear" w:color="auto" w:fill="FEF6C2"/>
        <w:spacing w:after="80"/>
        <w:ind w:left="173"/>
      </w:pPr>
      <w:r>
        <w:rPr>
          <w:b/>
          <w:color w:val="8A6100"/>
        </w:rPr>
        <w:t xml:space="preserve">Why it matters:  </w:t>
      </w:r>
      <w:r>
        <w:t>Distinguishes joint ventures from partnerships and applies Meinhard's renewal logic.</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679"/>
        <w:gridCol w:w="7401"/>
      </w:tblGrid>
      <w:tr w:rsidR="00B844AC" w14:paraId="341982B7" w14:textId="77777777">
        <w:trPr>
          <w:cantSplit/>
          <w:tblHeader/>
          <w:jc w:val="center"/>
        </w:trPr>
        <w:tc>
          <w:tcPr>
            <w:tcW w:w="2679" w:type="dxa"/>
            <w:tcBorders>
              <w:top w:val="single" w:sz="4" w:space="0" w:color="BFC9D9"/>
              <w:left w:val="single" w:sz="4" w:space="0" w:color="BFC9D9"/>
              <w:bottom w:val="single" w:sz="4" w:space="0" w:color="BFC9D9"/>
              <w:right w:val="single" w:sz="4" w:space="0" w:color="BFC9D9"/>
            </w:tcBorders>
            <w:shd w:val="clear" w:color="auto" w:fill="1F3864"/>
          </w:tcPr>
          <w:p w14:paraId="45AD0FE8" w14:textId="77777777" w:rsidR="00B844AC" w:rsidRDefault="00F62A06">
            <w:pPr>
              <w:spacing w:after="0" w:line="240" w:lineRule="auto"/>
            </w:pPr>
            <w:r>
              <w:rPr>
                <w:b/>
                <w:color w:val="FFFFFF"/>
                <w:sz w:val="17"/>
              </w:rPr>
              <w:t>Partnership</w:t>
            </w:r>
          </w:p>
        </w:tc>
        <w:tc>
          <w:tcPr>
            <w:tcW w:w="7401" w:type="dxa"/>
            <w:tcBorders>
              <w:top w:val="single" w:sz="4" w:space="0" w:color="BFC9D9"/>
              <w:left w:val="single" w:sz="4" w:space="0" w:color="BFC9D9"/>
              <w:bottom w:val="single" w:sz="4" w:space="0" w:color="BFC9D9"/>
              <w:right w:val="single" w:sz="4" w:space="0" w:color="BFC9D9"/>
            </w:tcBorders>
            <w:shd w:val="clear" w:color="auto" w:fill="1F3864"/>
          </w:tcPr>
          <w:p w14:paraId="1B47FF4A" w14:textId="77777777" w:rsidR="00B844AC" w:rsidRDefault="00F62A06">
            <w:pPr>
              <w:spacing w:after="0" w:line="240" w:lineRule="auto"/>
            </w:pPr>
            <w:r>
              <w:rPr>
                <w:b/>
                <w:color w:val="FFFFFF"/>
                <w:sz w:val="17"/>
              </w:rPr>
              <w:t>Joint venture (Sandvick)</w:t>
            </w:r>
          </w:p>
        </w:tc>
      </w:tr>
      <w:tr w:rsidR="00B844AC" w14:paraId="56E5882F" w14:textId="77777777">
        <w:trPr>
          <w:cantSplit/>
          <w:jc w:val="center"/>
        </w:trPr>
        <w:tc>
          <w:tcPr>
            <w:tcW w:w="2679" w:type="dxa"/>
            <w:tcBorders>
              <w:top w:val="single" w:sz="4" w:space="0" w:color="BFC9D9"/>
              <w:left w:val="single" w:sz="24" w:space="0" w:color="EF4444"/>
              <w:bottom w:val="single" w:sz="4" w:space="0" w:color="BFC9D9"/>
              <w:right w:val="single" w:sz="4" w:space="0" w:color="BFC9D9"/>
            </w:tcBorders>
            <w:shd w:val="clear" w:color="auto" w:fill="FDEDED"/>
          </w:tcPr>
          <w:p w14:paraId="51B86F3C" w14:textId="77777777" w:rsidR="00B844AC" w:rsidRDefault="00F62A06">
            <w:pPr>
              <w:spacing w:after="0" w:line="240" w:lineRule="auto"/>
            </w:pPr>
            <w:r>
              <w:rPr>
                <w:sz w:val="17"/>
              </w:rPr>
              <w:t>Two or more persons; carry on; as co-owners; a business for profit</w:t>
            </w:r>
          </w:p>
        </w:tc>
        <w:tc>
          <w:tcPr>
            <w:tcW w:w="7401" w:type="dxa"/>
            <w:tcBorders>
              <w:top w:val="single" w:sz="4" w:space="0" w:color="BFC9D9"/>
              <w:left w:val="single" w:sz="4" w:space="0" w:color="BFC9D9"/>
              <w:bottom w:val="single" w:sz="4" w:space="0" w:color="BFC9D9"/>
              <w:right w:val="single" w:sz="4" w:space="0" w:color="BFC9D9"/>
            </w:tcBorders>
            <w:shd w:val="clear" w:color="auto" w:fill="FDEDED"/>
          </w:tcPr>
          <w:p w14:paraId="2B9038F3" w14:textId="77777777" w:rsidR="00B844AC" w:rsidRDefault="00F62A06">
            <w:pPr>
              <w:spacing w:after="0" w:line="240" w:lineRule="auto"/>
            </w:pPr>
            <w:r>
              <w:rPr>
                <w:sz w:val="17"/>
              </w:rPr>
              <w:t>(1) Contributions of money, property, time or skill (need not be equal); (2) proprietary interest and mutual control over the engaged property; (3) agreement to share profits (usually losses); (4) express or implied contract forming it</w:t>
            </w:r>
          </w:p>
        </w:tc>
      </w:tr>
    </w:tbl>
    <w:p w14:paraId="3EA65EF9" w14:textId="77777777" w:rsidR="00B844AC" w:rsidRDefault="00B844AC">
      <w:pPr>
        <w:spacing w:after="0" w:line="120" w:lineRule="exact"/>
      </w:pPr>
    </w:p>
    <w:p w14:paraId="0F963F84" w14:textId="77777777" w:rsidR="00B844AC" w:rsidRDefault="00F62A06">
      <w:pPr>
        <w:keepNext/>
        <w:pBdr>
          <w:left w:val="single" w:sz="18" w:space="6" w:color="DC2626"/>
        </w:pBdr>
        <w:spacing w:before="100" w:after="20"/>
        <w:ind w:left="173"/>
      </w:pPr>
      <w:r>
        <w:rPr>
          <w:b/>
          <w:color w:val="B91C1C"/>
          <w:sz w:val="21"/>
        </w:rPr>
        <w:lastRenderedPageBreak/>
        <w:t>Singer v. Singer (Okla. App. 1981)</w:t>
      </w:r>
      <w:r>
        <w:rPr>
          <w:color w:val="B91C1C"/>
          <w:sz w:val="15"/>
        </w:rPr>
        <w:t xml:space="preserve">  </w:t>
      </w:r>
      <w:r>
        <w:rPr>
          <w:b/>
          <w:color w:val="FFFFFF"/>
          <w:sz w:val="15"/>
          <w:shd w:val="clear" w:color="auto" w:fill="DC2626"/>
        </w:rPr>
        <w:t> MAIN CASE · CLASS 8 </w:t>
      </w:r>
    </w:p>
    <w:p w14:paraId="120F6241" w14:textId="77777777" w:rsidR="00B844AC" w:rsidRDefault="00F62A06">
      <w:pPr>
        <w:keepNext/>
        <w:pBdr>
          <w:left w:val="single" w:sz="18" w:space="6" w:color="DC2626"/>
        </w:pBdr>
        <w:shd w:val="clear" w:color="auto" w:fill="EAF2FF"/>
        <w:spacing w:after="30"/>
        <w:ind w:left="173"/>
      </w:pPr>
      <w:r>
        <w:rPr>
          <w:b/>
          <w:color w:val="1D4ED8"/>
        </w:rPr>
        <w:t xml:space="preserve">Facts:  </w:t>
      </w:r>
      <w:r>
        <w:t>A family oil partnership's agreement expressly let partners compete with the partnership for their own accounts. After the family discussed buying a parcel, two partners bought it themselves.</w:t>
      </w:r>
    </w:p>
    <w:p w14:paraId="73390D09" w14:textId="77777777" w:rsidR="00B844AC" w:rsidRDefault="00F62A06">
      <w:pPr>
        <w:keepNext/>
        <w:pBdr>
          <w:left w:val="single" w:sz="18" w:space="6" w:color="DC2626"/>
        </w:pBdr>
        <w:shd w:val="clear" w:color="auto" w:fill="E7F8EE"/>
        <w:spacing w:after="30"/>
        <w:ind w:left="173"/>
      </w:pPr>
      <w:r>
        <w:rPr>
          <w:b/>
          <w:color w:val="15803D"/>
        </w:rPr>
        <w:t xml:space="preserve">Held:  </w:t>
      </w:r>
      <w:r>
        <w:t>No breach — the clause allowed even "predatory" competition; only taking existing partnership assets or funds would breach.</w:t>
      </w:r>
    </w:p>
    <w:p w14:paraId="6EB5FFAA" w14:textId="77777777" w:rsidR="00B844AC" w:rsidRDefault="00F62A06">
      <w:pPr>
        <w:pBdr>
          <w:left w:val="single" w:sz="18" w:space="6" w:color="DC2626"/>
        </w:pBdr>
        <w:shd w:val="clear" w:color="auto" w:fill="FEF6C2"/>
        <w:spacing w:after="80"/>
        <w:ind w:left="173"/>
      </w:pPr>
      <w:r>
        <w:rPr>
          <w:b/>
          <w:color w:val="8A6100"/>
        </w:rPr>
        <w:t xml:space="preserve">Why it matters:  </w:t>
      </w:r>
      <w:r>
        <w:t>Partners can contract around the duty not to take opportunities (contrast Meinhard).</w:t>
      </w:r>
    </w:p>
    <w:p w14:paraId="571DFE17" w14:textId="77777777" w:rsidR="00B844AC" w:rsidRDefault="00F62A06">
      <w:pPr>
        <w:keepNext/>
        <w:pBdr>
          <w:left w:val="single" w:sz="18" w:space="6" w:color="DC2626"/>
        </w:pBdr>
        <w:spacing w:before="100" w:after="20"/>
        <w:ind w:left="173"/>
      </w:pPr>
      <w:r>
        <w:rPr>
          <w:b/>
          <w:color w:val="B91C1C"/>
          <w:sz w:val="21"/>
        </w:rPr>
        <w:t>Nemec v. Shrader (Del. 2010)</w:t>
      </w:r>
      <w:r>
        <w:rPr>
          <w:color w:val="B91C1C"/>
          <w:sz w:val="15"/>
        </w:rPr>
        <w:t xml:space="preserve">  </w:t>
      </w:r>
      <w:r>
        <w:rPr>
          <w:b/>
          <w:color w:val="FFFFFF"/>
          <w:sz w:val="15"/>
          <w:shd w:val="clear" w:color="auto" w:fill="DC2626"/>
        </w:rPr>
        <w:t> MAIN CASE · CLASS 8 </w:t>
      </w:r>
    </w:p>
    <w:p w14:paraId="34A99066" w14:textId="77777777" w:rsidR="00B844AC" w:rsidRDefault="00F62A06">
      <w:pPr>
        <w:keepNext/>
        <w:pBdr>
          <w:left w:val="single" w:sz="18" w:space="6" w:color="DC2626"/>
        </w:pBdr>
        <w:shd w:val="clear" w:color="auto" w:fill="EAF2FF"/>
        <w:spacing w:after="30"/>
        <w:ind w:left="173"/>
      </w:pPr>
      <w:r>
        <w:rPr>
          <w:b/>
          <w:color w:val="1D4ED8"/>
        </w:rPr>
        <w:t xml:space="preserve">Facts:  </w:t>
      </w:r>
      <w:r>
        <w:t>Booz Allen could redeem retired officers' stock at book value at any time. Weeks before a $2.54 billion sale, it redeemed two retirees at about $162 a share instead of the $700+ the deal implied.</w:t>
      </w:r>
    </w:p>
    <w:p w14:paraId="68155CF0" w14:textId="77777777" w:rsidR="00B844AC" w:rsidRDefault="00F62A06">
      <w:pPr>
        <w:keepNext/>
        <w:pBdr>
          <w:left w:val="single" w:sz="18" w:space="6" w:color="DC2626"/>
        </w:pBdr>
        <w:shd w:val="clear" w:color="auto" w:fill="E7F8EE"/>
        <w:spacing w:after="30"/>
        <w:ind w:left="173"/>
      </w:pPr>
      <w:r>
        <w:rPr>
          <w:b/>
          <w:color w:val="15803D"/>
        </w:rPr>
        <w:t xml:space="preserve">Held:  </w:t>
      </w:r>
      <w:r>
        <w:t>No claim. The implied covenant of good faith can't override conduct the contract expressly allows, and the sale was foreseeable; fiduciary claims are displaced where a contract governs. Dissent: powers must serve a legitimate company interest.</w:t>
      </w:r>
    </w:p>
    <w:p w14:paraId="169B52C2" w14:textId="77777777" w:rsidR="00B844AC" w:rsidRDefault="00F62A06">
      <w:pPr>
        <w:pBdr>
          <w:left w:val="single" w:sz="18" w:space="6" w:color="DC2626"/>
        </w:pBdr>
        <w:shd w:val="clear" w:color="auto" w:fill="FEF6C2"/>
        <w:spacing w:after="80"/>
        <w:ind w:left="173"/>
      </w:pPr>
      <w:r>
        <w:rPr>
          <w:b/>
          <w:color w:val="8A6100"/>
        </w:rPr>
        <w:t xml:space="preserve">Why it matters:  </w:t>
      </w:r>
      <w:r>
        <w:t>Insiders are held to their bargains; the implied covenant is a narrow gap-filler.</w:t>
      </w:r>
    </w:p>
    <w:p w14:paraId="5FC2A1B5" w14:textId="77777777" w:rsidR="00B844AC" w:rsidRDefault="00F62A06">
      <w:pPr>
        <w:keepNext/>
        <w:pBdr>
          <w:left w:val="single" w:sz="18" w:space="6" w:color="DC2626"/>
        </w:pBdr>
        <w:spacing w:before="100" w:after="20"/>
        <w:ind w:left="173"/>
      </w:pPr>
      <w:r>
        <w:rPr>
          <w:b/>
          <w:color w:val="B91C1C"/>
          <w:sz w:val="21"/>
        </w:rPr>
        <w:t>Bane v. Ferguson (7th Cir. 1989, Posner, J.)</w:t>
      </w:r>
      <w:r>
        <w:rPr>
          <w:color w:val="B91C1C"/>
          <w:sz w:val="15"/>
        </w:rPr>
        <w:t xml:space="preserve">  </w:t>
      </w:r>
      <w:r>
        <w:rPr>
          <w:b/>
          <w:color w:val="FFFFFF"/>
          <w:sz w:val="15"/>
          <w:shd w:val="clear" w:color="auto" w:fill="DC2626"/>
        </w:rPr>
        <w:t> MAIN CASE · CLASS 8 </w:t>
      </w:r>
    </w:p>
    <w:p w14:paraId="48C296A9" w14:textId="77777777" w:rsidR="00B844AC" w:rsidRDefault="00F62A06">
      <w:pPr>
        <w:keepNext/>
        <w:pBdr>
          <w:left w:val="single" w:sz="18" w:space="6" w:color="DC2626"/>
        </w:pBdr>
        <w:shd w:val="clear" w:color="auto" w:fill="EAF2FF"/>
        <w:spacing w:after="30"/>
        <w:ind w:left="173"/>
      </w:pPr>
      <w:r>
        <w:rPr>
          <w:b/>
          <w:color w:val="1D4ED8"/>
        </w:rPr>
        <w:t xml:space="preserve">Facts:  </w:t>
      </w:r>
      <w:r>
        <w:t>A retired law partner's pension stopped when his old firm collapsed after a bad merger. He sued the managing partners for negligence.</w:t>
      </w:r>
    </w:p>
    <w:p w14:paraId="6C1ABF89" w14:textId="77777777" w:rsidR="00B844AC" w:rsidRDefault="00F62A06">
      <w:pPr>
        <w:keepNext/>
        <w:pBdr>
          <w:left w:val="single" w:sz="18" w:space="6" w:color="DC2626"/>
        </w:pBdr>
        <w:shd w:val="clear" w:color="auto" w:fill="E7F8EE"/>
        <w:spacing w:after="30"/>
        <w:ind w:left="173"/>
      </w:pPr>
      <w:r>
        <w:rPr>
          <w:b/>
          <w:color w:val="15803D"/>
        </w:rPr>
        <w:t xml:space="preserve">Held:  </w:t>
      </w:r>
      <w:r>
        <w:t>No claim. Partners owe duties to current partners, not former ones, and the business judgment rule shields mere negligence anyway.</w:t>
      </w:r>
    </w:p>
    <w:p w14:paraId="5932EB6C" w14:textId="77777777" w:rsidR="00B844AC" w:rsidRDefault="00F62A06">
      <w:pPr>
        <w:pBdr>
          <w:left w:val="single" w:sz="18" w:space="6" w:color="DC2626"/>
        </w:pBdr>
        <w:shd w:val="clear" w:color="auto" w:fill="FEF6C2"/>
        <w:spacing w:after="80"/>
        <w:ind w:left="173"/>
      </w:pPr>
      <w:r>
        <w:rPr>
          <w:b/>
          <w:color w:val="8A6100"/>
        </w:rPr>
        <w:t xml:space="preserve">Why it matters:  </w:t>
      </w:r>
      <w:r>
        <w:t>Shows who is owed partner duties and how low the duty of care is.</w:t>
      </w:r>
    </w:p>
    <w:p w14:paraId="117E636E" w14:textId="77777777" w:rsidR="00B844AC" w:rsidRDefault="00F62A06">
      <w:pPr>
        <w:keepNext/>
        <w:pBdr>
          <w:left w:val="single" w:sz="18" w:space="6" w:color="DC2626"/>
        </w:pBdr>
        <w:spacing w:before="100" w:after="20"/>
        <w:ind w:left="173"/>
      </w:pPr>
      <w:r>
        <w:rPr>
          <w:b/>
          <w:color w:val="B91C1C"/>
          <w:sz w:val="21"/>
        </w:rPr>
        <w:t>Second Measure, Inc. v. Kim (N.D. Cal. 2015)</w:t>
      </w:r>
      <w:r>
        <w:rPr>
          <w:color w:val="B91C1C"/>
          <w:sz w:val="15"/>
        </w:rPr>
        <w:t xml:space="preserve">  </w:t>
      </w:r>
      <w:r>
        <w:rPr>
          <w:b/>
          <w:color w:val="FFFFFF"/>
          <w:sz w:val="15"/>
          <w:shd w:val="clear" w:color="auto" w:fill="DC2626"/>
        </w:rPr>
        <w:t> MAIN CASE · CLASS 8 </w:t>
      </w:r>
    </w:p>
    <w:p w14:paraId="38B93A98" w14:textId="77777777" w:rsidR="00B844AC" w:rsidRDefault="00F62A06">
      <w:pPr>
        <w:keepNext/>
        <w:pBdr>
          <w:left w:val="single" w:sz="18" w:space="6" w:color="DC2626"/>
        </w:pBdr>
        <w:shd w:val="clear" w:color="auto" w:fill="EAF2FF"/>
        <w:spacing w:after="30"/>
        <w:ind w:left="173"/>
      </w:pPr>
      <w:r>
        <w:rPr>
          <w:b/>
          <w:color w:val="1D4ED8"/>
        </w:rPr>
        <w:t xml:space="preserve">Facts:  </w:t>
      </w:r>
      <w:r>
        <w:t>Kim says he and Babineau orally agreed to build a data business as equal partners, until Babineau locked him out, incorporated the business, and raised money.</w:t>
      </w:r>
    </w:p>
    <w:p w14:paraId="3509A592" w14:textId="77777777" w:rsidR="00B844AC" w:rsidRDefault="00F62A06">
      <w:pPr>
        <w:keepNext/>
        <w:pBdr>
          <w:left w:val="single" w:sz="18" w:space="6" w:color="DC2626"/>
        </w:pBdr>
        <w:shd w:val="clear" w:color="auto" w:fill="E7F8EE"/>
        <w:spacing w:after="30"/>
        <w:ind w:left="173"/>
      </w:pPr>
      <w:r>
        <w:rPr>
          <w:b/>
          <w:color w:val="15803D"/>
        </w:rPr>
        <w:t xml:space="preserve">Held:  </w:t>
      </w:r>
      <w:r>
        <w:t>Kim's claims survive. Even after dissolution, a partner must account for partnership property and opportunities; he can't dissolve to take the business without compensating his partner.</w:t>
      </w:r>
    </w:p>
    <w:p w14:paraId="4E21AF66" w14:textId="77777777" w:rsidR="00B844AC" w:rsidRDefault="00F62A06">
      <w:pPr>
        <w:pBdr>
          <w:left w:val="single" w:sz="18" w:space="6" w:color="DC2626"/>
        </w:pBdr>
        <w:shd w:val="clear" w:color="auto" w:fill="FEF6C2"/>
        <w:spacing w:after="80"/>
        <w:ind w:left="173"/>
      </w:pPr>
      <w:r>
        <w:rPr>
          <w:b/>
          <w:color w:val="8A6100"/>
        </w:rPr>
        <w:t xml:space="preserve">Why it matters:  </w:t>
      </w:r>
      <w:r>
        <w:t>Duties continue through winding up — no freeze-outs (Page v. Page).</w:t>
      </w:r>
    </w:p>
    <w:p w14:paraId="7D52C254" w14:textId="77777777" w:rsidR="00B844AC" w:rsidRDefault="00F62A06">
      <w:pPr>
        <w:pStyle w:val="Heading3"/>
      </w:pPr>
      <w:r>
        <w:rPr>
          <w:b w:val="0"/>
        </w:rPr>
        <w:t>Grabbing and leaving; expulsion (supplemental readings)</w:t>
      </w:r>
    </w:p>
    <w:p w14:paraId="6AF60E65" w14:textId="77777777" w:rsidR="00B844AC" w:rsidRDefault="00F62A06">
      <w:pPr>
        <w:keepNext/>
        <w:pBdr>
          <w:left w:val="single" w:sz="18" w:space="6" w:color="EA580C"/>
        </w:pBdr>
        <w:spacing w:before="100" w:after="20"/>
        <w:ind w:left="173"/>
      </w:pPr>
      <w:r>
        <w:rPr>
          <w:b/>
          <w:color w:val="C2410C"/>
          <w:sz w:val="21"/>
        </w:rPr>
        <w:t>Meehan v. Shaughnessy (Mass. 1989)</w:t>
      </w:r>
      <w:r>
        <w:rPr>
          <w:color w:val="C2410C"/>
          <w:sz w:val="15"/>
        </w:rPr>
        <w:t xml:space="preserve">  </w:t>
      </w:r>
      <w:r>
        <w:rPr>
          <w:b/>
          <w:color w:val="FFFFFF"/>
          <w:sz w:val="15"/>
          <w:shd w:val="clear" w:color="auto" w:fill="EA580C"/>
        </w:rPr>
        <w:t> SUPPLEMENTAL READING · CASEBOOK ONLY </w:t>
      </w:r>
    </w:p>
    <w:p w14:paraId="7C931885" w14:textId="77777777" w:rsidR="00B844AC" w:rsidRDefault="00F62A06">
      <w:pPr>
        <w:keepNext/>
        <w:pBdr>
          <w:left w:val="single" w:sz="18" w:space="6" w:color="EA580C"/>
        </w:pBdr>
        <w:shd w:val="clear" w:color="auto" w:fill="EAF2FF"/>
        <w:spacing w:after="30"/>
        <w:ind w:left="173"/>
      </w:pPr>
      <w:r>
        <w:rPr>
          <w:b/>
          <w:color w:val="1D4ED8"/>
        </w:rPr>
        <w:t xml:space="preserve">Facts:  </w:t>
      </w:r>
      <w:r>
        <w:t>Two partners secretly planned a new firm, denied it when asked, prepared client letters on the old firm's letterhead, and rushed to sign up clients the moment they gave notice.</w:t>
      </w:r>
    </w:p>
    <w:p w14:paraId="3220B2CF" w14:textId="77777777" w:rsidR="00B844AC" w:rsidRDefault="00F62A06">
      <w:pPr>
        <w:keepNext/>
        <w:pBdr>
          <w:left w:val="single" w:sz="18" w:space="6" w:color="EA580C"/>
        </w:pBdr>
        <w:shd w:val="clear" w:color="auto" w:fill="E7F8EE"/>
        <w:spacing w:after="30"/>
        <w:ind w:left="173"/>
      </w:pPr>
      <w:r>
        <w:rPr>
          <w:b/>
          <w:color w:val="15803D"/>
        </w:rPr>
        <w:t xml:space="preserve">Held:  </w:t>
      </w:r>
      <w:r>
        <w:t>Preparing to leave was fine, but they breached loyalty by unfairly acquiring client consents. They must prove clients would have come anyway or hold the profits from those cases in trust for the old firm.</w:t>
      </w:r>
    </w:p>
    <w:p w14:paraId="2B7878DB" w14:textId="77777777" w:rsidR="00B844AC" w:rsidRDefault="00F62A06">
      <w:pPr>
        <w:pBdr>
          <w:left w:val="single" w:sz="18" w:space="6" w:color="EA580C"/>
        </w:pBdr>
        <w:shd w:val="clear" w:color="auto" w:fill="FEF6C2"/>
        <w:spacing w:after="80"/>
        <w:ind w:left="173"/>
      </w:pPr>
      <w:r>
        <w:rPr>
          <w:b/>
          <w:color w:val="8A6100"/>
        </w:rPr>
        <w:t xml:space="preserve">Why it matters:  </w:t>
      </w:r>
      <w:r>
        <w:t>The leading partner "grabbing and leaving" case.</w:t>
      </w:r>
    </w:p>
    <w:p w14:paraId="47C1323D" w14:textId="77777777" w:rsidR="00B844AC" w:rsidRDefault="00F62A06">
      <w:pPr>
        <w:keepNext/>
        <w:pBdr>
          <w:left w:val="single" w:sz="18" w:space="6" w:color="EA580C"/>
        </w:pBdr>
        <w:spacing w:before="100" w:after="20"/>
        <w:ind w:left="173"/>
      </w:pPr>
      <w:r>
        <w:rPr>
          <w:b/>
          <w:color w:val="C2410C"/>
          <w:sz w:val="21"/>
        </w:rPr>
        <w:t>Gibbs v. Breed, Abbott &amp; Morgan (N.Y. App. Div. 2000)</w:t>
      </w:r>
      <w:r>
        <w:rPr>
          <w:color w:val="C2410C"/>
          <w:sz w:val="15"/>
        </w:rPr>
        <w:t xml:space="preserve">  </w:t>
      </w:r>
      <w:r>
        <w:rPr>
          <w:b/>
          <w:color w:val="FFFFFF"/>
          <w:sz w:val="15"/>
          <w:shd w:val="clear" w:color="auto" w:fill="EA580C"/>
        </w:rPr>
        <w:t> SUPPLEMENTAL READING · CASEBOOK ONLY </w:t>
      </w:r>
    </w:p>
    <w:p w14:paraId="59B12F57" w14:textId="77777777" w:rsidR="00B844AC" w:rsidRDefault="00F62A06">
      <w:pPr>
        <w:keepNext/>
        <w:pBdr>
          <w:left w:val="single" w:sz="18" w:space="6" w:color="EA580C"/>
        </w:pBdr>
        <w:shd w:val="clear" w:color="auto" w:fill="EAF2FF"/>
        <w:spacing w:after="30"/>
        <w:ind w:left="173"/>
      </w:pPr>
      <w:r>
        <w:rPr>
          <w:b/>
          <w:color w:val="1D4ED8"/>
        </w:rPr>
        <w:t xml:space="preserve">Facts:  </w:t>
      </w:r>
      <w:r>
        <w:t>Two departing partners gave their new firm a confidential memo of their department's staff salaries and billing rates and lined up recruits before giving notice.</w:t>
      </w:r>
    </w:p>
    <w:p w14:paraId="7D720CFF" w14:textId="77777777" w:rsidR="00B844AC" w:rsidRDefault="00F62A06">
      <w:pPr>
        <w:keepNext/>
        <w:pBdr>
          <w:left w:val="single" w:sz="18" w:space="6" w:color="EA580C"/>
        </w:pBdr>
        <w:shd w:val="clear" w:color="auto" w:fill="E7F8EE"/>
        <w:spacing w:after="30"/>
        <w:ind w:left="173"/>
      </w:pPr>
      <w:r>
        <w:rPr>
          <w:b/>
          <w:color w:val="15803D"/>
        </w:rPr>
        <w:t xml:space="preserve">Held:  </w:t>
      </w:r>
      <w:r>
        <w:t>Breach for using confidential information and recruiting before notice; no breach for planning the move together or taking duplicate desk files.</w:t>
      </w:r>
    </w:p>
    <w:p w14:paraId="1B697E29" w14:textId="77777777" w:rsidR="00B844AC" w:rsidRDefault="00F62A06">
      <w:pPr>
        <w:pBdr>
          <w:left w:val="single" w:sz="18" w:space="6" w:color="EA580C"/>
        </w:pBdr>
        <w:shd w:val="clear" w:color="auto" w:fill="FEF6C2"/>
        <w:spacing w:after="80"/>
        <w:ind w:left="173"/>
      </w:pPr>
      <w:r>
        <w:rPr>
          <w:b/>
          <w:color w:val="8A6100"/>
        </w:rPr>
        <w:t xml:space="preserve">Why it matters:  </w:t>
      </w:r>
      <w:r>
        <w:t>Confidential information can't be used for a head start (compare Bancroft-Whitney).</w:t>
      </w:r>
    </w:p>
    <w:p w14:paraId="3919B78C" w14:textId="77777777" w:rsidR="00B844AC" w:rsidRDefault="00F62A06">
      <w:pPr>
        <w:keepNext/>
        <w:pBdr>
          <w:left w:val="single" w:sz="18" w:space="6" w:color="EA580C"/>
        </w:pBdr>
        <w:spacing w:before="100" w:after="20"/>
        <w:ind w:left="173"/>
      </w:pPr>
      <w:r>
        <w:rPr>
          <w:b/>
          <w:color w:val="C2410C"/>
          <w:sz w:val="21"/>
        </w:rPr>
        <w:t>Lawlis v. Kightlinger &amp; Gray (Ind. App. 1990)</w:t>
      </w:r>
      <w:r>
        <w:rPr>
          <w:color w:val="C2410C"/>
          <w:sz w:val="15"/>
        </w:rPr>
        <w:t xml:space="preserve">  </w:t>
      </w:r>
      <w:r>
        <w:rPr>
          <w:b/>
          <w:color w:val="FFFFFF"/>
          <w:sz w:val="15"/>
          <w:shd w:val="clear" w:color="auto" w:fill="EA580C"/>
        </w:rPr>
        <w:t> SUPPLEMENTAL READING · CASEBOOK ONLY </w:t>
      </w:r>
    </w:p>
    <w:p w14:paraId="2AA348BB" w14:textId="77777777" w:rsidR="00B844AC" w:rsidRDefault="00F62A06">
      <w:pPr>
        <w:keepNext/>
        <w:pBdr>
          <w:left w:val="single" w:sz="18" w:space="6" w:color="EA580C"/>
        </w:pBdr>
        <w:shd w:val="clear" w:color="auto" w:fill="EAF2FF"/>
        <w:spacing w:after="30"/>
        <w:ind w:left="173"/>
      </w:pPr>
      <w:r>
        <w:rPr>
          <w:b/>
          <w:color w:val="1D4ED8"/>
        </w:rPr>
        <w:t xml:space="preserve">Facts:  </w:t>
      </w:r>
      <w:r>
        <w:t>A law firm expelled a recovering alcoholic partner by the two-thirds vote its agreement required for no-cause expulsion.</w:t>
      </w:r>
    </w:p>
    <w:p w14:paraId="552A03BA" w14:textId="77777777" w:rsidR="00B844AC" w:rsidRDefault="00F62A06">
      <w:pPr>
        <w:keepNext/>
        <w:pBdr>
          <w:left w:val="single" w:sz="18" w:space="6" w:color="EA580C"/>
        </w:pBdr>
        <w:shd w:val="clear" w:color="auto" w:fill="E7F8EE"/>
        <w:spacing w:after="30"/>
        <w:ind w:left="173"/>
      </w:pPr>
      <w:r>
        <w:rPr>
          <w:b/>
          <w:color w:val="15803D"/>
        </w:rPr>
        <w:t xml:space="preserve">Held:  </w:t>
      </w:r>
      <w:r>
        <w:t>No breach. Expulsion under a negotiated no-cause clause is in good faith if nothing owed to the partner is wrongfully withheld.</w:t>
      </w:r>
    </w:p>
    <w:p w14:paraId="47DDCF96" w14:textId="77777777" w:rsidR="00B844AC" w:rsidRDefault="00F62A06">
      <w:pPr>
        <w:pBdr>
          <w:left w:val="single" w:sz="18" w:space="6" w:color="EA580C"/>
        </w:pBdr>
        <w:shd w:val="clear" w:color="auto" w:fill="FEF6C2"/>
        <w:spacing w:after="80"/>
        <w:ind w:left="173"/>
      </w:pPr>
      <w:r>
        <w:rPr>
          <w:b/>
          <w:color w:val="8A6100"/>
        </w:rPr>
        <w:t xml:space="preserve">Why it matters:  </w:t>
      </w:r>
      <w:r>
        <w:t>Courts enforce "guillotine" expulsion clauses as written.</w:t>
      </w:r>
    </w:p>
    <w:p w14:paraId="23717F3E" w14:textId="77777777" w:rsidR="00B844AC" w:rsidRDefault="00F62A06">
      <w:pPr>
        <w:keepNext/>
        <w:pBdr>
          <w:left w:val="single" w:sz="18" w:space="6" w:color="EA580C"/>
        </w:pBdr>
        <w:spacing w:before="100" w:after="20"/>
        <w:ind w:left="173"/>
      </w:pPr>
      <w:r>
        <w:rPr>
          <w:b/>
          <w:color w:val="C2410C"/>
          <w:sz w:val="21"/>
        </w:rPr>
        <w:lastRenderedPageBreak/>
        <w:t>Bohatch v. Butler &amp; Binion (Tex. 1998)</w:t>
      </w:r>
      <w:r>
        <w:rPr>
          <w:color w:val="C2410C"/>
          <w:sz w:val="15"/>
        </w:rPr>
        <w:t xml:space="preserve">  </w:t>
      </w:r>
      <w:r>
        <w:rPr>
          <w:b/>
          <w:color w:val="FFFFFF"/>
          <w:sz w:val="15"/>
          <w:shd w:val="clear" w:color="auto" w:fill="EA580C"/>
        </w:rPr>
        <w:t> SUPPLEMENTAL READING · CASEBOOK ONLY </w:t>
      </w:r>
    </w:p>
    <w:p w14:paraId="542B2784" w14:textId="77777777" w:rsidR="00B844AC" w:rsidRDefault="00F62A06">
      <w:pPr>
        <w:keepNext/>
        <w:pBdr>
          <w:left w:val="single" w:sz="18" w:space="6" w:color="EA580C"/>
        </w:pBdr>
        <w:shd w:val="clear" w:color="auto" w:fill="EAF2FF"/>
        <w:spacing w:after="30"/>
        <w:ind w:left="173"/>
      </w:pPr>
      <w:r>
        <w:rPr>
          <w:b/>
          <w:color w:val="1D4ED8"/>
        </w:rPr>
        <w:t xml:space="preserve">Facts:  </w:t>
      </w:r>
      <w:r>
        <w:t>A new partner reported suspected overbilling by another partner; the client and firm found the bills reasonable, and the firm expelled her.</w:t>
      </w:r>
    </w:p>
    <w:p w14:paraId="1697E36C" w14:textId="77777777" w:rsidR="00B844AC" w:rsidRDefault="00F62A06">
      <w:pPr>
        <w:keepNext/>
        <w:pBdr>
          <w:left w:val="single" w:sz="18" w:space="6" w:color="EA580C"/>
        </w:pBdr>
        <w:shd w:val="clear" w:color="auto" w:fill="E7F8EE"/>
        <w:spacing w:after="30"/>
        <w:ind w:left="173"/>
      </w:pPr>
      <w:r>
        <w:rPr>
          <w:b/>
          <w:color w:val="15803D"/>
        </w:rPr>
        <w:t xml:space="preserve">Held:  </w:t>
      </w:r>
      <w:r>
        <w:t>No fiduciary duty not to expel a partner for reporting suspected misconduct; partners may part ways when trust breaks down. Dissent: this deters reporting.</w:t>
      </w:r>
    </w:p>
    <w:p w14:paraId="5BFC725C" w14:textId="77777777" w:rsidR="00B844AC" w:rsidRDefault="00F62A06">
      <w:pPr>
        <w:pBdr>
          <w:left w:val="single" w:sz="18" w:space="6" w:color="EA580C"/>
        </w:pBdr>
        <w:shd w:val="clear" w:color="auto" w:fill="FEF6C2"/>
        <w:spacing w:after="80"/>
        <w:ind w:left="173"/>
      </w:pPr>
      <w:r>
        <w:rPr>
          <w:b/>
          <w:color w:val="8A6100"/>
        </w:rPr>
        <w:t xml:space="preserve">Why it matters:  </w:t>
      </w:r>
      <w:r>
        <w:t>The limits of partner fiduciary duties in expulsion.</w:t>
      </w:r>
    </w:p>
    <w:p w14:paraId="7EBC223D" w14:textId="77777777" w:rsidR="00B844AC" w:rsidRDefault="00F62A06">
      <w:pPr>
        <w:pStyle w:val="Heading2"/>
        <w:pBdr>
          <w:bottom w:val="single" w:sz="8" w:space="2" w:color="C55A11"/>
        </w:pBdr>
      </w:pPr>
      <w:bookmarkStart w:id="11" w:name="_Toc243216108"/>
      <w:r>
        <w:rPr>
          <w:b w:val="0"/>
        </w:rPr>
        <w:t>10. Dissociation and Dissolution</w:t>
      </w:r>
      <w:bookmarkEnd w:id="11"/>
    </w:p>
    <w:p w14:paraId="127A70CE" w14:textId="77777777" w:rsidR="00B844AC" w:rsidRDefault="00F62A06">
      <w:pPr>
        <w:pStyle w:val="Heading3"/>
      </w:pPr>
      <w:r>
        <w:rPr>
          <w:b w:val="0"/>
        </w:rPr>
        <w:t>Vocabulary</w:t>
      </w:r>
    </w:p>
    <w:p w14:paraId="7E463F03" w14:textId="77777777" w:rsidR="00B844AC" w:rsidRDefault="00F62A06">
      <w:pPr>
        <w:pStyle w:val="ListBullet"/>
      </w:pPr>
      <w:r>
        <w:rPr>
          <w:b/>
        </w:rPr>
        <w:t>At-will partnership:</w:t>
      </w:r>
      <w:r>
        <w:t xml:space="preserve"> no agreed term or undertaking; any partner may end it any time. </w:t>
      </w:r>
      <w:r>
        <w:rPr>
          <w:b/>
        </w:rPr>
        <w:t>Term partnership:</w:t>
      </w:r>
      <w:r>
        <w:t xml:space="preserve"> explicit (duration or purpose stated) or implicit (clear evidence of a minimum/maximum duration or a venture certain to end — e.g., until debts repaid or investment recouped; a mere hope of profits isn't enough — Page; Owen).</w:t>
      </w:r>
    </w:p>
    <w:p w14:paraId="67EC4E6C" w14:textId="77777777" w:rsidR="00B844AC" w:rsidRDefault="00F62A06">
      <w:pPr>
        <w:pStyle w:val="ListBullet"/>
      </w:pPr>
      <w:r>
        <w:t>Courts use "dissolution" loosely — for a partner's departure, for the winding-up process, or for its completion. Best usage: the point when the firm stops operating as a forward-looking business and begins to wind up.</w:t>
      </w:r>
    </w:p>
    <w:p w14:paraId="6F897AA5" w14:textId="77777777" w:rsidR="00B844AC" w:rsidRDefault="00F62A06">
      <w:pPr>
        <w:pStyle w:val="ListBullet"/>
      </w:pPr>
      <w:r>
        <w:rPr>
          <w:b/>
        </w:rPr>
        <w:t>Dissociation:</w:t>
      </w:r>
      <w:r>
        <w:t xml:space="preserve"> a partner ceases to be associated (RUPA § 601). </w:t>
      </w:r>
      <w:r>
        <w:rPr>
          <w:b/>
        </w:rPr>
        <w:t>Dissolution:</w:t>
      </w:r>
      <w:r>
        <w:t xml:space="preserve"> under UPA, the change in relation when any partner ceases to be associated (§ 29); under RUPA, the start of winding up. </w:t>
      </w:r>
      <w:r>
        <w:rPr>
          <w:b/>
        </w:rPr>
        <w:t>Winding up:</w:t>
      </w:r>
      <w:r>
        <w:t xml:space="preserve"> settling affairs. </w:t>
      </w:r>
      <w:r>
        <w:rPr>
          <w:b/>
        </w:rPr>
        <w:t>Termination:</w:t>
      </w:r>
      <w:r>
        <w:t xml:space="preserve"> winding up complete.</w:t>
      </w:r>
    </w:p>
    <w:p w14:paraId="0832FDFC" w14:textId="77777777" w:rsidR="00B844AC" w:rsidRDefault="00F62A06">
      <w:pPr>
        <w:pStyle w:val="Heading3"/>
      </w:pPr>
      <w:r>
        <w:rPr>
          <w:b w:val="0"/>
        </w:rPr>
        <w:t>UPA (1914) — four principles</w:t>
      </w:r>
    </w:p>
    <w:p w14:paraId="274671B5" w14:textId="77777777" w:rsidR="00B844AC" w:rsidRDefault="00F62A06">
      <w:pPr>
        <w:pBdr>
          <w:left w:val="single" w:sz="24" w:space="4" w:color="EF4444"/>
        </w:pBdr>
        <w:shd w:val="clear" w:color="auto" w:fill="FDE2E2"/>
        <w:ind w:left="360" w:hanging="288"/>
      </w:pPr>
      <w:r>
        <w:rPr>
          <w:b/>
          <w:color w:val="B91C1C"/>
        </w:rPr>
        <w:t xml:space="preserve">1.  </w:t>
      </w:r>
      <w:r>
        <w:t xml:space="preserve">Any partner's departure </w:t>
      </w:r>
      <w:r>
        <w:rPr>
          <w:b/>
        </w:rPr>
        <w:t>dissolves</w:t>
      </w:r>
      <w:r>
        <w:t xml:space="preserve"> the partnership (aggregate theory; adding a partner doesn't).</w:t>
      </w:r>
    </w:p>
    <w:p w14:paraId="5484F954" w14:textId="77777777" w:rsidR="00B844AC" w:rsidRDefault="00F62A06">
      <w:pPr>
        <w:pBdr>
          <w:left w:val="single" w:sz="24" w:space="4" w:color="F97316"/>
        </w:pBdr>
        <w:shd w:val="clear" w:color="auto" w:fill="FFE7D1"/>
        <w:ind w:left="360" w:hanging="288"/>
      </w:pPr>
      <w:r>
        <w:rPr>
          <w:b/>
          <w:color w:val="C2410C"/>
        </w:rPr>
        <w:t xml:space="preserve">2.  </w:t>
      </w:r>
      <w:r>
        <w:t xml:space="preserve">Partners always have the </w:t>
      </w:r>
      <w:r>
        <w:rPr>
          <w:b/>
        </w:rPr>
        <w:t>power</w:t>
      </w:r>
      <w:r>
        <w:t xml:space="preserve"> (not always the right) to dissolve — can't be contracted away. At will: power and right. Term: premature dissolution is </w:t>
      </w:r>
      <w:r>
        <w:rPr>
          <w:b/>
        </w:rPr>
        <w:t>wrongful</w:t>
      </w:r>
      <w:r>
        <w:t xml:space="preserve"> but still occurs. Expulsion per agreement (rightful) still dissolves; death/bankruptcy dissolve (not wrongful); end of term/undertaking dissolves.</w:t>
      </w:r>
    </w:p>
    <w:p w14:paraId="0C5DFDC9" w14:textId="77777777" w:rsidR="00B844AC" w:rsidRDefault="00F62A06">
      <w:pPr>
        <w:pBdr>
          <w:left w:val="single" w:sz="24" w:space="4" w:color="EAB308"/>
        </w:pBdr>
        <w:shd w:val="clear" w:color="auto" w:fill="FDF1A8"/>
        <w:ind w:left="360" w:hanging="288"/>
      </w:pPr>
      <w:r>
        <w:rPr>
          <w:b/>
          <w:color w:val="854D0E"/>
        </w:rPr>
        <w:t xml:space="preserve">3.  </w:t>
      </w:r>
      <w:r>
        <w:t xml:space="preserve">Dissolution starts </w:t>
      </w:r>
      <w:r>
        <w:rPr>
          <w:b/>
        </w:rPr>
        <w:t>winding up</w:t>
      </w:r>
      <w:r>
        <w:t>, not termination (§ 30); fiduciary duties continue; authority limited to winding up (§§ 33, 35 — notice/advertising rules).</w:t>
      </w:r>
    </w:p>
    <w:p w14:paraId="0CDDBB93" w14:textId="77777777" w:rsidR="00B844AC" w:rsidRDefault="00F62A06">
      <w:pPr>
        <w:pBdr>
          <w:left w:val="single" w:sz="24" w:space="4" w:color="22C55E"/>
        </w:pBdr>
        <w:shd w:val="clear" w:color="auto" w:fill="D7F5E1"/>
        <w:ind w:left="360" w:hanging="288"/>
      </w:pPr>
      <w:r>
        <w:rPr>
          <w:b/>
          <w:color w:val="15803D"/>
        </w:rPr>
        <w:t xml:space="preserve">4.  </w:t>
      </w:r>
      <w:r>
        <w:t xml:space="preserve">Business may continue through a new firm. Rightful dissolution: any partner may force liquidation (§ 38(1)). Wrongful: innocent partners get damages and may continue by paying the wrongdoer's interest </w:t>
      </w:r>
      <w:r>
        <w:rPr>
          <w:b/>
        </w:rPr>
        <w:t>less damages and without goodwill</w:t>
      </w:r>
      <w:r>
        <w:t xml:space="preserve"> (§ 38(2)).</w:t>
      </w:r>
    </w:p>
    <w:p w14:paraId="3171A8AE" w14:textId="77777777" w:rsidR="00B844AC" w:rsidRDefault="00F62A06">
      <w:pPr>
        <w:pStyle w:val="ListBullet"/>
      </w:pPr>
      <w:r>
        <w:rPr>
          <w:b/>
        </w:rPr>
        <w:t>Criticisms:</w:t>
      </w:r>
      <w:r>
        <w:t xml:space="preserve"> destabilizes firms, undercuts continuation agreements, doesn't separate departures needing buyouts from true wind-ups.</w:t>
      </w:r>
    </w:p>
    <w:p w14:paraId="7060F07A" w14:textId="77777777" w:rsidR="00B844AC" w:rsidRDefault="00F62A06">
      <w:pPr>
        <w:pStyle w:val="Heading3"/>
      </w:pPr>
      <w:r>
        <w:rPr>
          <w:b w:val="0"/>
        </w:rPr>
        <w:t>RUPA (1997) — four principles</w:t>
      </w:r>
    </w:p>
    <w:p w14:paraId="51F66D48" w14:textId="77777777" w:rsidR="00B844AC" w:rsidRDefault="00F62A06">
      <w:pPr>
        <w:pBdr>
          <w:left w:val="single" w:sz="24" w:space="4" w:color="EF4444"/>
        </w:pBdr>
        <w:shd w:val="clear" w:color="auto" w:fill="FDE2E2"/>
        <w:ind w:left="360" w:hanging="288"/>
      </w:pPr>
      <w:r>
        <w:rPr>
          <w:b/>
          <w:color w:val="B91C1C"/>
        </w:rPr>
        <w:t xml:space="preserve">1.  </w:t>
      </w:r>
      <w:r>
        <w:t xml:space="preserve">Dissociation does </w:t>
      </w:r>
      <w:r>
        <w:rPr>
          <w:b/>
        </w:rPr>
        <w:t>not</w:t>
      </w:r>
      <w:r>
        <w:t xml:space="preserve"> necessarily dissolve (Article 6 lists dissociations).</w:t>
      </w:r>
    </w:p>
    <w:p w14:paraId="75CB51D3" w14:textId="77777777" w:rsidR="00B844AC" w:rsidRDefault="00F62A06">
      <w:pPr>
        <w:pBdr>
          <w:left w:val="single" w:sz="24" w:space="4" w:color="F97316"/>
        </w:pBdr>
        <w:shd w:val="clear" w:color="auto" w:fill="FFE7D1"/>
        <w:ind w:left="360" w:hanging="288"/>
      </w:pPr>
      <w:r>
        <w:rPr>
          <w:b/>
          <w:color w:val="C2410C"/>
        </w:rPr>
        <w:t xml:space="preserve">2.  </w:t>
      </w:r>
      <w:r>
        <w:rPr>
          <w:b/>
        </w:rPr>
        <w:t>§ 603 switch:</w:t>
      </w:r>
      <w:r>
        <w:t xml:space="preserve"> dissociation → either Article 7 buyout and continuation, or Article 8 dissolution, winding up, liquidation.</w:t>
      </w:r>
    </w:p>
    <w:p w14:paraId="140EF05C" w14:textId="77777777" w:rsidR="00B844AC" w:rsidRDefault="00F62A06">
      <w:pPr>
        <w:pBdr>
          <w:left w:val="single" w:sz="24" w:space="4" w:color="EAB308"/>
        </w:pBdr>
        <w:shd w:val="clear" w:color="auto" w:fill="FDF1A8"/>
        <w:ind w:left="360" w:hanging="288"/>
      </w:pPr>
      <w:r>
        <w:rPr>
          <w:b/>
          <w:color w:val="854D0E"/>
        </w:rPr>
        <w:t xml:space="preserve">3.  </w:t>
      </w:r>
      <w:r>
        <w:t xml:space="preserve">Filed </w:t>
      </w:r>
      <w:r>
        <w:rPr>
          <w:b/>
        </w:rPr>
        <w:t>statements</w:t>
      </w:r>
      <w:r>
        <w:t xml:space="preserve"> of dissociation/dissolution cut off apparent authority and liability (90-day constructive notice, § 103(d)).</w:t>
      </w:r>
    </w:p>
    <w:p w14:paraId="1C27B1B2" w14:textId="77777777" w:rsidR="00B844AC" w:rsidRDefault="00F62A06">
      <w:pPr>
        <w:pBdr>
          <w:left w:val="single" w:sz="24" w:space="4" w:color="22C55E"/>
        </w:pBdr>
        <w:shd w:val="clear" w:color="auto" w:fill="D7F5E1"/>
        <w:ind w:left="360" w:hanging="288"/>
      </w:pPr>
      <w:r>
        <w:rPr>
          <w:b/>
          <w:color w:val="15803D"/>
        </w:rPr>
        <w:t xml:space="preserve">4.  </w:t>
      </w:r>
      <w:r>
        <w:t xml:space="preserve">Almost everything is </w:t>
      </w:r>
      <w:r>
        <w:rPr>
          <w:b/>
        </w:rPr>
        <w:t>default</w:t>
      </w:r>
      <w:r>
        <w:t xml:space="preserve"> — the agreement can make a partnership nearly indissoluble (except § 105(c) items).</w:t>
      </w:r>
    </w:p>
    <w:p w14:paraId="39D8BCF3" w14:textId="77777777" w:rsidR="00B844AC" w:rsidRDefault="00F62A06">
      <w:pPr>
        <w:pStyle w:val="Heading3"/>
      </w:pPr>
      <w:r>
        <w:rPr>
          <w:b w:val="0"/>
        </w:rPr>
        <w:t>Dissociation events (§ 601)</w:t>
      </w:r>
    </w:p>
    <w:p w14:paraId="4AD59476" w14:textId="77777777" w:rsidR="00B844AC" w:rsidRDefault="00F62A06">
      <w:pPr>
        <w:pStyle w:val="ListBullet"/>
      </w:pPr>
      <w:r>
        <w:t xml:space="preserve">Express will to withdraw; agreed event; expulsion per agreement; </w:t>
      </w:r>
      <w:r>
        <w:rPr>
          <w:b/>
        </w:rPr>
        <w:t>unanimous</w:t>
      </w:r>
      <w:r>
        <w:t xml:space="preserve"> expulsion if unlawful to continue with partner, partner transferred all interest, or entity partner dissolved; </w:t>
      </w:r>
      <w:r>
        <w:rPr>
          <w:b/>
        </w:rPr>
        <w:t>judicial expulsion</w:t>
      </w:r>
      <w:r>
        <w:t xml:space="preserve"> (wrongful conduct materially affecting the business; willful/persistent material breach; conduct making it not reasonably practicable to continue with the partner); bankruptcy or assignment for creditors; death, guardian, or incapacity.</w:t>
      </w:r>
    </w:p>
    <w:p w14:paraId="7EAD5911" w14:textId="77777777" w:rsidR="00B844AC" w:rsidRDefault="00F62A06">
      <w:pPr>
        <w:pStyle w:val="ListBullet"/>
      </w:pPr>
      <w:r>
        <w:rPr>
          <w:b/>
        </w:rPr>
        <w:t>Not dissociation:</w:t>
      </w:r>
      <w:r>
        <w:t xml:space="preserve"> transferring a transferable interest; a charging order; adding a partner; disagreements.</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1575"/>
        <w:gridCol w:w="3383"/>
        <w:gridCol w:w="5122"/>
      </w:tblGrid>
      <w:tr w:rsidR="00B844AC" w14:paraId="62BDFB3E" w14:textId="77777777">
        <w:trPr>
          <w:cantSplit/>
          <w:tblHeader/>
          <w:jc w:val="center"/>
        </w:trPr>
        <w:tc>
          <w:tcPr>
            <w:tcW w:w="1575" w:type="dxa"/>
            <w:tcBorders>
              <w:top w:val="single" w:sz="4" w:space="0" w:color="BFC9D9"/>
              <w:left w:val="single" w:sz="4" w:space="0" w:color="BFC9D9"/>
              <w:bottom w:val="single" w:sz="4" w:space="0" w:color="BFC9D9"/>
              <w:right w:val="single" w:sz="4" w:space="0" w:color="BFC9D9"/>
            </w:tcBorders>
            <w:shd w:val="clear" w:color="auto" w:fill="1F3864"/>
          </w:tcPr>
          <w:p w14:paraId="5B3ED816" w14:textId="77777777" w:rsidR="00B844AC" w:rsidRDefault="00F62A06">
            <w:pPr>
              <w:spacing w:after="0" w:line="240" w:lineRule="auto"/>
            </w:pPr>
            <w:r>
              <w:rPr>
                <w:b/>
                <w:color w:val="FFFFFF"/>
                <w:sz w:val="17"/>
              </w:rPr>
              <w:t>Event</w:t>
            </w:r>
          </w:p>
        </w:tc>
        <w:tc>
          <w:tcPr>
            <w:tcW w:w="3383" w:type="dxa"/>
            <w:tcBorders>
              <w:top w:val="single" w:sz="4" w:space="0" w:color="BFC9D9"/>
              <w:left w:val="single" w:sz="4" w:space="0" w:color="BFC9D9"/>
              <w:bottom w:val="single" w:sz="4" w:space="0" w:color="BFC9D9"/>
              <w:right w:val="single" w:sz="4" w:space="0" w:color="BFC9D9"/>
            </w:tcBorders>
            <w:shd w:val="clear" w:color="auto" w:fill="1F3864"/>
          </w:tcPr>
          <w:p w14:paraId="14F4A806" w14:textId="77777777" w:rsidR="00B844AC" w:rsidRDefault="00F62A06">
            <w:pPr>
              <w:spacing w:after="0" w:line="240" w:lineRule="auto"/>
            </w:pPr>
            <w:r>
              <w:rPr>
                <w:b/>
                <w:color w:val="FFFFFF"/>
                <w:sz w:val="17"/>
              </w:rPr>
              <w:t>UPA (1914) result</w:t>
            </w:r>
          </w:p>
        </w:tc>
        <w:tc>
          <w:tcPr>
            <w:tcW w:w="5122" w:type="dxa"/>
            <w:tcBorders>
              <w:top w:val="single" w:sz="4" w:space="0" w:color="BFC9D9"/>
              <w:left w:val="single" w:sz="4" w:space="0" w:color="BFC9D9"/>
              <w:bottom w:val="single" w:sz="4" w:space="0" w:color="BFC9D9"/>
              <w:right w:val="single" w:sz="4" w:space="0" w:color="BFC9D9"/>
            </w:tcBorders>
            <w:shd w:val="clear" w:color="auto" w:fill="1F3864"/>
          </w:tcPr>
          <w:p w14:paraId="08DEB477" w14:textId="77777777" w:rsidR="00B844AC" w:rsidRDefault="00F62A06">
            <w:pPr>
              <w:spacing w:after="0" w:line="240" w:lineRule="auto"/>
            </w:pPr>
            <w:r>
              <w:rPr>
                <w:b/>
                <w:color w:val="FFFFFF"/>
                <w:sz w:val="17"/>
              </w:rPr>
              <w:t>RUPA (1997) result</w:t>
            </w:r>
          </w:p>
        </w:tc>
      </w:tr>
      <w:tr w:rsidR="00B844AC" w14:paraId="16A2970E" w14:textId="77777777">
        <w:trPr>
          <w:cantSplit/>
          <w:jc w:val="center"/>
        </w:trPr>
        <w:tc>
          <w:tcPr>
            <w:tcW w:w="1575" w:type="dxa"/>
            <w:tcBorders>
              <w:top w:val="single" w:sz="4" w:space="0" w:color="BFC9D9"/>
              <w:left w:val="single" w:sz="24" w:space="0" w:color="EF4444"/>
              <w:bottom w:val="single" w:sz="4" w:space="0" w:color="BFC9D9"/>
              <w:right w:val="single" w:sz="4" w:space="0" w:color="BFC9D9"/>
            </w:tcBorders>
            <w:shd w:val="clear" w:color="auto" w:fill="FDEDED"/>
          </w:tcPr>
          <w:p w14:paraId="2D5C5457" w14:textId="77777777" w:rsidR="00B844AC" w:rsidRDefault="00F62A06">
            <w:pPr>
              <w:spacing w:after="0" w:line="240" w:lineRule="auto"/>
            </w:pPr>
            <w:r>
              <w:rPr>
                <w:b/>
                <w:sz w:val="17"/>
              </w:rPr>
              <w:t>At-will partner withdraws</w:t>
            </w:r>
          </w:p>
        </w:tc>
        <w:tc>
          <w:tcPr>
            <w:tcW w:w="3383" w:type="dxa"/>
            <w:tcBorders>
              <w:top w:val="single" w:sz="4" w:space="0" w:color="BFC9D9"/>
              <w:left w:val="single" w:sz="4" w:space="0" w:color="BFC9D9"/>
              <w:bottom w:val="single" w:sz="4" w:space="0" w:color="BFC9D9"/>
              <w:right w:val="single" w:sz="4" w:space="0" w:color="BFC9D9"/>
            </w:tcBorders>
            <w:shd w:val="clear" w:color="auto" w:fill="FDEDED"/>
          </w:tcPr>
          <w:p w14:paraId="4A1C46C7" w14:textId="77777777" w:rsidR="00B844AC" w:rsidRDefault="00F62A06">
            <w:pPr>
              <w:spacing w:after="0" w:line="240" w:lineRule="auto"/>
            </w:pPr>
            <w:r>
              <w:rPr>
                <w:sz w:val="17"/>
              </w:rPr>
              <w:t>Rightful dissolution; any partner can force liquidation</w:t>
            </w:r>
          </w:p>
        </w:tc>
        <w:tc>
          <w:tcPr>
            <w:tcW w:w="5122" w:type="dxa"/>
            <w:tcBorders>
              <w:top w:val="single" w:sz="4" w:space="0" w:color="BFC9D9"/>
              <w:left w:val="single" w:sz="4" w:space="0" w:color="BFC9D9"/>
              <w:bottom w:val="single" w:sz="4" w:space="0" w:color="BFC9D9"/>
              <w:right w:val="single" w:sz="4" w:space="0" w:color="BFC9D9"/>
            </w:tcBorders>
            <w:shd w:val="clear" w:color="auto" w:fill="FDEDED"/>
          </w:tcPr>
          <w:p w14:paraId="39D40A79" w14:textId="77777777" w:rsidR="00B844AC" w:rsidRDefault="00F62A06">
            <w:pPr>
              <w:spacing w:after="0" w:line="240" w:lineRule="auto"/>
            </w:pPr>
            <w:r>
              <w:rPr>
                <w:sz w:val="17"/>
              </w:rPr>
              <w:t>Dissolution and winding up (§ 801(1))</w:t>
            </w:r>
          </w:p>
        </w:tc>
      </w:tr>
      <w:tr w:rsidR="00B844AC" w14:paraId="738B5EE7" w14:textId="77777777">
        <w:trPr>
          <w:cantSplit/>
          <w:jc w:val="center"/>
        </w:trPr>
        <w:tc>
          <w:tcPr>
            <w:tcW w:w="1575" w:type="dxa"/>
            <w:tcBorders>
              <w:top w:val="single" w:sz="4" w:space="0" w:color="BFC9D9"/>
              <w:left w:val="single" w:sz="24" w:space="0" w:color="F97316"/>
              <w:bottom w:val="single" w:sz="4" w:space="0" w:color="BFC9D9"/>
              <w:right w:val="single" w:sz="4" w:space="0" w:color="BFC9D9"/>
            </w:tcBorders>
            <w:shd w:val="clear" w:color="auto" w:fill="FFF1E3"/>
          </w:tcPr>
          <w:p w14:paraId="7689B86B" w14:textId="77777777" w:rsidR="00B844AC" w:rsidRDefault="00F62A06">
            <w:pPr>
              <w:spacing w:after="0" w:line="240" w:lineRule="auto"/>
            </w:pPr>
            <w:r>
              <w:rPr>
                <w:b/>
                <w:sz w:val="17"/>
              </w:rPr>
              <w:t>Term partner withdraws early</w:t>
            </w:r>
          </w:p>
        </w:tc>
        <w:tc>
          <w:tcPr>
            <w:tcW w:w="3383" w:type="dxa"/>
            <w:tcBorders>
              <w:top w:val="single" w:sz="4" w:space="0" w:color="BFC9D9"/>
              <w:left w:val="single" w:sz="4" w:space="0" w:color="BFC9D9"/>
              <w:bottom w:val="single" w:sz="4" w:space="0" w:color="BFC9D9"/>
              <w:right w:val="single" w:sz="4" w:space="0" w:color="BFC9D9"/>
            </w:tcBorders>
            <w:shd w:val="clear" w:color="auto" w:fill="FFF1E3"/>
          </w:tcPr>
          <w:p w14:paraId="1C74D3E3" w14:textId="77777777" w:rsidR="00B844AC" w:rsidRDefault="00F62A06">
            <w:pPr>
              <w:spacing w:after="0" w:line="240" w:lineRule="auto"/>
            </w:pPr>
            <w:r>
              <w:rPr>
                <w:sz w:val="17"/>
              </w:rPr>
              <w:t>Wrongful dissolution; others may continue, pay value less damages, no goodwill</w:t>
            </w:r>
          </w:p>
        </w:tc>
        <w:tc>
          <w:tcPr>
            <w:tcW w:w="5122" w:type="dxa"/>
            <w:tcBorders>
              <w:top w:val="single" w:sz="4" w:space="0" w:color="BFC9D9"/>
              <w:left w:val="single" w:sz="4" w:space="0" w:color="BFC9D9"/>
              <w:bottom w:val="single" w:sz="4" w:space="0" w:color="BFC9D9"/>
              <w:right w:val="single" w:sz="4" w:space="0" w:color="BFC9D9"/>
            </w:tcBorders>
            <w:shd w:val="clear" w:color="auto" w:fill="FFF1E3"/>
          </w:tcPr>
          <w:p w14:paraId="48F17E69" w14:textId="77777777" w:rsidR="00B844AC" w:rsidRDefault="00F62A06">
            <w:pPr>
              <w:spacing w:after="0" w:line="240" w:lineRule="auto"/>
            </w:pPr>
            <w:r>
              <w:rPr>
                <w:sz w:val="17"/>
              </w:rPr>
              <w:t>Wrongful dissociation (§ 602(b)); others continue unless half vote to wind up within 90 days; buyout less damages, deferred payment</w:t>
            </w:r>
          </w:p>
        </w:tc>
      </w:tr>
      <w:tr w:rsidR="00B844AC" w14:paraId="156404B7" w14:textId="77777777">
        <w:trPr>
          <w:cantSplit/>
          <w:jc w:val="center"/>
        </w:trPr>
        <w:tc>
          <w:tcPr>
            <w:tcW w:w="1575" w:type="dxa"/>
            <w:tcBorders>
              <w:top w:val="single" w:sz="4" w:space="0" w:color="BFC9D9"/>
              <w:left w:val="single" w:sz="24" w:space="0" w:color="EAB308"/>
              <w:bottom w:val="single" w:sz="4" w:space="0" w:color="BFC9D9"/>
              <w:right w:val="single" w:sz="4" w:space="0" w:color="BFC9D9"/>
            </w:tcBorders>
            <w:shd w:val="clear" w:color="auto" w:fill="FEF8D2"/>
          </w:tcPr>
          <w:p w14:paraId="44C4BF2D" w14:textId="77777777" w:rsidR="00B844AC" w:rsidRDefault="00F62A06">
            <w:pPr>
              <w:spacing w:after="0" w:line="240" w:lineRule="auto"/>
            </w:pPr>
            <w:r>
              <w:rPr>
                <w:b/>
                <w:sz w:val="17"/>
              </w:rPr>
              <w:t>Partner dies or goes bankrupt</w:t>
            </w:r>
          </w:p>
        </w:tc>
        <w:tc>
          <w:tcPr>
            <w:tcW w:w="3383" w:type="dxa"/>
            <w:tcBorders>
              <w:top w:val="single" w:sz="4" w:space="0" w:color="BFC9D9"/>
              <w:left w:val="single" w:sz="4" w:space="0" w:color="BFC9D9"/>
              <w:bottom w:val="single" w:sz="4" w:space="0" w:color="BFC9D9"/>
              <w:right w:val="single" w:sz="4" w:space="0" w:color="BFC9D9"/>
            </w:tcBorders>
            <w:shd w:val="clear" w:color="auto" w:fill="FEF8D2"/>
          </w:tcPr>
          <w:p w14:paraId="4AE6F38B" w14:textId="77777777" w:rsidR="00B844AC" w:rsidRDefault="00F62A06">
            <w:pPr>
              <w:spacing w:after="0" w:line="240" w:lineRule="auto"/>
            </w:pPr>
            <w:r>
              <w:rPr>
                <w:sz w:val="17"/>
              </w:rPr>
              <w:t>Dissolution (not wrongful)</w:t>
            </w:r>
          </w:p>
        </w:tc>
        <w:tc>
          <w:tcPr>
            <w:tcW w:w="5122" w:type="dxa"/>
            <w:tcBorders>
              <w:top w:val="single" w:sz="4" w:space="0" w:color="BFC9D9"/>
              <w:left w:val="single" w:sz="4" w:space="0" w:color="BFC9D9"/>
              <w:bottom w:val="single" w:sz="4" w:space="0" w:color="BFC9D9"/>
              <w:right w:val="single" w:sz="4" w:space="0" w:color="BFC9D9"/>
            </w:tcBorders>
            <w:shd w:val="clear" w:color="auto" w:fill="FEF8D2"/>
          </w:tcPr>
          <w:p w14:paraId="1919FF4E" w14:textId="77777777" w:rsidR="00B844AC" w:rsidRDefault="00F62A06">
            <w:pPr>
              <w:spacing w:after="0" w:line="240" w:lineRule="auto"/>
            </w:pPr>
            <w:r>
              <w:rPr>
                <w:sz w:val="17"/>
              </w:rPr>
              <w:t>Dissociation; term firm continues unless half vote to wind up (§ 801(2)(A)); at-will firm continues with buyout</w:t>
            </w:r>
          </w:p>
        </w:tc>
      </w:tr>
      <w:tr w:rsidR="00B844AC" w14:paraId="5E24002D" w14:textId="77777777">
        <w:trPr>
          <w:cantSplit/>
          <w:jc w:val="center"/>
        </w:trPr>
        <w:tc>
          <w:tcPr>
            <w:tcW w:w="1575" w:type="dxa"/>
            <w:tcBorders>
              <w:top w:val="single" w:sz="4" w:space="0" w:color="BFC9D9"/>
              <w:left w:val="single" w:sz="24" w:space="0" w:color="22C55E"/>
              <w:bottom w:val="single" w:sz="4" w:space="0" w:color="BFC9D9"/>
              <w:right w:val="single" w:sz="4" w:space="0" w:color="BFC9D9"/>
            </w:tcBorders>
            <w:shd w:val="clear" w:color="auto" w:fill="E8F8EE"/>
          </w:tcPr>
          <w:p w14:paraId="3915AEDB" w14:textId="77777777" w:rsidR="00B844AC" w:rsidRDefault="00F62A06">
            <w:pPr>
              <w:spacing w:after="0" w:line="240" w:lineRule="auto"/>
            </w:pPr>
            <w:r>
              <w:rPr>
                <w:b/>
                <w:sz w:val="17"/>
              </w:rPr>
              <w:lastRenderedPageBreak/>
              <w:t>Partner expelled per agreement</w:t>
            </w:r>
          </w:p>
        </w:tc>
        <w:tc>
          <w:tcPr>
            <w:tcW w:w="3383" w:type="dxa"/>
            <w:tcBorders>
              <w:top w:val="single" w:sz="4" w:space="0" w:color="BFC9D9"/>
              <w:left w:val="single" w:sz="4" w:space="0" w:color="BFC9D9"/>
              <w:bottom w:val="single" w:sz="4" w:space="0" w:color="BFC9D9"/>
              <w:right w:val="single" w:sz="4" w:space="0" w:color="BFC9D9"/>
            </w:tcBorders>
            <w:shd w:val="clear" w:color="auto" w:fill="E8F8EE"/>
          </w:tcPr>
          <w:p w14:paraId="0FE1E140" w14:textId="77777777" w:rsidR="00B844AC" w:rsidRDefault="00F62A06">
            <w:pPr>
              <w:spacing w:after="0" w:line="240" w:lineRule="auto"/>
            </w:pPr>
            <w:r>
              <w:rPr>
                <w:sz w:val="17"/>
              </w:rPr>
              <w:t>Dissolution (rightful if bona fide)</w:t>
            </w:r>
          </w:p>
        </w:tc>
        <w:tc>
          <w:tcPr>
            <w:tcW w:w="5122" w:type="dxa"/>
            <w:tcBorders>
              <w:top w:val="single" w:sz="4" w:space="0" w:color="BFC9D9"/>
              <w:left w:val="single" w:sz="4" w:space="0" w:color="BFC9D9"/>
              <w:bottom w:val="single" w:sz="4" w:space="0" w:color="BFC9D9"/>
              <w:right w:val="single" w:sz="4" w:space="0" w:color="BFC9D9"/>
            </w:tcBorders>
            <w:shd w:val="clear" w:color="auto" w:fill="E8F8EE"/>
          </w:tcPr>
          <w:p w14:paraId="678B17FC" w14:textId="77777777" w:rsidR="00B844AC" w:rsidRDefault="00F62A06">
            <w:pPr>
              <w:spacing w:after="0" w:line="240" w:lineRule="auto"/>
            </w:pPr>
            <w:r>
              <w:rPr>
                <w:sz w:val="17"/>
              </w:rPr>
              <w:t>Dissociation; buyout (§ 601(3))</w:t>
            </w:r>
          </w:p>
        </w:tc>
      </w:tr>
      <w:tr w:rsidR="00B844AC" w14:paraId="2BD96AE6" w14:textId="77777777">
        <w:trPr>
          <w:cantSplit/>
          <w:jc w:val="center"/>
        </w:trPr>
        <w:tc>
          <w:tcPr>
            <w:tcW w:w="1575" w:type="dxa"/>
            <w:tcBorders>
              <w:top w:val="single" w:sz="4" w:space="0" w:color="BFC9D9"/>
              <w:left w:val="single" w:sz="24" w:space="0" w:color="3B82F6"/>
              <w:bottom w:val="single" w:sz="4" w:space="0" w:color="BFC9D9"/>
              <w:right w:val="single" w:sz="4" w:space="0" w:color="BFC9D9"/>
            </w:tcBorders>
            <w:shd w:val="clear" w:color="auto" w:fill="E8F0FE"/>
          </w:tcPr>
          <w:p w14:paraId="2627B230" w14:textId="77777777" w:rsidR="00B844AC" w:rsidRDefault="00F62A06">
            <w:pPr>
              <w:spacing w:after="0" w:line="240" w:lineRule="auto"/>
            </w:pPr>
            <w:r>
              <w:rPr>
                <w:b/>
                <w:sz w:val="17"/>
              </w:rPr>
              <w:t>Partner's misconduct</w:t>
            </w:r>
          </w:p>
        </w:tc>
        <w:tc>
          <w:tcPr>
            <w:tcW w:w="3383" w:type="dxa"/>
            <w:tcBorders>
              <w:top w:val="single" w:sz="4" w:space="0" w:color="BFC9D9"/>
              <w:left w:val="single" w:sz="4" w:space="0" w:color="BFC9D9"/>
              <w:bottom w:val="single" w:sz="4" w:space="0" w:color="BFC9D9"/>
              <w:right w:val="single" w:sz="4" w:space="0" w:color="BFC9D9"/>
            </w:tcBorders>
            <w:shd w:val="clear" w:color="auto" w:fill="E8F0FE"/>
          </w:tcPr>
          <w:p w14:paraId="5BEBAE3B" w14:textId="77777777" w:rsidR="00B844AC" w:rsidRDefault="00F62A06">
            <w:pPr>
              <w:spacing w:after="0" w:line="240" w:lineRule="auto"/>
            </w:pPr>
            <w:r>
              <w:rPr>
                <w:sz w:val="17"/>
              </w:rPr>
              <w:t>Court may dissolve (§ 32)</w:t>
            </w:r>
          </w:p>
        </w:tc>
        <w:tc>
          <w:tcPr>
            <w:tcW w:w="5122" w:type="dxa"/>
            <w:tcBorders>
              <w:top w:val="single" w:sz="4" w:space="0" w:color="BFC9D9"/>
              <w:left w:val="single" w:sz="4" w:space="0" w:color="BFC9D9"/>
              <w:bottom w:val="single" w:sz="4" w:space="0" w:color="BFC9D9"/>
              <w:right w:val="single" w:sz="4" w:space="0" w:color="BFC9D9"/>
            </w:tcBorders>
            <w:shd w:val="clear" w:color="auto" w:fill="E8F0FE"/>
          </w:tcPr>
          <w:p w14:paraId="7B88029E" w14:textId="77777777" w:rsidR="00B844AC" w:rsidRDefault="00F62A06">
            <w:pPr>
              <w:spacing w:after="0" w:line="240" w:lineRule="auto"/>
            </w:pPr>
            <w:r>
              <w:rPr>
                <w:sz w:val="17"/>
              </w:rPr>
              <w:t>Court may expel (§ 601(5)) or dissolve (§ 801(4))</w:t>
            </w:r>
          </w:p>
        </w:tc>
      </w:tr>
      <w:tr w:rsidR="00B844AC" w14:paraId="3CB22DDD" w14:textId="77777777">
        <w:trPr>
          <w:cantSplit/>
          <w:jc w:val="center"/>
        </w:trPr>
        <w:tc>
          <w:tcPr>
            <w:tcW w:w="1575" w:type="dxa"/>
            <w:tcBorders>
              <w:top w:val="single" w:sz="4" w:space="0" w:color="BFC9D9"/>
              <w:left w:val="single" w:sz="24" w:space="0" w:color="A855F7"/>
              <w:bottom w:val="single" w:sz="4" w:space="0" w:color="BFC9D9"/>
              <w:right w:val="single" w:sz="4" w:space="0" w:color="BFC9D9"/>
            </w:tcBorders>
            <w:shd w:val="clear" w:color="auto" w:fill="F4ECFF"/>
          </w:tcPr>
          <w:p w14:paraId="4EE6CB00" w14:textId="77777777" w:rsidR="00B844AC" w:rsidRDefault="00F62A06">
            <w:pPr>
              <w:spacing w:after="0" w:line="240" w:lineRule="auto"/>
            </w:pPr>
            <w:r>
              <w:rPr>
                <w:b/>
                <w:sz w:val="17"/>
              </w:rPr>
              <w:t>New partner admitted</w:t>
            </w:r>
          </w:p>
        </w:tc>
        <w:tc>
          <w:tcPr>
            <w:tcW w:w="3383" w:type="dxa"/>
            <w:tcBorders>
              <w:top w:val="single" w:sz="4" w:space="0" w:color="BFC9D9"/>
              <w:left w:val="single" w:sz="4" w:space="0" w:color="BFC9D9"/>
              <w:bottom w:val="single" w:sz="4" w:space="0" w:color="BFC9D9"/>
              <w:right w:val="single" w:sz="4" w:space="0" w:color="BFC9D9"/>
            </w:tcBorders>
            <w:shd w:val="clear" w:color="auto" w:fill="F4ECFF"/>
          </w:tcPr>
          <w:p w14:paraId="0706A9DA" w14:textId="77777777" w:rsidR="00B844AC" w:rsidRDefault="00F62A06">
            <w:pPr>
              <w:spacing w:after="0" w:line="240" w:lineRule="auto"/>
            </w:pPr>
            <w:r>
              <w:rPr>
                <w:sz w:val="17"/>
              </w:rPr>
              <w:t>No dissolution</w:t>
            </w:r>
          </w:p>
        </w:tc>
        <w:tc>
          <w:tcPr>
            <w:tcW w:w="5122" w:type="dxa"/>
            <w:tcBorders>
              <w:top w:val="single" w:sz="4" w:space="0" w:color="BFC9D9"/>
              <w:left w:val="single" w:sz="4" w:space="0" w:color="BFC9D9"/>
              <w:bottom w:val="single" w:sz="4" w:space="0" w:color="BFC9D9"/>
              <w:right w:val="single" w:sz="4" w:space="0" w:color="BFC9D9"/>
            </w:tcBorders>
            <w:shd w:val="clear" w:color="auto" w:fill="F4ECFF"/>
          </w:tcPr>
          <w:p w14:paraId="25AEC46C" w14:textId="77777777" w:rsidR="00B844AC" w:rsidRDefault="00F62A06">
            <w:pPr>
              <w:spacing w:after="0" w:line="240" w:lineRule="auto"/>
            </w:pPr>
            <w:r>
              <w:rPr>
                <w:sz w:val="17"/>
              </w:rPr>
              <w:t>No dissociation</w:t>
            </w:r>
          </w:p>
        </w:tc>
      </w:tr>
    </w:tbl>
    <w:p w14:paraId="1A964DD4" w14:textId="77777777" w:rsidR="00B844AC" w:rsidRDefault="00B844AC">
      <w:pPr>
        <w:spacing w:after="0" w:line="120" w:lineRule="exact"/>
      </w:pPr>
    </w:p>
    <w:p w14:paraId="13348FFE" w14:textId="77777777" w:rsidR="00B844AC" w:rsidRDefault="00F62A06">
      <w:pPr>
        <w:pStyle w:val="Heading3"/>
      </w:pPr>
      <w:r>
        <w:rPr>
          <w:b w:val="0"/>
        </w:rPr>
        <w:t>Buyout when the business continues (§§ 701–704)</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6C0084E" w14:textId="77777777">
        <w:trPr>
          <w:cantSplit/>
          <w:jc w:val="center"/>
        </w:trPr>
        <w:tc>
          <w:tcPr>
            <w:tcW w:w="10080" w:type="dxa"/>
            <w:tcBorders>
              <w:top w:val="nil"/>
              <w:left w:val="single" w:sz="30" w:space="0" w:color="7C3AED"/>
              <w:bottom w:val="nil"/>
              <w:right w:val="nil"/>
            </w:tcBorders>
            <w:shd w:val="clear" w:color="auto" w:fill="F3EEFF"/>
          </w:tcPr>
          <w:p w14:paraId="6284ABCF" w14:textId="77777777" w:rsidR="00B844AC" w:rsidRDefault="00F62A06">
            <w:pPr>
              <w:spacing w:after="0"/>
            </w:pPr>
            <w:r>
              <w:rPr>
                <w:b/>
                <w:color w:val="6D28D9"/>
                <w:sz w:val="17"/>
              </w:rPr>
              <w:t xml:space="preserve">RULE  </w:t>
            </w:r>
            <w:r>
              <w:t>Partnership must buy the dissociated partner's interest at the amount distributable if, on the dissociation date, assets were sold at the GREATER of liquidation value or going-concern value without the partner — minus wrongful-dissociation damages — plus interest from dissociation. No goodwill deduction.</w:t>
            </w:r>
          </w:p>
        </w:tc>
      </w:tr>
    </w:tbl>
    <w:p w14:paraId="600B6596" w14:textId="77777777" w:rsidR="00B844AC" w:rsidRDefault="00B844AC">
      <w:pPr>
        <w:spacing w:after="0" w:line="100" w:lineRule="exact"/>
      </w:pPr>
    </w:p>
    <w:p w14:paraId="30450FBF" w14:textId="77777777" w:rsidR="00B844AC" w:rsidRDefault="00F62A06">
      <w:pPr>
        <w:pStyle w:val="ListBullet"/>
      </w:pPr>
      <w:r>
        <w:t xml:space="preserve">Pay estimated price within </w:t>
      </w:r>
      <w:r>
        <w:rPr>
          <w:b/>
        </w:rPr>
        <w:t>120 days</w:t>
      </w:r>
      <w:r>
        <w:t xml:space="preserve"> of written demand; wrongful dissociator from a term partnership waits until the term ends unless no undue hardship (secured, with interest); suit within 120 days of tender.</w:t>
      </w:r>
    </w:p>
    <w:p w14:paraId="6479ED93" w14:textId="77777777" w:rsidR="00B844AC" w:rsidRDefault="00F62A06">
      <w:pPr>
        <w:pStyle w:val="ListBullet"/>
      </w:pPr>
      <w:r>
        <w:rPr>
          <w:b/>
        </w:rPr>
        <w:t>Lingering power/liability:</w:t>
      </w:r>
      <w:r>
        <w:t xml:space="preserve"> for </w:t>
      </w:r>
      <w:r>
        <w:rPr>
          <w:b/>
        </w:rPr>
        <w:t>2 years</w:t>
      </w:r>
      <w:r>
        <w:t>, a dissociated partner can bind the firm and be liable to third parties who don't know of the dissociation and reasonably believe he's a partner (§§ 702–703) — cut off by a filed statement of dissociation (§ 704) after 90 days.</w:t>
      </w:r>
    </w:p>
    <w:p w14:paraId="349BFC6A" w14:textId="77777777" w:rsidR="00B844AC" w:rsidRDefault="00F62A06">
      <w:pPr>
        <w:pStyle w:val="Heading3"/>
      </w:pPr>
      <w:r>
        <w:rPr>
          <w:b w:val="0"/>
        </w:rPr>
        <w:t>Dissolution events (§ 801)</w:t>
      </w:r>
    </w:p>
    <w:p w14:paraId="5F2F4A71" w14:textId="77777777" w:rsidR="00B844AC" w:rsidRDefault="00F62A06">
      <w:pPr>
        <w:pStyle w:val="ListBullet"/>
      </w:pPr>
      <w:r>
        <w:t>(1) At will: a partner's express will to withdraw.</w:t>
      </w:r>
    </w:p>
    <w:p w14:paraId="3447CC62" w14:textId="77777777" w:rsidR="00B844AC" w:rsidRDefault="00F62A06">
      <w:pPr>
        <w:pStyle w:val="ListBullet"/>
      </w:pPr>
      <w:r>
        <w:t xml:space="preserve">(2) Term: within </w:t>
      </w:r>
      <w:r>
        <w:rPr>
          <w:b/>
        </w:rPr>
        <w:t>90 days</w:t>
      </w:r>
      <w:r>
        <w:t xml:space="preserve"> after a death/bankruptcy/incapacity-type or wrongful dissociation, </w:t>
      </w:r>
      <w:r>
        <w:rPr>
          <w:b/>
        </w:rPr>
        <w:t>at least half</w:t>
      </w:r>
      <w:r>
        <w:t xml:space="preserve"> of remaining partners vote to wind up; all partners agree; term expires/undertaking done.</w:t>
      </w:r>
    </w:p>
    <w:p w14:paraId="4178A4B1" w14:textId="77777777" w:rsidR="00B844AC" w:rsidRDefault="00F62A06">
      <w:pPr>
        <w:pStyle w:val="ListBullet"/>
      </w:pPr>
      <w:r>
        <w:t xml:space="preserve">(3) Event specified in agreement. (4) </w:t>
      </w:r>
      <w:r>
        <w:rPr>
          <w:b/>
        </w:rPr>
        <w:t>Court order on a partner's application:</w:t>
      </w:r>
      <w:r>
        <w:t xml:space="preserve"> business unlawful; economic purpose likely to be unreasonably frustrated; another partner's conduct makes it not reasonably practicable to continue with him; otherwise not reasonably practicable to continue under the agreement. (5) </w:t>
      </w:r>
      <w:r>
        <w:rPr>
          <w:b/>
        </w:rPr>
        <w:t>Court order on a transferee's application</w:t>
      </w:r>
      <w:r>
        <w:t xml:space="preserve"> when equitable: after the term (if term partnership at time of transfer/charging order) or any time (if at will).</w:t>
      </w:r>
    </w:p>
    <w:p w14:paraId="4C52F304" w14:textId="77777777" w:rsidR="00B844AC" w:rsidRDefault="00F62A06">
      <w:pPr>
        <w:pStyle w:val="ListBullet"/>
      </w:pPr>
      <w:r>
        <w:rPr>
          <w:b/>
        </w:rPr>
        <w:t>Agreement may modify (1)–(3) but NOT (4) or (5)</w:t>
      </w:r>
      <w:r>
        <w:t xml:space="preserve"> (§ 105(c)(11)).</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65F09CC7" w14:textId="77777777">
        <w:trPr>
          <w:cantSplit/>
          <w:jc w:val="center"/>
        </w:trPr>
        <w:tc>
          <w:tcPr>
            <w:tcW w:w="10080" w:type="dxa"/>
            <w:tcBorders>
              <w:top w:val="nil"/>
              <w:left w:val="single" w:sz="30" w:space="0" w:color="DB2777"/>
              <w:bottom w:val="nil"/>
              <w:right w:val="nil"/>
            </w:tcBorders>
            <w:shd w:val="clear" w:color="auto" w:fill="FDEFF6"/>
          </w:tcPr>
          <w:p w14:paraId="2541BCB1" w14:textId="77777777" w:rsidR="00B844AC" w:rsidRDefault="00F62A06">
            <w:pPr>
              <w:spacing w:after="0"/>
            </w:pPr>
            <w:r>
              <w:rPr>
                <w:b/>
                <w:color w:val="9D174D"/>
                <w:sz w:val="17"/>
              </w:rPr>
              <w:t xml:space="preserve">TIP  </w:t>
            </w:r>
            <w:r>
              <w:t>Exit questions — (1) UPA or RUPA? (2) at will or term (explicit or implied)? (3) what event — express will, death, bankruptcy, expulsion, court order? (4) rightful or wrongful (§ 602(b) list)? (5) Article 7 buyout or Article 8 winding up? (6) what does the partnership agreement say (it usually controls — Frank, G &amp; S, Day)? (7) who can bind the firm afterward, and for how long?</w:t>
            </w:r>
          </w:p>
        </w:tc>
      </w:tr>
    </w:tbl>
    <w:p w14:paraId="5ABB6D43" w14:textId="77777777" w:rsidR="00B844AC" w:rsidRDefault="00B844AC">
      <w:pPr>
        <w:spacing w:after="0" w:line="100" w:lineRule="exact"/>
      </w:pPr>
    </w:p>
    <w:p w14:paraId="635B7D8D" w14:textId="77777777" w:rsidR="00B844AC" w:rsidRDefault="00F62A06">
      <w:pPr>
        <w:pStyle w:val="Heading3"/>
      </w:pPr>
      <w:r>
        <w:rPr>
          <w:b w:val="0"/>
        </w:rPr>
        <w:t>Winding up (§§ 802–806)</w:t>
      </w:r>
    </w:p>
    <w:p w14:paraId="47EC7EBC" w14:textId="77777777" w:rsidR="00B844AC" w:rsidRDefault="00F62A06">
      <w:pPr>
        <w:pStyle w:val="ListBullet"/>
      </w:pPr>
      <w:r>
        <w:t>Partnership continues only to wind up; no actual authority for new business; apparent authority may linger until a statement of dissolution (90 days); binding acts = those appropriate for winding up or ordinary acts with third parties lacking notice (§ 804); a partner who knowingly binds the firm to new business is liable to the others (§ 805). Winding up = conclude all unfinished business pending at dissolution, pay debts, distribute (§ 806). Wrongful dissociator can't participate.</w:t>
      </w:r>
    </w:p>
    <w:p w14:paraId="56C6DD71" w14:textId="77777777" w:rsidR="00B844AC" w:rsidRDefault="00F62A06">
      <w:pPr>
        <w:pStyle w:val="Heading3"/>
      </w:pPr>
      <w:r>
        <w:rPr>
          <w:b w:val="0"/>
        </w:rPr>
        <w:t>Power vs. right; wrongful dissociation</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3B473819" w14:textId="77777777">
        <w:trPr>
          <w:cantSplit/>
          <w:jc w:val="center"/>
        </w:trPr>
        <w:tc>
          <w:tcPr>
            <w:tcW w:w="10080" w:type="dxa"/>
            <w:tcBorders>
              <w:top w:val="nil"/>
              <w:left w:val="single" w:sz="30" w:space="0" w:color="7C3AED"/>
              <w:bottom w:val="nil"/>
              <w:right w:val="nil"/>
            </w:tcBorders>
            <w:shd w:val="clear" w:color="auto" w:fill="F3EEFF"/>
          </w:tcPr>
          <w:p w14:paraId="262A2E84" w14:textId="77777777" w:rsidR="00B844AC" w:rsidRDefault="00F62A06">
            <w:pPr>
              <w:spacing w:after="0"/>
            </w:pPr>
            <w:r>
              <w:rPr>
                <w:b/>
                <w:color w:val="6D28D9"/>
                <w:sz w:val="17"/>
              </w:rPr>
              <w:t xml:space="preserve">RULE  </w:t>
            </w:r>
            <w:r>
              <w:t xml:space="preserve">A partner has the POWER to dissociate at any time by express will (§ 602(a); Collins v. Lewis). Dissociation is WRONGFUL only if </w:t>
            </w:r>
            <w:r>
              <w:rPr>
                <w:color w:val="B91C1C"/>
                <w:shd w:val="clear" w:color="auto" w:fill="FDE2E2"/>
              </w:rPr>
              <w:t xml:space="preserve">(1) it breaches an express term of the agreement, or </w:t>
            </w:r>
            <w:r>
              <w:rPr>
                <w:color w:val="C2410C"/>
                <w:shd w:val="clear" w:color="auto" w:fill="FFE7D1"/>
              </w:rPr>
              <w:t xml:space="preserve">(2) in a term partnership, before the end of the term: the partner withdraws by express will (unless within 90 days after another partner's death-type or wrongful dissociation), is judicially expelled, becomes a bankruptcy debtor, or (entity partner) willfully dissolves.</w:t>
            </w:r>
            <w:r>
              <w:t xml:space="preserve"> The wrongdoer is liable for damages caused (§ 602(c)).</w:t>
            </w:r>
          </w:p>
        </w:tc>
      </w:tr>
    </w:tbl>
    <w:p w14:paraId="363FEF20" w14:textId="77777777" w:rsidR="00B844AC" w:rsidRDefault="00B844AC">
      <w:pPr>
        <w:spacing w:after="0" w:line="100" w:lineRule="exact"/>
      </w:pPr>
    </w:p>
    <w:p w14:paraId="4DC56282" w14:textId="77777777" w:rsidR="00B844AC" w:rsidRDefault="00F62A06">
      <w:pPr>
        <w:keepNext/>
        <w:pBdr>
          <w:left w:val="single" w:sz="18" w:space="6" w:color="DC2626"/>
        </w:pBdr>
        <w:spacing w:before="100" w:after="20"/>
        <w:ind w:left="173"/>
      </w:pPr>
      <w:r>
        <w:rPr>
          <w:b/>
          <w:color w:val="B91C1C"/>
          <w:sz w:val="21"/>
        </w:rPr>
        <w:lastRenderedPageBreak/>
        <w:t>Giles v. Giles Land Co. (Kan. App. 2012)</w:t>
      </w:r>
      <w:r>
        <w:rPr>
          <w:color w:val="B91C1C"/>
          <w:sz w:val="15"/>
        </w:rPr>
        <w:t xml:space="preserve">  </w:t>
      </w:r>
      <w:r>
        <w:rPr>
          <w:b/>
          <w:color w:val="FFFFFF"/>
          <w:sz w:val="15"/>
          <w:shd w:val="clear" w:color="auto" w:fill="DC2626"/>
        </w:rPr>
        <w:t> MAIN CASE · CLASS 8 </w:t>
      </w:r>
    </w:p>
    <w:p w14:paraId="286104CC" w14:textId="77777777" w:rsidR="00B844AC" w:rsidRDefault="00F62A06">
      <w:pPr>
        <w:keepNext/>
        <w:pBdr>
          <w:left w:val="single" w:sz="18" w:space="6" w:color="DC2626"/>
        </w:pBdr>
        <w:shd w:val="clear" w:color="auto" w:fill="EAF2FF"/>
        <w:spacing w:after="30"/>
        <w:ind w:left="173"/>
      </w:pPr>
      <w:r>
        <w:rPr>
          <w:b/>
          <w:color w:val="1D4ED8"/>
        </w:rPr>
        <w:t xml:space="preserve">Facts:  </w:t>
      </w:r>
      <w:r>
        <w:t>In a family farm partnership, a son threatened the others ("last man standing," "paybacks are hell"), berated his father, and stalled the business.</w:t>
      </w:r>
    </w:p>
    <w:p w14:paraId="2D01CB58" w14:textId="77777777" w:rsidR="00B844AC" w:rsidRDefault="00F62A06">
      <w:pPr>
        <w:keepNext/>
        <w:pBdr>
          <w:left w:val="single" w:sz="18" w:space="6" w:color="DC2626"/>
        </w:pBdr>
        <w:shd w:val="clear" w:color="auto" w:fill="E7F8EE"/>
        <w:spacing w:after="30"/>
        <w:ind w:left="173"/>
      </w:pPr>
      <w:r>
        <w:rPr>
          <w:b/>
          <w:color w:val="15803D"/>
        </w:rPr>
        <w:t xml:space="preserve">Held:  </w:t>
      </w:r>
      <w:r>
        <w:t>The court expelled him (judicial dissociation) because his conduct made it not reasonably practicable to continue in partnership with him.</w:t>
      </w:r>
    </w:p>
    <w:p w14:paraId="38E2C284" w14:textId="77777777" w:rsidR="00B844AC" w:rsidRDefault="00F62A06">
      <w:pPr>
        <w:pBdr>
          <w:left w:val="single" w:sz="18" w:space="6" w:color="DC2626"/>
        </w:pBdr>
        <w:shd w:val="clear" w:color="auto" w:fill="FEF6C2"/>
        <w:spacing w:after="80"/>
        <w:ind w:left="173"/>
      </w:pPr>
      <w:r>
        <w:rPr>
          <w:b/>
          <w:color w:val="8A6100"/>
        </w:rPr>
        <w:t xml:space="preserve">Why it matters:  </w:t>
      </w:r>
      <w:r>
        <w:t>RUPA lets courts remove one partner (with a buyout) instead of dissolving the business.</w:t>
      </w:r>
    </w:p>
    <w:p w14:paraId="6E4D09BB" w14:textId="77777777" w:rsidR="00B844AC" w:rsidRDefault="00F62A06">
      <w:pPr>
        <w:keepNext/>
        <w:pBdr>
          <w:left w:val="single" w:sz="18" w:space="6" w:color="16A34A"/>
        </w:pBdr>
        <w:spacing w:before="100" w:after="20"/>
        <w:ind w:left="173"/>
      </w:pPr>
      <w:r>
        <w:rPr>
          <w:b/>
          <w:color w:val="15803D"/>
          <w:sz w:val="21"/>
        </w:rPr>
        <w:t>Collins v. Lewis (Tex. Civ. App. 1955)</w:t>
      </w:r>
      <w:r>
        <w:rPr>
          <w:color w:val="15803D"/>
          <w:sz w:val="15"/>
        </w:rPr>
        <w:t xml:space="preserve">  </w:t>
      </w:r>
      <w:r>
        <w:rPr>
          <w:b/>
          <w:color w:val="FFFFFF"/>
          <w:sz w:val="15"/>
          <w:shd w:val="clear" w:color="auto" w:fill="16A34A"/>
        </w:rPr>
        <w:t> SLIDE REFERENCE · CLASS 8 </w:t>
      </w:r>
    </w:p>
    <w:p w14:paraId="1C7B4B97" w14:textId="77777777" w:rsidR="00B844AC" w:rsidRDefault="00F62A06">
      <w:pPr>
        <w:keepNext/>
        <w:pBdr>
          <w:left w:val="single" w:sz="18" w:space="6" w:color="16A34A"/>
        </w:pBdr>
        <w:shd w:val="clear" w:color="auto" w:fill="EAF2FF"/>
        <w:spacing w:after="30"/>
        <w:ind w:left="173"/>
      </w:pPr>
      <w:r>
        <w:rPr>
          <w:b/>
          <w:color w:val="1D4ED8"/>
        </w:rPr>
        <w:t xml:space="preserve">Facts:  </w:t>
      </w:r>
      <w:r>
        <w:t>Collins financed a cafeteria partnership set to last the 30-year lease; when it lost money early, he stopped funding and sued to dissolve it.</w:t>
      </w:r>
    </w:p>
    <w:p w14:paraId="410F8EB0" w14:textId="77777777" w:rsidR="00B844AC" w:rsidRDefault="00F62A06">
      <w:pPr>
        <w:keepNext/>
        <w:pBdr>
          <w:left w:val="single" w:sz="18" w:space="6" w:color="16A34A"/>
        </w:pBdr>
        <w:shd w:val="clear" w:color="auto" w:fill="E7F8EE"/>
        <w:spacing w:after="30"/>
        <w:ind w:left="173"/>
      </w:pPr>
      <w:r>
        <w:rPr>
          <w:b/>
          <w:color w:val="15803D"/>
        </w:rPr>
        <w:t xml:space="preserve">Held:  </w:t>
      </w:r>
      <w:r>
        <w:t>Dissolution denied — the losses came from Collins's own conduct. A partner always has the power, but not always the right, to dissolve; wrongful dissolution means damages.</w:t>
      </w:r>
    </w:p>
    <w:p w14:paraId="0CE1BD93" w14:textId="77777777" w:rsidR="00B844AC" w:rsidRDefault="00F62A06">
      <w:pPr>
        <w:pBdr>
          <w:left w:val="single" w:sz="18" w:space="6" w:color="16A34A"/>
        </w:pBdr>
        <w:shd w:val="clear" w:color="auto" w:fill="FEF6C2"/>
        <w:spacing w:after="80"/>
        <w:ind w:left="173"/>
      </w:pPr>
      <w:r>
        <w:rPr>
          <w:b/>
          <w:color w:val="8A6100"/>
        </w:rPr>
        <w:t xml:space="preserve">Why it matters:  </w:t>
      </w:r>
      <w:r>
        <w:t>The source of the power-vs.-right rule (RUPA § 602(a)).</w:t>
      </w:r>
    </w:p>
    <w:p w14:paraId="4B325664" w14:textId="77777777" w:rsidR="00B844AC" w:rsidRDefault="00F62A06">
      <w:pPr>
        <w:keepNext/>
        <w:pBdr>
          <w:left w:val="single" w:sz="18" w:space="6" w:color="EA580C"/>
        </w:pBdr>
        <w:spacing w:before="100" w:after="20"/>
        <w:ind w:left="173"/>
      </w:pPr>
      <w:r>
        <w:rPr>
          <w:b/>
          <w:color w:val="C2410C"/>
          <w:sz w:val="21"/>
        </w:rPr>
        <w:t>Owen v. Cohen (Cal. 1941)</w:t>
      </w:r>
      <w:r>
        <w:rPr>
          <w:color w:val="C2410C"/>
          <w:sz w:val="15"/>
        </w:rPr>
        <w:t xml:space="preserve">  </w:t>
      </w:r>
      <w:r>
        <w:rPr>
          <w:b/>
          <w:color w:val="FFFFFF"/>
          <w:sz w:val="15"/>
          <w:shd w:val="clear" w:color="auto" w:fill="EA580C"/>
        </w:rPr>
        <w:t> SUPPLEMENTAL READING · CASEBOOK ONLY </w:t>
      </w:r>
    </w:p>
    <w:p w14:paraId="652917B0" w14:textId="77777777" w:rsidR="00B844AC" w:rsidRDefault="00F62A06">
      <w:pPr>
        <w:keepNext/>
        <w:pBdr>
          <w:left w:val="single" w:sz="18" w:space="6" w:color="EA580C"/>
        </w:pBdr>
        <w:shd w:val="clear" w:color="auto" w:fill="EAF2FF"/>
        <w:spacing w:after="30"/>
        <w:ind w:left="173"/>
      </w:pPr>
      <w:r>
        <w:rPr>
          <w:b/>
          <w:color w:val="1D4ED8"/>
        </w:rPr>
        <w:t xml:space="preserve">Facts:  </w:t>
      </w:r>
      <w:r>
        <w:t>In a bowling-alley partnership, one partner tried to dominate, humiliated the other, refused to work, and took money without consent.</w:t>
      </w:r>
    </w:p>
    <w:p w14:paraId="747EA136" w14:textId="77777777" w:rsidR="00B844AC" w:rsidRDefault="00F62A06">
      <w:pPr>
        <w:keepNext/>
        <w:pBdr>
          <w:left w:val="single" w:sz="18" w:space="6" w:color="EA580C"/>
        </w:pBdr>
        <w:shd w:val="clear" w:color="auto" w:fill="E7F8EE"/>
        <w:spacing w:after="30"/>
        <w:ind w:left="173"/>
      </w:pPr>
      <w:r>
        <w:rPr>
          <w:b/>
          <w:color w:val="15803D"/>
        </w:rPr>
        <w:t xml:space="preserve">Held:  </w:t>
      </w:r>
      <w:r>
        <w:t>Court-ordered dissolution affirmed; persistent misconduct destroying cooperation is enough. The other partner's loan is repaid first from the sale.</w:t>
      </w:r>
    </w:p>
    <w:p w14:paraId="38FB927F" w14:textId="77777777" w:rsidR="00B844AC" w:rsidRDefault="00F62A06">
      <w:pPr>
        <w:pBdr>
          <w:left w:val="single" w:sz="18" w:space="6" w:color="EA580C"/>
        </w:pBdr>
        <w:shd w:val="clear" w:color="auto" w:fill="FEF6C2"/>
        <w:spacing w:after="80"/>
        <w:ind w:left="173"/>
      </w:pPr>
      <w:r>
        <w:rPr>
          <w:b/>
          <w:color w:val="8A6100"/>
        </w:rPr>
        <w:t xml:space="preserve">Why it matters:  </w:t>
      </w:r>
      <w:r>
        <w:t>Grounds for judicial dissolution (now RUPA § 801(4)).</w:t>
      </w:r>
    </w:p>
    <w:p w14:paraId="262FF1F9" w14:textId="77777777" w:rsidR="00B844AC" w:rsidRDefault="00F62A06">
      <w:pPr>
        <w:keepNext/>
        <w:pBdr>
          <w:left w:val="single" w:sz="18" w:space="6" w:color="EA580C"/>
        </w:pBdr>
        <w:spacing w:before="100" w:after="20"/>
        <w:ind w:left="173"/>
      </w:pPr>
      <w:r>
        <w:rPr>
          <w:b/>
          <w:color w:val="C2410C"/>
          <w:sz w:val="21"/>
        </w:rPr>
        <w:t>Page v. Page (Cal. 1961)</w:t>
      </w:r>
      <w:r>
        <w:rPr>
          <w:color w:val="C2410C"/>
          <w:sz w:val="15"/>
        </w:rPr>
        <w:t xml:space="preserve">  </w:t>
      </w:r>
      <w:r>
        <w:rPr>
          <w:b/>
          <w:color w:val="FFFFFF"/>
          <w:sz w:val="15"/>
          <w:shd w:val="clear" w:color="auto" w:fill="EA580C"/>
        </w:rPr>
        <w:t> SUPPLEMENTAL READING · CASEBOOK ONLY </w:t>
      </w:r>
    </w:p>
    <w:p w14:paraId="18629D26" w14:textId="77777777" w:rsidR="00B844AC" w:rsidRDefault="00F62A06">
      <w:pPr>
        <w:keepNext/>
        <w:pBdr>
          <w:left w:val="single" w:sz="18" w:space="6" w:color="EA580C"/>
        </w:pBdr>
        <w:shd w:val="clear" w:color="auto" w:fill="EAF2FF"/>
        <w:spacing w:after="30"/>
        <w:ind w:left="173"/>
      </w:pPr>
      <w:r>
        <w:rPr>
          <w:b/>
          <w:color w:val="1D4ED8"/>
        </w:rPr>
        <w:t xml:space="preserve">Facts:  </w:t>
      </w:r>
      <w:r>
        <w:t>Two brothers' linen partnership lost money for years; once it turned profitable, the brother whose company held its debt sought to dissolve it.</w:t>
      </w:r>
    </w:p>
    <w:p w14:paraId="1A337D6B" w14:textId="77777777" w:rsidR="00B844AC" w:rsidRDefault="00F62A06">
      <w:pPr>
        <w:keepNext/>
        <w:pBdr>
          <w:left w:val="single" w:sz="18" w:space="6" w:color="EA580C"/>
        </w:pBdr>
        <w:shd w:val="clear" w:color="auto" w:fill="E7F8EE"/>
        <w:spacing w:after="30"/>
        <w:ind w:left="173"/>
      </w:pPr>
      <w:r>
        <w:rPr>
          <w:b/>
          <w:color w:val="15803D"/>
        </w:rPr>
        <w:t xml:space="preserve">Held:  </w:t>
      </w:r>
      <w:r>
        <w:t>It was an at-will partnership, so he may dissolve — but only in good faith; he may not freeze out his brother to grab the business.</w:t>
      </w:r>
    </w:p>
    <w:p w14:paraId="445F37B4" w14:textId="77777777" w:rsidR="00B844AC" w:rsidRDefault="00F62A06">
      <w:pPr>
        <w:pBdr>
          <w:left w:val="single" w:sz="18" w:space="6" w:color="EA580C"/>
        </w:pBdr>
        <w:shd w:val="clear" w:color="auto" w:fill="FEF6C2"/>
        <w:spacing w:after="80"/>
        <w:ind w:left="173"/>
      </w:pPr>
      <w:r>
        <w:rPr>
          <w:b/>
          <w:color w:val="8A6100"/>
        </w:rPr>
        <w:t xml:space="preserve">Why it matters:  </w:t>
      </w:r>
      <w:r>
        <w:t>The good-faith limit on dissolution and how to tell at-will from term partnerships.</w:t>
      </w:r>
    </w:p>
    <w:p w14:paraId="13E8D952" w14:textId="77777777" w:rsidR="00B844AC" w:rsidRDefault="00F62A06">
      <w:pPr>
        <w:keepNext/>
        <w:pBdr>
          <w:left w:val="single" w:sz="18" w:space="6" w:color="EA580C"/>
        </w:pBdr>
        <w:spacing w:before="100" w:after="20"/>
        <w:ind w:left="173"/>
      </w:pPr>
      <w:r>
        <w:rPr>
          <w:b/>
          <w:color w:val="C2410C"/>
          <w:sz w:val="21"/>
        </w:rPr>
        <w:t>Creel v. Lilly (Md. 1999)</w:t>
      </w:r>
      <w:r>
        <w:rPr>
          <w:color w:val="C2410C"/>
          <w:sz w:val="15"/>
        </w:rPr>
        <w:t xml:space="preserve">  </w:t>
      </w:r>
      <w:r>
        <w:rPr>
          <w:b/>
          <w:color w:val="FFFFFF"/>
          <w:sz w:val="15"/>
          <w:shd w:val="clear" w:color="auto" w:fill="EA580C"/>
        </w:rPr>
        <w:t> SUPPLEMENTAL READING · CASEBOOK ONLY </w:t>
      </w:r>
    </w:p>
    <w:p w14:paraId="66E5EBF7" w14:textId="77777777" w:rsidR="00B844AC" w:rsidRDefault="00F62A06">
      <w:pPr>
        <w:keepNext/>
        <w:pBdr>
          <w:left w:val="single" w:sz="18" w:space="6" w:color="EA580C"/>
        </w:pBdr>
        <w:shd w:val="clear" w:color="auto" w:fill="EAF2FF"/>
        <w:spacing w:after="30"/>
        <w:ind w:left="173"/>
      </w:pPr>
      <w:r>
        <w:rPr>
          <w:b/>
          <w:color w:val="1D4ED8"/>
        </w:rPr>
        <w:t xml:space="preserve">Facts:  </w:t>
      </w:r>
      <w:r>
        <w:t>After a partner died, the survivors inventoried and valued the store and paid his estate its share; the widow demanded a full liquidation sale.</w:t>
      </w:r>
    </w:p>
    <w:p w14:paraId="1D9A4005" w14:textId="77777777" w:rsidR="00B844AC" w:rsidRDefault="00F62A06">
      <w:pPr>
        <w:keepNext/>
        <w:pBdr>
          <w:left w:val="single" w:sz="18" w:space="6" w:color="EA580C"/>
        </w:pBdr>
        <w:shd w:val="clear" w:color="auto" w:fill="E7F8EE"/>
        <w:spacing w:after="30"/>
        <w:ind w:left="173"/>
      </w:pPr>
      <w:r>
        <w:rPr>
          <w:b/>
          <w:color w:val="15803D"/>
        </w:rPr>
        <w:t xml:space="preserve">Held:  </w:t>
      </w:r>
      <w:r>
        <w:t>No forced liquidation — winding up isn't the same as a fire sale; a good-faith accounting and payment suffices.</w:t>
      </w:r>
    </w:p>
    <w:p w14:paraId="4196B8C3" w14:textId="77777777" w:rsidR="00B844AC" w:rsidRDefault="00F62A06">
      <w:pPr>
        <w:pBdr>
          <w:left w:val="single" w:sz="18" w:space="6" w:color="EA580C"/>
        </w:pBdr>
        <w:shd w:val="clear" w:color="auto" w:fill="FEF6C2"/>
        <w:spacing w:after="80"/>
        <w:ind w:left="173"/>
      </w:pPr>
      <w:r>
        <w:rPr>
          <w:b/>
          <w:color w:val="8A6100"/>
        </w:rPr>
        <w:t xml:space="preserve">Why it matters:  </w:t>
      </w:r>
      <w:r>
        <w:t>The move from aggregate-theory dissolution to entity continuity (with Giles).</w:t>
      </w:r>
    </w:p>
    <w:p w14:paraId="4E3AEC7A" w14:textId="77777777" w:rsidR="00B844AC" w:rsidRDefault="00F62A06">
      <w:pPr>
        <w:pStyle w:val="Heading3"/>
      </w:pPr>
      <w:r>
        <w:rPr>
          <w:b w:val="0"/>
        </w:rPr>
        <w:t>Consequences of dissolution (supplemental readings)</w:t>
      </w:r>
    </w:p>
    <w:p w14:paraId="458EE3C7" w14:textId="77777777" w:rsidR="00B844AC" w:rsidRDefault="00F62A06">
      <w:pPr>
        <w:keepNext/>
        <w:pBdr>
          <w:left w:val="single" w:sz="18" w:space="6" w:color="EA580C"/>
        </w:pBdr>
        <w:spacing w:before="100" w:after="20"/>
        <w:ind w:left="173"/>
      </w:pPr>
      <w:r>
        <w:rPr>
          <w:b/>
          <w:color w:val="C2410C"/>
          <w:sz w:val="21"/>
        </w:rPr>
        <w:t>Prentiss v. Sheffel (Ariz. App. 1973)</w:t>
      </w:r>
      <w:r>
        <w:rPr>
          <w:color w:val="C2410C"/>
          <w:sz w:val="15"/>
        </w:rPr>
        <w:t xml:space="preserve">  </w:t>
      </w:r>
      <w:r>
        <w:rPr>
          <w:b/>
          <w:color w:val="FFFFFF"/>
          <w:sz w:val="15"/>
          <w:shd w:val="clear" w:color="auto" w:fill="EA580C"/>
        </w:rPr>
        <w:t> SUPPLEMENTAL READING · CASEBOOK ONLY </w:t>
      </w:r>
    </w:p>
    <w:p w14:paraId="15C532DF" w14:textId="77777777" w:rsidR="00B844AC" w:rsidRDefault="00F62A06">
      <w:pPr>
        <w:keepNext/>
        <w:pBdr>
          <w:left w:val="single" w:sz="18" w:space="6" w:color="EA580C"/>
        </w:pBdr>
        <w:shd w:val="clear" w:color="auto" w:fill="EAF2FF"/>
        <w:spacing w:after="30"/>
        <w:ind w:left="173"/>
      </w:pPr>
      <w:r>
        <w:rPr>
          <w:b/>
          <w:color w:val="1D4ED8"/>
        </w:rPr>
        <w:t xml:space="preserve">Facts:  </w:t>
      </w:r>
      <w:r>
        <w:t>Two majority partners froze out a minority partner in a shopping-center partnership; the court ordered a sale and let the majority bid.</w:t>
      </w:r>
    </w:p>
    <w:p w14:paraId="493D45DD" w14:textId="77777777" w:rsidR="00B844AC" w:rsidRDefault="00F62A06">
      <w:pPr>
        <w:keepNext/>
        <w:pBdr>
          <w:left w:val="single" w:sz="18" w:space="6" w:color="EA580C"/>
        </w:pBdr>
        <w:shd w:val="clear" w:color="auto" w:fill="E7F8EE"/>
        <w:spacing w:after="30"/>
        <w:ind w:left="173"/>
      </w:pPr>
      <w:r>
        <w:rPr>
          <w:b/>
          <w:color w:val="15803D"/>
        </w:rPr>
        <w:t xml:space="preserve">Held:  </w:t>
      </w:r>
      <w:r>
        <w:t>Allowed — no bad-faith plan was shown, and their bid raised the price, increasing the minority partner's share.</w:t>
      </w:r>
    </w:p>
    <w:p w14:paraId="4EAE199C" w14:textId="77777777" w:rsidR="00B844AC" w:rsidRDefault="00F62A06">
      <w:pPr>
        <w:pBdr>
          <w:left w:val="single" w:sz="18" w:space="6" w:color="EA580C"/>
        </w:pBdr>
        <w:shd w:val="clear" w:color="auto" w:fill="FEF6C2"/>
        <w:spacing w:after="80"/>
        <w:ind w:left="173"/>
      </w:pPr>
      <w:r>
        <w:rPr>
          <w:b/>
          <w:color w:val="8A6100"/>
        </w:rPr>
        <w:t xml:space="preserve">Why it matters:  </w:t>
      </w:r>
      <w:r>
        <w:t>How judicial sales work in winding up.</w:t>
      </w:r>
    </w:p>
    <w:p w14:paraId="081945D9" w14:textId="77777777" w:rsidR="00B844AC" w:rsidRDefault="00F62A06">
      <w:pPr>
        <w:keepNext/>
        <w:pBdr>
          <w:left w:val="single" w:sz="18" w:space="6" w:color="EA580C"/>
        </w:pBdr>
        <w:spacing w:before="100" w:after="20"/>
        <w:ind w:left="173"/>
      </w:pPr>
      <w:r>
        <w:rPr>
          <w:b/>
          <w:color w:val="C2410C"/>
          <w:sz w:val="21"/>
        </w:rPr>
        <w:t>Disotell v. Stiltner (Alaska 2004)</w:t>
      </w:r>
      <w:r>
        <w:rPr>
          <w:color w:val="C2410C"/>
          <w:sz w:val="15"/>
        </w:rPr>
        <w:t xml:space="preserve">  </w:t>
      </w:r>
      <w:r>
        <w:rPr>
          <w:b/>
          <w:color w:val="FFFFFF"/>
          <w:sz w:val="15"/>
          <w:shd w:val="clear" w:color="auto" w:fill="EA580C"/>
        </w:rPr>
        <w:t> SUPPLEMENTAL READING · CASEBOOK ONLY </w:t>
      </w:r>
    </w:p>
    <w:p w14:paraId="4C9956F2" w14:textId="77777777" w:rsidR="00B844AC" w:rsidRDefault="00F62A06">
      <w:pPr>
        <w:keepNext/>
        <w:pBdr>
          <w:left w:val="single" w:sz="18" w:space="6" w:color="EA580C"/>
        </w:pBdr>
        <w:shd w:val="clear" w:color="auto" w:fill="EAF2FF"/>
        <w:spacing w:after="30"/>
        <w:ind w:left="173"/>
      </w:pPr>
      <w:r>
        <w:rPr>
          <w:b/>
          <w:color w:val="1D4ED8"/>
        </w:rPr>
        <w:t xml:space="preserve">Facts:  </w:t>
      </w:r>
      <w:r>
        <w:t>A hotel partnership dissolved before earning any profit; the trial court let one partner buy the other out rather than sell the property.</w:t>
      </w:r>
    </w:p>
    <w:p w14:paraId="31A955D6" w14:textId="77777777" w:rsidR="00B844AC" w:rsidRDefault="00F62A06">
      <w:pPr>
        <w:keepNext/>
        <w:pBdr>
          <w:left w:val="single" w:sz="18" w:space="6" w:color="EA580C"/>
        </w:pBdr>
        <w:shd w:val="clear" w:color="auto" w:fill="E7F8EE"/>
        <w:spacing w:after="30"/>
        <w:ind w:left="173"/>
      </w:pPr>
      <w:r>
        <w:rPr>
          <w:b/>
          <w:color w:val="15803D"/>
        </w:rPr>
        <w:t xml:space="preserve">Held:  </w:t>
      </w:r>
      <w:r>
        <w:t>A buyout instead of liquidation is allowed, but only at fair market value proven by evidence; a partner must account for personal use of partnership property during winding up.</w:t>
      </w:r>
    </w:p>
    <w:p w14:paraId="484EB700" w14:textId="77777777" w:rsidR="00B844AC" w:rsidRDefault="00F62A06">
      <w:pPr>
        <w:pBdr>
          <w:left w:val="single" w:sz="18" w:space="6" w:color="EA580C"/>
        </w:pBdr>
        <w:shd w:val="clear" w:color="auto" w:fill="FEF6C2"/>
        <w:spacing w:after="80"/>
        <w:ind w:left="173"/>
      </w:pPr>
      <w:r>
        <w:rPr>
          <w:b/>
          <w:color w:val="8A6100"/>
        </w:rPr>
        <w:t xml:space="preserve">Why it matters:  </w:t>
      </w:r>
      <w:r>
        <w:t>The shift from forced liquidation to buyouts (now RUPA § 701).</w:t>
      </w:r>
    </w:p>
    <w:p w14:paraId="0ECF670D" w14:textId="77777777" w:rsidR="00B844AC" w:rsidRDefault="00F62A06">
      <w:pPr>
        <w:keepNext/>
        <w:pBdr>
          <w:left w:val="single" w:sz="18" w:space="6" w:color="EA580C"/>
        </w:pBdr>
        <w:spacing w:before="100" w:after="20"/>
        <w:ind w:left="173"/>
      </w:pPr>
      <w:r>
        <w:rPr>
          <w:b/>
          <w:color w:val="C2410C"/>
          <w:sz w:val="21"/>
        </w:rPr>
        <w:t>Monin v. Monin (Ky. App. 1989)</w:t>
      </w:r>
      <w:r>
        <w:rPr>
          <w:color w:val="C2410C"/>
          <w:sz w:val="15"/>
        </w:rPr>
        <w:t xml:space="preserve">  </w:t>
      </w:r>
      <w:r>
        <w:rPr>
          <w:b/>
          <w:color w:val="FFFFFF"/>
          <w:sz w:val="15"/>
          <w:shd w:val="clear" w:color="auto" w:fill="EA580C"/>
        </w:rPr>
        <w:t> SUPPLEMENTAL READING · CASEBOOK ONLY </w:t>
      </w:r>
    </w:p>
    <w:p w14:paraId="45B10E5A" w14:textId="77777777" w:rsidR="00B844AC" w:rsidRDefault="00F62A06">
      <w:pPr>
        <w:keepNext/>
        <w:pBdr>
          <w:left w:val="single" w:sz="18" w:space="6" w:color="EA580C"/>
        </w:pBdr>
        <w:shd w:val="clear" w:color="auto" w:fill="EAF2FF"/>
        <w:spacing w:after="30"/>
        <w:ind w:left="173"/>
      </w:pPr>
      <w:r>
        <w:rPr>
          <w:b/>
          <w:color w:val="1D4ED8"/>
        </w:rPr>
        <w:t xml:space="preserve">Facts:  </w:t>
      </w:r>
      <w:r>
        <w:t>After agreeing to auction the partnership's assets (including a milk-hauling contract) to his brother, Sonny kept competing for the contract himself and won it.</w:t>
      </w:r>
    </w:p>
    <w:p w14:paraId="3480681D" w14:textId="77777777" w:rsidR="00B844AC" w:rsidRDefault="00F62A06">
      <w:pPr>
        <w:keepNext/>
        <w:pBdr>
          <w:left w:val="single" w:sz="18" w:space="6" w:color="EA580C"/>
        </w:pBdr>
        <w:shd w:val="clear" w:color="auto" w:fill="E7F8EE"/>
        <w:spacing w:after="30"/>
        <w:ind w:left="173"/>
      </w:pPr>
      <w:r>
        <w:rPr>
          <w:b/>
          <w:color w:val="15803D"/>
        </w:rPr>
        <w:t xml:space="preserve">Held:  </w:t>
      </w:r>
      <w:r>
        <w:t>Breach of fiduciary duty; $64,000 damages. Duties continue until winding up is complete.</w:t>
      </w:r>
    </w:p>
    <w:p w14:paraId="3D26FD12" w14:textId="77777777" w:rsidR="00B844AC" w:rsidRDefault="00F62A06">
      <w:pPr>
        <w:pBdr>
          <w:left w:val="single" w:sz="18" w:space="6" w:color="EA580C"/>
        </w:pBdr>
        <w:shd w:val="clear" w:color="auto" w:fill="FEF6C2"/>
        <w:spacing w:after="80"/>
        <w:ind w:left="173"/>
      </w:pPr>
      <w:r>
        <w:rPr>
          <w:b/>
          <w:color w:val="8A6100"/>
        </w:rPr>
        <w:t xml:space="preserve">Why it matters:  </w:t>
      </w:r>
      <w:r>
        <w:t>Dissolution doesn't free a partner to take the firm's key asset.</w:t>
      </w:r>
    </w:p>
    <w:p w14:paraId="1BC781E5" w14:textId="77777777" w:rsidR="00B844AC" w:rsidRDefault="00F62A06">
      <w:pPr>
        <w:keepNext/>
        <w:pBdr>
          <w:left w:val="single" w:sz="18" w:space="6" w:color="EA580C"/>
        </w:pBdr>
        <w:spacing w:before="100" w:after="20"/>
        <w:ind w:left="173"/>
      </w:pPr>
      <w:r>
        <w:rPr>
          <w:b/>
          <w:color w:val="C2410C"/>
          <w:sz w:val="21"/>
        </w:rPr>
        <w:lastRenderedPageBreak/>
        <w:t>Pav-Saver Corp. v. Vasso Corp. (Ill. App. 1986)</w:t>
      </w:r>
      <w:r>
        <w:rPr>
          <w:color w:val="C2410C"/>
          <w:sz w:val="15"/>
        </w:rPr>
        <w:t xml:space="preserve">  </w:t>
      </w:r>
      <w:r>
        <w:rPr>
          <w:b/>
          <w:color w:val="FFFFFF"/>
          <w:sz w:val="15"/>
          <w:shd w:val="clear" w:color="auto" w:fill="EA580C"/>
        </w:rPr>
        <w:t> SUPPLEMENTAL READING · CASEBOOK ONLY </w:t>
      </w:r>
    </w:p>
    <w:p w14:paraId="4FCEE650" w14:textId="77777777" w:rsidR="00B844AC" w:rsidRDefault="00F62A06">
      <w:pPr>
        <w:keepNext/>
        <w:pBdr>
          <w:left w:val="single" w:sz="18" w:space="6" w:color="EA580C"/>
        </w:pBdr>
        <w:shd w:val="clear" w:color="auto" w:fill="EAF2FF"/>
        <w:spacing w:after="30"/>
        <w:ind w:left="173"/>
      </w:pPr>
      <w:r>
        <w:rPr>
          <w:b/>
          <w:color w:val="1D4ED8"/>
        </w:rPr>
        <w:t xml:space="preserve">Facts:  </w:t>
      </w:r>
      <w:r>
        <w:t>A partner that contributed patents ended a partnership the agreement called "permanent."</w:t>
      </w:r>
    </w:p>
    <w:p w14:paraId="4F6666C6" w14:textId="77777777" w:rsidR="00B844AC" w:rsidRDefault="00F62A06">
      <w:pPr>
        <w:keepNext/>
        <w:pBdr>
          <w:left w:val="single" w:sz="18" w:space="6" w:color="EA580C"/>
        </w:pBdr>
        <w:shd w:val="clear" w:color="auto" w:fill="E7F8EE"/>
        <w:spacing w:after="30"/>
        <w:ind w:left="173"/>
      </w:pPr>
      <w:r>
        <w:rPr>
          <w:b/>
          <w:color w:val="15803D"/>
        </w:rPr>
        <w:t xml:space="preserve">Held:  </w:t>
      </w:r>
      <w:r>
        <w:t>Wrongful dissolution: the other partner may continue the business and keep using the patents, value the wrongdoer's interest without goodwill, and collect liquidated damages.</w:t>
      </w:r>
    </w:p>
    <w:p w14:paraId="2681A05C" w14:textId="77777777" w:rsidR="00B844AC" w:rsidRDefault="00F62A06">
      <w:pPr>
        <w:pBdr>
          <w:left w:val="single" w:sz="18" w:space="6" w:color="EA580C"/>
        </w:pBdr>
        <w:shd w:val="clear" w:color="auto" w:fill="FEF6C2"/>
        <w:spacing w:after="80"/>
        <w:ind w:left="173"/>
      </w:pPr>
      <w:r>
        <w:rPr>
          <w:b/>
          <w:color w:val="8A6100"/>
        </w:rPr>
        <w:t xml:space="preserve">Why it matters:  </w:t>
      </w:r>
      <w:r>
        <w:t>The UPA's consequences for wrongful dissolution; plan for what happens to contributed property.</w:t>
      </w:r>
    </w:p>
    <w:p w14:paraId="55F1A883" w14:textId="77777777" w:rsidR="00B844AC" w:rsidRDefault="00F62A06">
      <w:pPr>
        <w:pStyle w:val="Heading2"/>
        <w:pBdr>
          <w:bottom w:val="single" w:sz="8" w:space="2" w:color="C55A11"/>
        </w:pBdr>
      </w:pPr>
      <w:bookmarkStart w:id="12" w:name="_Toc243216109"/>
      <w:r>
        <w:rPr>
          <w:b w:val="0"/>
        </w:rPr>
        <w:t>11. Loss Sharing — Kovacik v. Reed</w:t>
      </w:r>
      <w:bookmarkEnd w:id="12"/>
    </w:p>
    <w:p w14:paraId="32DA812F" w14:textId="77777777" w:rsidR="00B844AC" w:rsidRDefault="00F62A06">
      <w:pPr>
        <w:keepNext/>
        <w:pBdr>
          <w:left w:val="single" w:sz="18" w:space="6" w:color="DC2626"/>
        </w:pBdr>
        <w:spacing w:before="100" w:after="20"/>
        <w:ind w:left="173"/>
      </w:pPr>
      <w:r>
        <w:rPr>
          <w:b/>
          <w:color w:val="B91C1C"/>
          <w:sz w:val="21"/>
        </w:rPr>
        <w:t>Kovacik v. Reed (Cal. 1957)</w:t>
      </w:r>
      <w:r>
        <w:rPr>
          <w:color w:val="B91C1C"/>
          <w:sz w:val="15"/>
        </w:rPr>
        <w:t xml:space="preserve">  </w:t>
      </w:r>
      <w:r>
        <w:rPr>
          <w:b/>
          <w:color w:val="FFFFFF"/>
          <w:sz w:val="15"/>
          <w:shd w:val="clear" w:color="auto" w:fill="DC2626"/>
        </w:rPr>
        <w:t> MAIN CASE · CLASS 8 </w:t>
      </w:r>
    </w:p>
    <w:p w14:paraId="039AA884" w14:textId="77777777" w:rsidR="00B844AC" w:rsidRDefault="00F62A06">
      <w:pPr>
        <w:keepNext/>
        <w:pBdr>
          <w:left w:val="single" w:sz="18" w:space="6" w:color="DC2626"/>
        </w:pBdr>
        <w:shd w:val="clear" w:color="auto" w:fill="EAF2FF"/>
        <w:spacing w:after="30"/>
        <w:ind w:left="173"/>
      </w:pPr>
      <w:r>
        <w:rPr>
          <w:b/>
          <w:color w:val="1D4ED8"/>
        </w:rPr>
        <w:t xml:space="preserve">Facts:  </w:t>
      </w:r>
      <w:r>
        <w:t>Kovacik put up $10,000 and Reed only unpaid labor for a 50/50 profit split; losses were never discussed. The venture lost $8,680, and Kovacik sued Reed for half.</w:t>
      </w:r>
    </w:p>
    <w:p w14:paraId="5F3F8B85" w14:textId="77777777" w:rsidR="00B844AC" w:rsidRDefault="00F62A06">
      <w:pPr>
        <w:keepNext/>
        <w:pBdr>
          <w:left w:val="single" w:sz="18" w:space="6" w:color="DC2626"/>
        </w:pBdr>
        <w:shd w:val="clear" w:color="auto" w:fill="E7F8EE"/>
        <w:spacing w:after="30"/>
        <w:ind w:left="173"/>
      </w:pPr>
      <w:r>
        <w:rPr>
          <w:b/>
          <w:color w:val="15803D"/>
        </w:rPr>
        <w:t xml:space="preserve">Held:  </w:t>
      </w:r>
      <w:r>
        <w:t>Reed owes nothing: where one partner contributes money and the other only services, each loses his own contribution.</w:t>
      </w:r>
    </w:p>
    <w:p w14:paraId="23D856AB" w14:textId="77777777" w:rsidR="00B844AC" w:rsidRDefault="00F62A06">
      <w:pPr>
        <w:pBdr>
          <w:left w:val="single" w:sz="18" w:space="6" w:color="DC2626"/>
        </w:pBdr>
        <w:shd w:val="clear" w:color="auto" w:fill="FEF6C2"/>
        <w:spacing w:after="80"/>
        <w:ind w:left="173"/>
      </w:pPr>
      <w:r>
        <w:rPr>
          <w:b/>
          <w:color w:val="8A6100"/>
        </w:rPr>
        <w:t xml:space="preserve">Why it matters:  </w:t>
      </w:r>
      <w:r>
        <w:t>The key loss-sharing case — an exception to UPA § 18(a) that RUPA rejects.</w:t>
      </w:r>
    </w:p>
    <w:p w14:paraId="3D81A06F" w14:textId="77777777" w:rsidR="00B844AC" w:rsidRDefault="00F62A06">
      <w:pPr>
        <w:pStyle w:val="ListBullet"/>
      </w:pPr>
      <w:r>
        <w:rPr>
          <w:b/>
        </w:rPr>
        <w:t>Statute (UPA § 18(a), § 40(b), (d)):</w:t>
      </w:r>
      <w:r>
        <w:t xml:space="preserve"> losses shared like profits; capital returned before profits → Reed owes Kovacik $4,340.</w:t>
      </w: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655"/>
        <w:gridCol w:w="4250"/>
        <w:gridCol w:w="3175"/>
      </w:tblGrid>
      <w:tr w:rsidR="00B844AC" w14:paraId="70B74EAB" w14:textId="77777777">
        <w:trPr>
          <w:cantSplit/>
          <w:tblHeader/>
          <w:jc w:val="center"/>
        </w:trPr>
        <w:tc>
          <w:tcPr>
            <w:tcW w:w="2656" w:type="dxa"/>
            <w:tcBorders>
              <w:top w:val="single" w:sz="4" w:space="0" w:color="BFC9D9"/>
              <w:left w:val="single" w:sz="4" w:space="0" w:color="BFC9D9"/>
              <w:bottom w:val="single" w:sz="4" w:space="0" w:color="BFC9D9"/>
              <w:right w:val="single" w:sz="4" w:space="0" w:color="BFC9D9"/>
            </w:tcBorders>
            <w:shd w:val="clear" w:color="auto" w:fill="1F3864"/>
          </w:tcPr>
          <w:p w14:paraId="30F492A6" w14:textId="77777777" w:rsidR="00B844AC" w:rsidRDefault="00F62A06">
            <w:pPr>
              <w:spacing w:after="0" w:line="240" w:lineRule="auto"/>
            </w:pPr>
            <w:r>
              <w:rPr>
                <w:b/>
                <w:color w:val="FFFFFF"/>
                <w:sz w:val="17"/>
              </w:rPr>
              <w:t>Kovacik v. Reed</w:t>
            </w:r>
          </w:p>
        </w:tc>
        <w:tc>
          <w:tcPr>
            <w:tcW w:w="4250" w:type="dxa"/>
            <w:tcBorders>
              <w:top w:val="single" w:sz="4" w:space="0" w:color="BFC9D9"/>
              <w:left w:val="single" w:sz="4" w:space="0" w:color="BFC9D9"/>
              <w:bottom w:val="single" w:sz="4" w:space="0" w:color="BFC9D9"/>
              <w:right w:val="single" w:sz="4" w:space="0" w:color="BFC9D9"/>
            </w:tcBorders>
            <w:shd w:val="clear" w:color="auto" w:fill="1F3864"/>
          </w:tcPr>
          <w:p w14:paraId="31AAB95B" w14:textId="77777777" w:rsidR="00B844AC" w:rsidRDefault="00F62A06">
            <w:pPr>
              <w:spacing w:after="0" w:line="240" w:lineRule="auto"/>
            </w:pPr>
            <w:r>
              <w:rPr>
                <w:b/>
                <w:color w:val="FFFFFF"/>
                <w:sz w:val="17"/>
              </w:rPr>
              <w:t>Kovacik</w:t>
            </w:r>
          </w:p>
        </w:tc>
        <w:tc>
          <w:tcPr>
            <w:tcW w:w="3175" w:type="dxa"/>
            <w:tcBorders>
              <w:top w:val="single" w:sz="4" w:space="0" w:color="BFC9D9"/>
              <w:left w:val="single" w:sz="4" w:space="0" w:color="BFC9D9"/>
              <w:bottom w:val="single" w:sz="4" w:space="0" w:color="BFC9D9"/>
              <w:right w:val="single" w:sz="4" w:space="0" w:color="BFC9D9"/>
            </w:tcBorders>
            <w:shd w:val="clear" w:color="auto" w:fill="1F3864"/>
          </w:tcPr>
          <w:p w14:paraId="7D95A3BC" w14:textId="77777777" w:rsidR="00B844AC" w:rsidRDefault="00F62A06">
            <w:pPr>
              <w:spacing w:after="0" w:line="240" w:lineRule="auto"/>
            </w:pPr>
            <w:r>
              <w:rPr>
                <w:b/>
                <w:color w:val="FFFFFF"/>
                <w:sz w:val="17"/>
              </w:rPr>
              <w:t>Reed</w:t>
            </w:r>
          </w:p>
        </w:tc>
      </w:tr>
      <w:tr w:rsidR="00B844AC" w14:paraId="5DFDE3B5" w14:textId="77777777">
        <w:trPr>
          <w:cantSplit/>
          <w:jc w:val="center"/>
        </w:trPr>
        <w:tc>
          <w:tcPr>
            <w:tcW w:w="2656" w:type="dxa"/>
            <w:tcBorders>
              <w:top w:val="single" w:sz="4" w:space="0" w:color="BFC9D9"/>
              <w:left w:val="single" w:sz="24" w:space="0" w:color="EF4444"/>
              <w:bottom w:val="single" w:sz="4" w:space="0" w:color="BFC9D9"/>
              <w:right w:val="single" w:sz="4" w:space="0" w:color="BFC9D9"/>
            </w:tcBorders>
            <w:shd w:val="clear" w:color="auto" w:fill="FDEDED"/>
          </w:tcPr>
          <w:p w14:paraId="4351DB33" w14:textId="77777777" w:rsidR="00B844AC" w:rsidRDefault="00F62A06">
            <w:pPr>
              <w:spacing w:after="0" w:line="240" w:lineRule="auto"/>
            </w:pPr>
            <w:r>
              <w:rPr>
                <w:b/>
                <w:sz w:val="17"/>
              </w:rPr>
              <w:t>Capital contributed</w:t>
            </w:r>
          </w:p>
        </w:tc>
        <w:tc>
          <w:tcPr>
            <w:tcW w:w="4250" w:type="dxa"/>
            <w:tcBorders>
              <w:top w:val="single" w:sz="4" w:space="0" w:color="BFC9D9"/>
              <w:left w:val="single" w:sz="4" w:space="0" w:color="BFC9D9"/>
              <w:bottom w:val="single" w:sz="4" w:space="0" w:color="BFC9D9"/>
              <w:right w:val="single" w:sz="4" w:space="0" w:color="BFC9D9"/>
            </w:tcBorders>
            <w:shd w:val="clear" w:color="auto" w:fill="FDEDED"/>
          </w:tcPr>
          <w:p w14:paraId="36530EB7" w14:textId="77777777" w:rsidR="00B844AC" w:rsidRDefault="00F62A06">
            <w:pPr>
              <w:spacing w:after="0" w:line="240" w:lineRule="auto"/>
            </w:pPr>
            <w:r>
              <w:rPr>
                <w:sz w:val="17"/>
              </w:rPr>
              <w:t>$10,000</w:t>
            </w:r>
          </w:p>
        </w:tc>
        <w:tc>
          <w:tcPr>
            <w:tcW w:w="3175" w:type="dxa"/>
            <w:tcBorders>
              <w:top w:val="single" w:sz="4" w:space="0" w:color="BFC9D9"/>
              <w:left w:val="single" w:sz="4" w:space="0" w:color="BFC9D9"/>
              <w:bottom w:val="single" w:sz="4" w:space="0" w:color="BFC9D9"/>
              <w:right w:val="single" w:sz="4" w:space="0" w:color="BFC9D9"/>
            </w:tcBorders>
            <w:shd w:val="clear" w:color="auto" w:fill="FDEDED"/>
          </w:tcPr>
          <w:p w14:paraId="2B685E7E" w14:textId="77777777" w:rsidR="00B844AC" w:rsidRDefault="00F62A06">
            <w:pPr>
              <w:spacing w:after="0" w:line="240" w:lineRule="auto"/>
            </w:pPr>
            <w:r>
              <w:rPr>
                <w:sz w:val="17"/>
              </w:rPr>
              <w:t>—</w:t>
            </w:r>
          </w:p>
        </w:tc>
      </w:tr>
      <w:tr w:rsidR="00B844AC" w14:paraId="761A1913" w14:textId="77777777">
        <w:trPr>
          <w:cantSplit/>
          <w:jc w:val="center"/>
        </w:trPr>
        <w:tc>
          <w:tcPr>
            <w:tcW w:w="2656" w:type="dxa"/>
            <w:tcBorders>
              <w:top w:val="single" w:sz="4" w:space="0" w:color="BFC9D9"/>
              <w:left w:val="single" w:sz="24" w:space="0" w:color="F97316"/>
              <w:bottom w:val="single" w:sz="4" w:space="0" w:color="BFC9D9"/>
              <w:right w:val="single" w:sz="4" w:space="0" w:color="BFC9D9"/>
            </w:tcBorders>
            <w:shd w:val="clear" w:color="auto" w:fill="FFF1E3"/>
          </w:tcPr>
          <w:p w14:paraId="70159215" w14:textId="77777777" w:rsidR="00B844AC" w:rsidRDefault="00F62A06">
            <w:pPr>
              <w:spacing w:after="0" w:line="240" w:lineRule="auto"/>
            </w:pPr>
            <w:r>
              <w:rPr>
                <w:b/>
                <w:sz w:val="17"/>
              </w:rPr>
              <w:t>Loss share (statute)</w:t>
            </w:r>
          </w:p>
        </w:tc>
        <w:tc>
          <w:tcPr>
            <w:tcW w:w="4250" w:type="dxa"/>
            <w:tcBorders>
              <w:top w:val="single" w:sz="4" w:space="0" w:color="BFC9D9"/>
              <w:left w:val="single" w:sz="4" w:space="0" w:color="BFC9D9"/>
              <w:bottom w:val="single" w:sz="4" w:space="0" w:color="BFC9D9"/>
              <w:right w:val="single" w:sz="4" w:space="0" w:color="BFC9D9"/>
            </w:tcBorders>
            <w:shd w:val="clear" w:color="auto" w:fill="FFF1E3"/>
          </w:tcPr>
          <w:p w14:paraId="06922F16" w14:textId="77777777" w:rsidR="00B844AC" w:rsidRDefault="00F62A06">
            <w:pPr>
              <w:spacing w:after="0" w:line="240" w:lineRule="auto"/>
            </w:pPr>
            <w:r>
              <w:rPr>
                <w:sz w:val="17"/>
              </w:rPr>
              <w:t>$4,340</w:t>
            </w:r>
          </w:p>
        </w:tc>
        <w:tc>
          <w:tcPr>
            <w:tcW w:w="3175" w:type="dxa"/>
            <w:tcBorders>
              <w:top w:val="single" w:sz="4" w:space="0" w:color="BFC9D9"/>
              <w:left w:val="single" w:sz="4" w:space="0" w:color="BFC9D9"/>
              <w:bottom w:val="single" w:sz="4" w:space="0" w:color="BFC9D9"/>
              <w:right w:val="single" w:sz="4" w:space="0" w:color="BFC9D9"/>
            </w:tcBorders>
            <w:shd w:val="clear" w:color="auto" w:fill="FFF1E3"/>
          </w:tcPr>
          <w:p w14:paraId="3125116C" w14:textId="77777777" w:rsidR="00B844AC" w:rsidRDefault="00F62A06">
            <w:pPr>
              <w:spacing w:after="0" w:line="240" w:lineRule="auto"/>
            </w:pPr>
            <w:r>
              <w:rPr>
                <w:sz w:val="17"/>
              </w:rPr>
              <w:t>$4,340 (pays in)</w:t>
            </w:r>
          </w:p>
        </w:tc>
      </w:tr>
      <w:tr w:rsidR="00B844AC" w14:paraId="147CEF74" w14:textId="77777777">
        <w:trPr>
          <w:cantSplit/>
          <w:jc w:val="center"/>
        </w:trPr>
        <w:tc>
          <w:tcPr>
            <w:tcW w:w="2656" w:type="dxa"/>
            <w:tcBorders>
              <w:top w:val="single" w:sz="4" w:space="0" w:color="BFC9D9"/>
              <w:left w:val="single" w:sz="24" w:space="0" w:color="EAB308"/>
              <w:bottom w:val="single" w:sz="4" w:space="0" w:color="BFC9D9"/>
              <w:right w:val="single" w:sz="4" w:space="0" w:color="BFC9D9"/>
            </w:tcBorders>
            <w:shd w:val="clear" w:color="auto" w:fill="FEF8D2"/>
          </w:tcPr>
          <w:p w14:paraId="6240DA9F" w14:textId="77777777" w:rsidR="00B844AC" w:rsidRDefault="00F62A06">
            <w:pPr>
              <w:spacing w:after="0" w:line="240" w:lineRule="auto"/>
            </w:pPr>
            <w:r>
              <w:rPr>
                <w:b/>
                <w:sz w:val="17"/>
              </w:rPr>
              <w:t>Statutory result</w:t>
            </w:r>
          </w:p>
        </w:tc>
        <w:tc>
          <w:tcPr>
            <w:tcW w:w="4250" w:type="dxa"/>
            <w:tcBorders>
              <w:top w:val="single" w:sz="4" w:space="0" w:color="BFC9D9"/>
              <w:left w:val="single" w:sz="4" w:space="0" w:color="BFC9D9"/>
              <w:bottom w:val="single" w:sz="4" w:space="0" w:color="BFC9D9"/>
              <w:right w:val="single" w:sz="4" w:space="0" w:color="BFC9D9"/>
            </w:tcBorders>
            <w:shd w:val="clear" w:color="auto" w:fill="FEF8D2"/>
          </w:tcPr>
          <w:p w14:paraId="6D0FF52D" w14:textId="77777777" w:rsidR="00B844AC" w:rsidRDefault="00F62A06">
            <w:pPr>
              <w:spacing w:after="0" w:line="240" w:lineRule="auto"/>
            </w:pPr>
            <w:r>
              <w:rPr>
                <w:sz w:val="17"/>
              </w:rPr>
              <w:t>Gets $5,660 ($1,320 + Reed's $4,340)</w:t>
            </w:r>
          </w:p>
        </w:tc>
        <w:tc>
          <w:tcPr>
            <w:tcW w:w="3175" w:type="dxa"/>
            <w:tcBorders>
              <w:top w:val="single" w:sz="4" w:space="0" w:color="BFC9D9"/>
              <w:left w:val="single" w:sz="4" w:space="0" w:color="BFC9D9"/>
              <w:bottom w:val="single" w:sz="4" w:space="0" w:color="BFC9D9"/>
              <w:right w:val="single" w:sz="4" w:space="0" w:color="BFC9D9"/>
            </w:tcBorders>
            <w:shd w:val="clear" w:color="auto" w:fill="FEF8D2"/>
          </w:tcPr>
          <w:p w14:paraId="183DC360" w14:textId="77777777" w:rsidR="00B844AC" w:rsidRDefault="00F62A06">
            <w:pPr>
              <w:spacing w:after="0" w:line="240" w:lineRule="auto"/>
            </w:pPr>
            <w:r>
              <w:rPr>
                <w:sz w:val="17"/>
              </w:rPr>
              <w:t>Out of pocket $4,340</w:t>
            </w:r>
          </w:p>
        </w:tc>
      </w:tr>
      <w:tr w:rsidR="00B844AC" w14:paraId="1FA8D982" w14:textId="77777777">
        <w:trPr>
          <w:cantSplit/>
          <w:jc w:val="center"/>
        </w:trPr>
        <w:tc>
          <w:tcPr>
            <w:tcW w:w="2656" w:type="dxa"/>
            <w:tcBorders>
              <w:top w:val="single" w:sz="4" w:space="0" w:color="BFC9D9"/>
              <w:left w:val="single" w:sz="24" w:space="0" w:color="22C55E"/>
              <w:bottom w:val="single" w:sz="4" w:space="0" w:color="BFC9D9"/>
              <w:right w:val="single" w:sz="4" w:space="0" w:color="BFC9D9"/>
            </w:tcBorders>
            <w:shd w:val="clear" w:color="auto" w:fill="E8F8EE"/>
          </w:tcPr>
          <w:p w14:paraId="17FAE3C0" w14:textId="77777777" w:rsidR="00B844AC" w:rsidRDefault="00F62A06">
            <w:pPr>
              <w:spacing w:after="0" w:line="240" w:lineRule="auto"/>
            </w:pPr>
            <w:r>
              <w:rPr>
                <w:b/>
                <w:sz w:val="17"/>
              </w:rPr>
              <w:t>Kovacik holding</w:t>
            </w:r>
          </w:p>
        </w:tc>
        <w:tc>
          <w:tcPr>
            <w:tcW w:w="4250" w:type="dxa"/>
            <w:tcBorders>
              <w:top w:val="single" w:sz="4" w:space="0" w:color="BFC9D9"/>
              <w:left w:val="single" w:sz="4" w:space="0" w:color="BFC9D9"/>
              <w:bottom w:val="single" w:sz="4" w:space="0" w:color="BFC9D9"/>
              <w:right w:val="single" w:sz="4" w:space="0" w:color="BFC9D9"/>
            </w:tcBorders>
            <w:shd w:val="clear" w:color="auto" w:fill="E8F8EE"/>
          </w:tcPr>
          <w:p w14:paraId="0EFFEF7B" w14:textId="77777777" w:rsidR="00B844AC" w:rsidRDefault="00F62A06">
            <w:pPr>
              <w:spacing w:after="0" w:line="240" w:lineRule="auto"/>
            </w:pPr>
            <w:r>
              <w:rPr>
                <w:sz w:val="17"/>
              </w:rPr>
              <w:t>Bears all $8,680; gets $1,320</w:t>
            </w:r>
          </w:p>
        </w:tc>
        <w:tc>
          <w:tcPr>
            <w:tcW w:w="3175" w:type="dxa"/>
            <w:tcBorders>
              <w:top w:val="single" w:sz="4" w:space="0" w:color="BFC9D9"/>
              <w:left w:val="single" w:sz="4" w:space="0" w:color="BFC9D9"/>
              <w:bottom w:val="single" w:sz="4" w:space="0" w:color="BFC9D9"/>
              <w:right w:val="single" w:sz="4" w:space="0" w:color="BFC9D9"/>
            </w:tcBorders>
            <w:shd w:val="clear" w:color="auto" w:fill="E8F8EE"/>
          </w:tcPr>
          <w:p w14:paraId="0B92F40A" w14:textId="77777777" w:rsidR="00B844AC" w:rsidRDefault="00F62A06">
            <w:pPr>
              <w:spacing w:after="0" w:line="240" w:lineRule="auto"/>
            </w:pPr>
            <w:r>
              <w:rPr>
                <w:sz w:val="17"/>
              </w:rPr>
              <w:t>$0 — loses only his labor</w:t>
            </w:r>
          </w:p>
        </w:tc>
      </w:tr>
    </w:tbl>
    <w:p w14:paraId="2BAD1AB5" w14:textId="77777777" w:rsidR="00B844AC" w:rsidRDefault="00B844AC">
      <w:pPr>
        <w:spacing w:after="0" w:line="120" w:lineRule="exact"/>
      </w:pPr>
    </w:p>
    <w:p w14:paraId="2AE65A5C" w14:textId="77777777" w:rsidR="00B844AC" w:rsidRDefault="00F62A06">
      <w:pPr>
        <w:pStyle w:val="ListBullet"/>
      </w:pPr>
      <w:r>
        <w:rPr>
          <w:b/>
        </w:rPr>
        <w:t>Holding:</w:t>
      </w:r>
      <w:r>
        <w:t xml:space="preserve"> "Upon loss of the money the party who contributed it is not entitled to recover any part of it from the party who contributed only services." Rationale: each lost his own capital — money vs. labor; equal profit split implies equal valuation of contributions.</w:t>
      </w:r>
    </w:p>
    <w:p w14:paraId="622555A2" w14:textId="77777777" w:rsidR="00B844AC" w:rsidRDefault="00F62A06">
      <w:pPr>
        <w:pStyle w:val="ListBullet"/>
      </w:pPr>
      <w:r>
        <w:rPr>
          <w:b/>
        </w:rPr>
        <w:t>Possible rules:</w:t>
      </w:r>
      <w:r>
        <w:t xml:space="preserve"> capital partner bears all capital losses; share capital losses like profits (statute); share in ratio of capital contributions. Concern: the Kovacik rule may make the service partner too willing to take risks.</w:t>
      </w:r>
    </w:p>
    <w:p w14:paraId="4D531C5D" w14:textId="77777777" w:rsidR="00B844AC" w:rsidRDefault="00F62A06">
      <w:pPr>
        <w:pStyle w:val="ListBullet"/>
      </w:pPr>
      <w:r>
        <w:rPr>
          <w:b/>
        </w:rPr>
        <w:t>Not applied</w:t>
      </w:r>
      <w:r>
        <w:t xml:space="preserve"> if the service partner was paid a salary or made any (even nominal) capital contribution. </w:t>
      </w:r>
      <w:r>
        <w:rPr>
          <w:b/>
        </w:rPr>
        <w:t>RUPA rejects Kovacik</w:t>
      </w:r>
      <w:r>
        <w:t xml:space="preserve"> (§ 401 comment: default loss rules apply even if a partner contributed no capital).</w:t>
      </w:r>
    </w:p>
    <w:p w14:paraId="087406F0" w14:textId="77777777" w:rsidR="00B844AC" w:rsidRDefault="00F62A06">
      <w:pPr>
        <w:pStyle w:val="ListBullet"/>
      </w:pPr>
      <w:r>
        <w:t>Professor's point: the parties probably wouldn't have agreed to equal loss sharing — but also probably not to zero loss for the service partner (losses often trace to the service partner's work, and Kovacik may encourage his risk-taking). A real bargain likely lands in the middle; the hypothetical-bargain model doesn't say where — so draft a loss clause.</w:t>
      </w:r>
    </w:p>
    <w:p w14:paraId="663ACEEC" w14:textId="77777777" w:rsidR="00B844AC" w:rsidRDefault="00F62A06">
      <w:pPr>
        <w:pStyle w:val="Heading2"/>
        <w:pBdr>
          <w:bottom w:val="single" w:sz="8" w:space="2" w:color="C55A11"/>
        </w:pBdr>
      </w:pPr>
      <w:bookmarkStart w:id="13" w:name="_Toc243216110"/>
      <w:r>
        <w:rPr>
          <w:b w:val="0"/>
        </w:rPr>
        <w:t>12. Buyout Agreements</w:t>
      </w:r>
      <w:bookmarkEnd w:id="13"/>
    </w:p>
    <w:p w14:paraId="7921143D" w14:textId="77777777" w:rsidR="00B844AC" w:rsidRDefault="00F62A06">
      <w:pPr>
        <w:pStyle w:val="ListBullet"/>
      </w:pPr>
      <w:r>
        <w:rPr>
          <w:b/>
        </w:rPr>
        <w:t>What:</w:t>
      </w:r>
      <w:r>
        <w:t xml:space="preserve"> lets a partner exit for cash, payments, or assets in exchange for his interest; must be tailored.</w:t>
      </w:r>
    </w:p>
    <w:p w14:paraId="05126691" w14:textId="77777777" w:rsidR="00B844AC" w:rsidRDefault="00F62A06">
      <w:pPr>
        <w:pStyle w:val="ListBullet"/>
      </w:pPr>
      <w:r>
        <w:rPr>
          <w:b/>
        </w:rPr>
        <w:t>Drafting checklist:</w:t>
      </w:r>
      <w:r>
        <w:t xml:space="preserve"> triggers (death, disability, retirement, divorce, bankruptcy, withdrawal, creditor seizure, proposed transfer); obligation vs. option (firm or other investors) and what happens if someone refuses; offer procedures (first mover sets the price </w:t>
      </w:r>
      <w:r>
        <w:rPr>
          <w:i/>
          <w:color w:val="64748B"/>
        </w:rPr>
        <w:t>◆ — a "shotgun" clause</w:t>
      </w:r>
      <w:r>
        <w:t>); treatment of contributed IP; price method (book value, appraisal, formula, annual agreed price); payment (lump sum vs. installments with interest); protection against partnership debts.</w:t>
      </w:r>
    </w:p>
    <w:p w14:paraId="2DF58CA3" w14:textId="77777777" w:rsidR="00B844AC" w:rsidRDefault="00F62A06">
      <w:pPr>
        <w:pStyle w:val="ListBullet"/>
      </w:pPr>
      <w:r>
        <w:rPr>
          <w:b/>
        </w:rPr>
        <w:t>Typical provisions:</w:t>
      </w:r>
      <w:r>
        <w:t xml:space="preserve"> list of owners and interests; firm obligation to buy/sell; trigger events; price or formula; payment terms.</w:t>
      </w:r>
    </w:p>
    <w:p w14:paraId="40211963" w14:textId="77777777" w:rsidR="00B844AC" w:rsidRDefault="00F62A06">
      <w:pPr>
        <w:pStyle w:val="ListBullet"/>
      </w:pPr>
      <w:r>
        <w:rPr>
          <w:b/>
        </w:rPr>
        <w:t>Purposes:</w:t>
      </w:r>
      <w:r>
        <w:t xml:space="preserve"> orderly transfer; keep control and choose new owners; pass business to the right family members; create a market for inactive owners' interests.</w:t>
      </w:r>
    </w:p>
    <w:p w14:paraId="50D7D271" w14:textId="77777777" w:rsidR="00B844AC" w:rsidRDefault="00F62A06">
      <w:pPr>
        <w:pStyle w:val="ListBullet"/>
      </w:pPr>
      <w:r>
        <w:rPr>
          <w:b/>
        </w:rPr>
        <w:t>Funding:</w:t>
      </w:r>
      <w:r>
        <w:t xml:space="preserve"> death → life insurance; retirement → pension/401(k); disability → disability insurance; divorce → plan for it (Alaska Plastics); otherwise formula; return of capital = capital account balance + unallocated profits.</w:t>
      </w:r>
    </w:p>
    <w:p w14:paraId="02B10CF9" w14:textId="77777777" w:rsidR="00B844AC" w:rsidRDefault="00F62A06">
      <w:pPr>
        <w:keepNext/>
        <w:pBdr>
          <w:left w:val="single" w:sz="18" w:space="6" w:color="DC2626"/>
        </w:pBdr>
        <w:spacing w:before="100" w:after="20"/>
        <w:ind w:left="173"/>
      </w:pPr>
      <w:r>
        <w:rPr>
          <w:b/>
          <w:color w:val="B91C1C"/>
          <w:sz w:val="21"/>
        </w:rPr>
        <w:t>G &amp; S Investments v. Belman (Ariz. App. 1984)</w:t>
      </w:r>
      <w:r>
        <w:rPr>
          <w:color w:val="B91C1C"/>
          <w:sz w:val="15"/>
        </w:rPr>
        <w:t xml:space="preserve">  </w:t>
      </w:r>
      <w:r>
        <w:rPr>
          <w:b/>
          <w:color w:val="FFFFFF"/>
          <w:sz w:val="15"/>
          <w:shd w:val="clear" w:color="auto" w:fill="DC2626"/>
        </w:rPr>
        <w:t> MAIN CASE · CLASS 8 </w:t>
      </w:r>
    </w:p>
    <w:p w14:paraId="5D4B70B7" w14:textId="77777777" w:rsidR="00B844AC" w:rsidRDefault="00F62A06">
      <w:pPr>
        <w:keepNext/>
        <w:pBdr>
          <w:left w:val="single" w:sz="18" w:space="6" w:color="DC2626"/>
        </w:pBdr>
        <w:shd w:val="clear" w:color="auto" w:fill="EAF2FF"/>
        <w:spacing w:after="30"/>
        <w:ind w:left="173"/>
      </w:pPr>
      <w:r>
        <w:rPr>
          <w:b/>
          <w:color w:val="1D4ED8"/>
        </w:rPr>
        <w:t xml:space="preserve">Facts:  </w:t>
      </w:r>
      <w:r>
        <w:t>A general partner's cocaine use made him erratic and harmful to the business; he then died. The agreement let survivors continue and buy his interest for his "capital account" plus average recent profits.</w:t>
      </w:r>
    </w:p>
    <w:p w14:paraId="32300888" w14:textId="77777777" w:rsidR="00B844AC" w:rsidRDefault="00F62A06">
      <w:pPr>
        <w:keepNext/>
        <w:pBdr>
          <w:left w:val="single" w:sz="18" w:space="6" w:color="DC2626"/>
        </w:pBdr>
        <w:shd w:val="clear" w:color="auto" w:fill="E7F8EE"/>
        <w:spacing w:after="30"/>
        <w:ind w:left="173"/>
      </w:pPr>
      <w:r>
        <w:rPr>
          <w:b/>
          <w:color w:val="15803D"/>
        </w:rPr>
        <w:t xml:space="preserve">Held:  </w:t>
      </w:r>
      <w:r>
        <w:t>Suing for dissolution didn't dissolve the partnership; "capital account" means the book figure (negative here), not market value, so the estate got $4,867.57.</w:t>
      </w:r>
    </w:p>
    <w:p w14:paraId="77C41109" w14:textId="77777777" w:rsidR="00B844AC" w:rsidRDefault="00F62A06">
      <w:pPr>
        <w:pBdr>
          <w:left w:val="single" w:sz="18" w:space="6" w:color="DC2626"/>
        </w:pBdr>
        <w:shd w:val="clear" w:color="auto" w:fill="FEF6C2"/>
        <w:spacing w:after="80"/>
        <w:ind w:left="173"/>
      </w:pPr>
      <w:r>
        <w:rPr>
          <w:b/>
          <w:color w:val="8A6100"/>
        </w:rPr>
        <w:t xml:space="preserve">Why it matters:  </w:t>
      </w:r>
      <w:r>
        <w:t>Buyout clauses are enforced as written — the danger of book-value formulas.</w:t>
      </w:r>
    </w:p>
    <w:p w14:paraId="37CE78FC" w14:textId="77777777" w:rsidR="00B844AC" w:rsidRDefault="00F62A06">
      <w:pPr>
        <w:pStyle w:val="Heading2"/>
        <w:pBdr>
          <w:bottom w:val="single" w:sz="8" w:space="2" w:color="C55A11"/>
        </w:pBdr>
      </w:pPr>
      <w:bookmarkStart w:id="14" w:name="_Toc243216111"/>
      <w:r>
        <w:rPr>
          <w:b w:val="0"/>
        </w:rPr>
        <w:lastRenderedPageBreak/>
        <w:t>13. Limited Partnerships and Limited Liability</w:t>
      </w:r>
      <w:bookmarkEnd w:id="14"/>
    </w:p>
    <w:p w14:paraId="070438FC" w14:textId="77777777" w:rsidR="00B844AC" w:rsidRDefault="00F62A06">
      <w:pPr>
        <w:pStyle w:val="ListBullet"/>
      </w:pPr>
      <w:r>
        <w:rPr>
          <w:b/>
        </w:rPr>
        <w:t>Unlimited liability:</w:t>
      </w:r>
      <w:r>
        <w:t xml:space="preserve"> UPA § 15 (joint and several for torts; joint for contracts); RUPA § 306(a) (joint and several for all).</w:t>
      </w:r>
    </w:p>
    <w:p w14:paraId="480AE26E" w14:textId="77777777" w:rsidR="00B844AC" w:rsidRDefault="00F62A06">
      <w:pPr>
        <w:pStyle w:val="ListBullet"/>
      </w:pPr>
      <w:r>
        <w:rPr>
          <w:b/>
        </w:rPr>
        <w:t>LP:</w:t>
      </w:r>
      <w:r>
        <w:t xml:space="preserve"> general partners manage and have full liability; limited partners have no daily role and no liability beyond investment; both own and share profits. Old "control rule" (LP who participates in control loses shield) largely eliminated by the Uniform Limited Partnership Act (ULPA) (2001) § 303(a). Common structure: corporation as sole general partner (GP) (often for real estate). </w:t>
      </w:r>
      <w:r>
        <w:rPr>
          <w:b/>
        </w:rPr>
        <w:t>LLLP</w:t>
      </w:r>
      <w:r>
        <w:t xml:space="preserve"> shields GPs too; </w:t>
      </w:r>
      <w:r>
        <w:rPr>
          <w:b/>
        </w:rPr>
        <w:t>LLP</w:t>
      </w:r>
      <w:r>
        <w:t xml:space="preserve"> shields general partners by filing (RUPA §§ 306(c), 901).</w:t>
      </w:r>
    </w:p>
    <w:p w14:paraId="649D695B" w14:textId="77777777" w:rsidR="00B844AC" w:rsidRDefault="00F62A06">
      <w:pPr>
        <w:pStyle w:val="ListBullet"/>
      </w:pPr>
      <w:r>
        <w:rPr>
          <w:b/>
        </w:rPr>
        <w:t>1980s trends</w:t>
      </w:r>
      <w:r>
        <w:t xml:space="preserve"> driving limited liability: mega professional partnerships; repeal of professional-corporation tax benefits; mass financial torts against lawyers/accountants; Texas real estate crash; savings and loan (S&amp;L) crisis; soaring insurance premiums; Internal Revenue Service (IRS) allowing pass-through for limited-liability entities.</w:t>
      </w:r>
    </w:p>
    <w:p w14:paraId="05DFA845" w14:textId="77777777" w:rsidR="00B844AC" w:rsidRDefault="00F62A06">
      <w:pPr>
        <w:keepNext/>
        <w:pBdr>
          <w:left w:val="single" w:sz="18" w:space="6" w:color="16A34A"/>
        </w:pBdr>
        <w:spacing w:before="100" w:after="20"/>
        <w:ind w:left="173"/>
      </w:pPr>
      <w:r>
        <w:rPr>
          <w:b/>
          <w:color w:val="15803D"/>
          <w:sz w:val="21"/>
        </w:rPr>
        <w:t>Frigidaire Sales Corp. v. Union Properties, Inc. (Wash. 1977)</w:t>
      </w:r>
      <w:r>
        <w:rPr>
          <w:color w:val="15803D"/>
          <w:sz w:val="15"/>
        </w:rPr>
        <w:t xml:space="preserve">  </w:t>
      </w:r>
      <w:r>
        <w:rPr>
          <w:b/>
          <w:color w:val="FFFFFF"/>
          <w:sz w:val="15"/>
          <w:shd w:val="clear" w:color="auto" w:fill="16A34A"/>
        </w:rPr>
        <w:t> SLIDE REFERENCE · CLASS 8 </w:t>
      </w:r>
    </w:p>
    <w:p w14:paraId="70471B3B" w14:textId="77777777" w:rsidR="00B844AC" w:rsidRDefault="00F62A06">
      <w:pPr>
        <w:keepNext/>
        <w:pBdr>
          <w:left w:val="single" w:sz="18" w:space="6" w:color="16A34A"/>
        </w:pBdr>
        <w:shd w:val="clear" w:color="auto" w:fill="EAF2FF"/>
        <w:spacing w:after="30"/>
        <w:ind w:left="173"/>
      </w:pPr>
      <w:r>
        <w:rPr>
          <w:b/>
          <w:color w:val="1D4ED8"/>
        </w:rPr>
        <w:t xml:space="preserve">Facts:  </w:t>
      </w:r>
      <w:r>
        <w:t>Two men were limited partners of a limited partnership and also ran its only general partner, a corporation. The partnership breached a contract with Frigidaire, which sued them personally.</w:t>
      </w:r>
    </w:p>
    <w:p w14:paraId="72ECA12A" w14:textId="77777777" w:rsidR="00B844AC" w:rsidRDefault="00F62A06">
      <w:pPr>
        <w:keepNext/>
        <w:pBdr>
          <w:left w:val="single" w:sz="18" w:space="6" w:color="16A34A"/>
        </w:pBdr>
        <w:shd w:val="clear" w:color="auto" w:fill="E7F8EE"/>
        <w:spacing w:after="30"/>
        <w:ind w:left="173"/>
      </w:pPr>
      <w:r>
        <w:rPr>
          <w:b/>
          <w:color w:val="15803D"/>
        </w:rPr>
        <w:t xml:space="preserve">Held:  </w:t>
      </w:r>
      <w:r>
        <w:t>Not personally liable. They acted only as officers of the corporate general partner, and Frigidaire knew it dealt with the corporation; the remedy for undercapitalization is veil piercing.</w:t>
      </w:r>
    </w:p>
    <w:p w14:paraId="7AEFB679" w14:textId="77777777" w:rsidR="00B844AC" w:rsidRDefault="00F62A06">
      <w:pPr>
        <w:pBdr>
          <w:left w:val="single" w:sz="18" w:space="6" w:color="16A34A"/>
        </w:pBdr>
        <w:shd w:val="clear" w:color="auto" w:fill="FEF6C2"/>
        <w:spacing w:after="80"/>
        <w:ind w:left="173"/>
      </w:pPr>
      <w:r>
        <w:rPr>
          <w:b/>
          <w:color w:val="8A6100"/>
        </w:rPr>
        <w:t xml:space="preserve">Why it matters:  </w:t>
      </w:r>
      <w:r>
        <w:t>How a corporate general partner gives everyone in an LP limited liability.</w:t>
      </w:r>
    </w:p>
    <w:p w14:paraId="593847A7" w14:textId="77777777" w:rsidR="00B844AC" w:rsidRDefault="00F62A06">
      <w:pPr>
        <w:keepNext/>
        <w:pBdr>
          <w:left w:val="single" w:sz="18" w:space="6" w:color="EA580C"/>
        </w:pBdr>
        <w:spacing w:before="100" w:after="20"/>
        <w:ind w:left="173"/>
      </w:pPr>
      <w:r>
        <w:rPr>
          <w:b/>
          <w:color w:val="C2410C"/>
          <w:sz w:val="21"/>
        </w:rPr>
        <w:t>Jerman v. O'Leary (Ariz. App. 1985)</w:t>
      </w:r>
      <w:r>
        <w:rPr>
          <w:color w:val="C2410C"/>
          <w:sz w:val="15"/>
        </w:rPr>
        <w:t xml:space="preserve">  </w:t>
      </w:r>
      <w:r>
        <w:rPr>
          <w:b/>
          <w:color w:val="FFFFFF"/>
          <w:sz w:val="15"/>
          <w:shd w:val="clear" w:color="auto" w:fill="EA580C"/>
        </w:rPr>
        <w:t> SUPPLEMENTAL READING · CASEBOOK ONLY </w:t>
      </w:r>
    </w:p>
    <w:p w14:paraId="5F21A9B5" w14:textId="77777777" w:rsidR="00B844AC" w:rsidRDefault="00F62A06">
      <w:pPr>
        <w:keepNext/>
        <w:pBdr>
          <w:left w:val="single" w:sz="18" w:space="6" w:color="EA580C"/>
        </w:pBdr>
        <w:shd w:val="clear" w:color="auto" w:fill="EAF2FF"/>
        <w:spacing w:after="30"/>
        <w:ind w:left="173"/>
      </w:pPr>
      <w:r>
        <w:rPr>
          <w:b/>
          <w:color w:val="1D4ED8"/>
        </w:rPr>
        <w:t xml:space="preserve">Facts:  </w:t>
      </w:r>
      <w:r>
        <w:t>General partners bought partnership land for themselves under a "sole discretion" clause, using an appraisal that ignored the land's favorable rezoning.</w:t>
      </w:r>
    </w:p>
    <w:p w14:paraId="29786F01" w14:textId="77777777" w:rsidR="00B844AC" w:rsidRDefault="00F62A06">
      <w:pPr>
        <w:keepNext/>
        <w:pBdr>
          <w:left w:val="single" w:sz="18" w:space="6" w:color="EA580C"/>
        </w:pBdr>
        <w:shd w:val="clear" w:color="auto" w:fill="E7F8EE"/>
        <w:spacing w:after="30"/>
        <w:ind w:left="173"/>
      </w:pPr>
      <w:r>
        <w:rPr>
          <w:b/>
          <w:color w:val="15803D"/>
        </w:rPr>
        <w:t xml:space="preserve">Held:  </w:t>
      </w:r>
      <w:r>
        <w:t>The clause allowed the purchase but didn't end their fiduciary duties: they had to pay fair value and disclose facts bearing on value; remanded.</w:t>
      </w:r>
    </w:p>
    <w:p w14:paraId="0C474292" w14:textId="77777777" w:rsidR="00B844AC" w:rsidRDefault="00F62A06">
      <w:pPr>
        <w:pBdr>
          <w:left w:val="single" w:sz="18" w:space="6" w:color="EA580C"/>
        </w:pBdr>
        <w:shd w:val="clear" w:color="auto" w:fill="FEF6C2"/>
        <w:spacing w:after="80"/>
        <w:ind w:left="173"/>
      </w:pPr>
      <w:r>
        <w:rPr>
          <w:b/>
          <w:color w:val="8A6100"/>
        </w:rPr>
        <w:t xml:space="preserve">Why it matters:  </w:t>
      </w:r>
      <w:r>
        <w:t>Courts may read fiduciary duties into permissive agreements (contrast Sonet).</w:t>
      </w:r>
    </w:p>
    <w:p w14:paraId="24D1A046" w14:textId="77777777" w:rsidR="00B844AC" w:rsidRDefault="00F62A06">
      <w:pPr>
        <w:keepNext/>
        <w:pBdr>
          <w:left w:val="single" w:sz="18" w:space="6" w:color="EA580C"/>
        </w:pBdr>
        <w:spacing w:before="100" w:after="20"/>
        <w:ind w:left="173"/>
      </w:pPr>
      <w:r>
        <w:rPr>
          <w:b/>
          <w:color w:val="C2410C"/>
          <w:sz w:val="21"/>
        </w:rPr>
        <w:t>Sonet v. Plum Creek Timber Co., L.P. (Del. Ch. 1998)</w:t>
      </w:r>
      <w:r>
        <w:rPr>
          <w:color w:val="C2410C"/>
          <w:sz w:val="15"/>
        </w:rPr>
        <w:t xml:space="preserve">  </w:t>
      </w:r>
      <w:r>
        <w:rPr>
          <w:b/>
          <w:color w:val="FFFFFF"/>
          <w:sz w:val="15"/>
          <w:shd w:val="clear" w:color="auto" w:fill="EA580C"/>
        </w:rPr>
        <w:t> SUPPLEMENTAL READING · CASEBOOK ONLY </w:t>
      </w:r>
    </w:p>
    <w:p w14:paraId="18FE70FA" w14:textId="77777777" w:rsidR="00B844AC" w:rsidRDefault="00F62A06">
      <w:pPr>
        <w:keepNext/>
        <w:pBdr>
          <w:left w:val="single" w:sz="18" w:space="6" w:color="EA580C"/>
        </w:pBdr>
        <w:shd w:val="clear" w:color="auto" w:fill="EAF2FF"/>
        <w:spacing w:after="30"/>
        <w:ind w:left="173"/>
      </w:pPr>
      <w:r>
        <w:rPr>
          <w:b/>
          <w:color w:val="1D4ED8"/>
        </w:rPr>
        <w:t xml:space="preserve">Facts:  </w:t>
      </w:r>
      <w:r>
        <w:t xml:space="preserve">A public limited partnership's general partner proposed converting it to a real estate investment trust (REIT) and taking 27% of the new shares; a unitholder alleged unfair self-dealing.</w:t>
      </w:r>
    </w:p>
    <w:p w14:paraId="7440EE99" w14:textId="77777777" w:rsidR="00B844AC" w:rsidRDefault="00F62A06">
      <w:pPr>
        <w:keepNext/>
        <w:pBdr>
          <w:left w:val="single" w:sz="18" w:space="6" w:color="EA580C"/>
        </w:pBdr>
        <w:shd w:val="clear" w:color="auto" w:fill="E7F8EE"/>
        <w:spacing w:after="30"/>
        <w:ind w:left="173"/>
      </w:pPr>
      <w:r>
        <w:rPr>
          <w:b/>
          <w:color w:val="15803D"/>
        </w:rPr>
        <w:t xml:space="preserve">Held:  </w:t>
      </w:r>
      <w:r>
        <w:t>Dismissed. Under Delaware law, a clear partnership agreement displaces default fiduciary duties; this one let the general partner propose a merger subject to a two-thirds unitholder vote — "the ballot box, not the courthouse."</w:t>
      </w:r>
    </w:p>
    <w:p w14:paraId="7A0E643B" w14:textId="77777777" w:rsidR="00B844AC" w:rsidRDefault="00F62A06">
      <w:pPr>
        <w:pBdr>
          <w:left w:val="single" w:sz="18" w:space="6" w:color="EA580C"/>
        </w:pBdr>
        <w:shd w:val="clear" w:color="auto" w:fill="FEF6C2"/>
        <w:spacing w:after="80"/>
        <w:ind w:left="173"/>
      </w:pPr>
      <w:r>
        <w:rPr>
          <w:b/>
          <w:color w:val="8A6100"/>
        </w:rPr>
        <w:t xml:space="preserve">Why it matters:  </w:t>
      </w:r>
      <w:r>
        <w:t>Delaware's contract-first approach to LPs.</w:t>
      </w:r>
    </w:p>
    <w:p w14:paraId="152826FE" w14:textId="77777777" w:rsidR="00B844AC" w:rsidRDefault="00F62A06">
      <w:pPr>
        <w:keepNext/>
        <w:pBdr>
          <w:left w:val="single" w:sz="18" w:space="6" w:color="EA580C"/>
        </w:pBdr>
        <w:spacing w:before="100" w:after="20"/>
        <w:ind w:left="173"/>
      </w:pPr>
      <w:r>
        <w:rPr>
          <w:b/>
          <w:color w:val="C2410C"/>
          <w:sz w:val="21"/>
        </w:rPr>
        <w:t>Cincinnati SMSA L.P. v. Cincinnati Bell Cellular Systems Co. (Del. 1998)</w:t>
      </w:r>
      <w:r>
        <w:rPr>
          <w:color w:val="C2410C"/>
          <w:sz w:val="15"/>
        </w:rPr>
        <w:t xml:space="preserve">  </w:t>
      </w:r>
      <w:r>
        <w:rPr>
          <w:b/>
          <w:color w:val="FFFFFF"/>
          <w:sz w:val="15"/>
          <w:shd w:val="clear" w:color="auto" w:fill="EA580C"/>
        </w:rPr>
        <w:t> SUPPLEMENTAL READING · CASEBOOK ONLY </w:t>
      </w:r>
    </w:p>
    <w:p w14:paraId="406CA5FB" w14:textId="77777777" w:rsidR="00B844AC" w:rsidRDefault="00F62A06">
      <w:pPr>
        <w:keepNext/>
        <w:pBdr>
          <w:left w:val="single" w:sz="18" w:space="6" w:color="EA580C"/>
        </w:pBdr>
        <w:shd w:val="clear" w:color="auto" w:fill="EAF2FF"/>
        <w:spacing w:after="30"/>
        <w:ind w:left="173"/>
      </w:pPr>
      <w:r>
        <w:rPr>
          <w:b/>
          <w:color w:val="1D4ED8"/>
        </w:rPr>
        <w:t xml:space="preserve">Facts:  </w:t>
      </w:r>
      <w:r>
        <w:t>An LP agreement barred partners from offering "cellular service," defined narrowly, but allowed other businesses. A partner started offering a newer phone service.</w:t>
      </w:r>
    </w:p>
    <w:p w14:paraId="23286182" w14:textId="77777777" w:rsidR="00B844AC" w:rsidRDefault="00F62A06">
      <w:pPr>
        <w:keepNext/>
        <w:pBdr>
          <w:left w:val="single" w:sz="18" w:space="6" w:color="EA580C"/>
        </w:pBdr>
        <w:shd w:val="clear" w:color="auto" w:fill="E7F8EE"/>
        <w:spacing w:after="30"/>
        <w:ind w:left="173"/>
      </w:pPr>
      <w:r>
        <w:rPr>
          <w:b/>
          <w:color w:val="15803D"/>
        </w:rPr>
        <w:t xml:space="preserve">Held:  </w:t>
      </w:r>
      <w:r>
        <w:t>No breach; courts won't use the implied covenant to expand a precise, unambiguous noncompete.</w:t>
      </w:r>
    </w:p>
    <w:p w14:paraId="5F316B1A" w14:textId="77777777" w:rsidR="00B844AC" w:rsidRDefault="00F62A06">
      <w:pPr>
        <w:pBdr>
          <w:left w:val="single" w:sz="18" w:space="6" w:color="EA580C"/>
        </w:pBdr>
        <w:shd w:val="clear" w:color="auto" w:fill="FEF6C2"/>
        <w:spacing w:after="80"/>
        <w:ind w:left="173"/>
      </w:pPr>
      <w:r>
        <w:rPr>
          <w:b/>
          <w:color w:val="8A6100"/>
        </w:rPr>
        <w:t xml:space="preserve">Why it matters:  </w:t>
      </w:r>
      <w:r>
        <w:t>The narrow role of the implied covenant (compare Nemec).</w:t>
      </w:r>
    </w:p>
    <w:p w14:paraId="05E6AB1A" w14:textId="77777777" w:rsidR="00B844AC" w:rsidRDefault="00F62A06">
      <w:pPr>
        <w:keepNext/>
        <w:pBdr>
          <w:left w:val="single" w:sz="18" w:space="6" w:color="EA580C"/>
        </w:pBdr>
        <w:spacing w:before="100" w:after="20"/>
        <w:ind w:left="173"/>
      </w:pPr>
      <w:r>
        <w:rPr>
          <w:b/>
          <w:color w:val="C2410C"/>
          <w:sz w:val="21"/>
        </w:rPr>
        <w:t>In re El Paso Pipeline Partners, L.P. Derivative Litigation (Del. Ch. 2014)</w:t>
      </w:r>
      <w:r>
        <w:rPr>
          <w:color w:val="C2410C"/>
          <w:sz w:val="15"/>
        </w:rPr>
        <w:t xml:space="preserve">  </w:t>
      </w:r>
      <w:r>
        <w:rPr>
          <w:b/>
          <w:color w:val="FFFFFF"/>
          <w:sz w:val="15"/>
          <w:shd w:val="clear" w:color="auto" w:fill="EA580C"/>
        </w:rPr>
        <w:t> SUPPLEMENTAL READING · CASEBOOK ONLY </w:t>
      </w:r>
    </w:p>
    <w:p w14:paraId="7D3EB213" w14:textId="77777777" w:rsidR="00B844AC" w:rsidRDefault="00F62A06">
      <w:pPr>
        <w:keepNext/>
        <w:pBdr>
          <w:left w:val="single" w:sz="18" w:space="6" w:color="EA580C"/>
        </w:pBdr>
        <w:shd w:val="clear" w:color="auto" w:fill="EAF2FF"/>
        <w:spacing w:after="30"/>
        <w:ind w:left="173"/>
      </w:pPr>
      <w:r>
        <w:rPr>
          <w:b/>
          <w:color w:val="1D4ED8"/>
        </w:rPr>
        <w:t xml:space="preserve">Facts:  </w:t>
      </w:r>
      <w:r>
        <w:t>A parent company sold assets to the public partnership it controlled. The partnership agreement replaced fiduciary duties with approval by a conflicts committee acting in subjective good faith.</w:t>
      </w:r>
    </w:p>
    <w:p w14:paraId="6942747E" w14:textId="77777777" w:rsidR="00B844AC" w:rsidRDefault="00F62A06">
      <w:pPr>
        <w:keepNext/>
        <w:pBdr>
          <w:left w:val="single" w:sz="18" w:space="6" w:color="EA580C"/>
        </w:pBdr>
        <w:shd w:val="clear" w:color="auto" w:fill="E7F8EE"/>
        <w:spacing w:after="30"/>
        <w:ind w:left="173"/>
      </w:pPr>
      <w:r>
        <w:rPr>
          <w:b/>
          <w:color w:val="15803D"/>
        </w:rPr>
        <w:t xml:space="preserve">Held:  </w:t>
      </w:r>
      <w:r>
        <w:t>That contract standard governs. The committee wasn't liable for information it never had (in a later trial on a second sale, it was found to have breached).</w:t>
      </w:r>
    </w:p>
    <w:p w14:paraId="357BEDB3" w14:textId="77777777" w:rsidR="00B844AC" w:rsidRDefault="00F62A06">
      <w:pPr>
        <w:pBdr>
          <w:left w:val="single" w:sz="18" w:space="6" w:color="EA580C"/>
        </w:pBdr>
        <w:shd w:val="clear" w:color="auto" w:fill="FEF6C2"/>
        <w:spacing w:after="80"/>
        <w:ind w:left="173"/>
      </w:pPr>
      <w:r>
        <w:rPr>
          <w:b/>
          <w:color w:val="8A6100"/>
        </w:rPr>
        <w:t xml:space="preserve">Why it matters:  </w:t>
      </w:r>
      <w:r>
        <w:t>In Delaware alternative entities, investors may get only the contract's protections.</w:t>
      </w:r>
    </w:p>
    <w:p w14:paraId="6E5AC364" w14:textId="77777777" w:rsidR="00B844AC" w:rsidRDefault="00F62A06">
      <w:pPr>
        <w:pStyle w:val="Heading2"/>
        <w:pBdr>
          <w:bottom w:val="single" w:sz="8" w:space="2" w:color="C55A11"/>
        </w:pBdr>
      </w:pPr>
      <w:bookmarkStart w:id="15" w:name="_Toc243216112"/>
      <w:r>
        <w:rPr>
          <w:b w:val="0"/>
        </w:rPr>
        <w:t xml:space="preserve">14. Limited Liability Companies (Uniform LLC Act, ULLCA)</w:t>
      </w:r>
      <w:bookmarkEnd w:id="15"/>
    </w:p>
    <w:p w14:paraId="2B06CB97" w14:textId="77777777" w:rsidR="00B844AC" w:rsidRDefault="00F62A06">
      <w:pPr>
        <w:pStyle w:val="ListBullet"/>
      </w:pPr>
      <w:r>
        <w:rPr>
          <w:b/>
        </w:rPr>
        <w:t>Slide:</w:t>
      </w:r>
      <w:r>
        <w:t xml:space="preserve"> LLCs are not corporations; they combine limited liability with pass-through taxation, are "creatures of contract" (the operating agreement shapes the agency relationship), and lose the shield only through veil piercing. The supplement prints the ULLCA (2006, amended 2013) </w:t>
      </w:r>
      <w:r>
        <w:rPr>
          <w:i/>
          <w:color w:val="64748B"/>
        </w:rPr>
        <w:t>◆ — the act commonly called RULLCA</w:t>
      </w:r>
      <w:r>
        <w:t>.</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79AF121D" w14:textId="77777777">
        <w:trPr>
          <w:cantSplit/>
          <w:jc w:val="center"/>
        </w:trPr>
        <w:tc>
          <w:tcPr>
            <w:tcW w:w="10080" w:type="dxa"/>
            <w:tcBorders>
              <w:top w:val="nil"/>
              <w:left w:val="single" w:sz="30" w:space="0" w:color="7C3AED"/>
              <w:bottom w:val="nil"/>
              <w:right w:val="nil"/>
            </w:tcBorders>
            <w:shd w:val="clear" w:color="auto" w:fill="F3EEFF"/>
          </w:tcPr>
          <w:p w14:paraId="3EBD27DD" w14:textId="77777777" w:rsidR="00B844AC" w:rsidRDefault="00F62A06">
            <w:pPr>
              <w:spacing w:after="0"/>
            </w:pPr>
            <w:r>
              <w:rPr>
                <w:b/>
                <w:color w:val="6D28D9"/>
                <w:sz w:val="17"/>
              </w:rPr>
              <w:t xml:space="preserve">RULE  </w:t>
            </w:r>
            <w:r>
              <w:t>An LLC is an entity distinct from its members, formed by filing a certificate of organization (§§ 108, 201). Members and managers are NOT personally liable for company debts solely because of their status, and failing to observe formalities is not a ground for liability (§ 304). A member is NOT an agent of the LLC solely by being a member (§ 301) — authority comes from agency law and filed statements of authority.</w:t>
            </w:r>
          </w:p>
        </w:tc>
      </w:tr>
    </w:tbl>
    <w:p w14:paraId="4C56D1A7" w14:textId="77777777" w:rsidR="00B844AC" w:rsidRDefault="00B844AC">
      <w:pPr>
        <w:spacing w:after="0" w:line="100" w:lineRule="exact"/>
      </w:pPr>
    </w:p>
    <w:tbl>
      <w:tblPr>
        <w:tblW w:w="10080" w:type="dxa"/>
        <w:jc w:val="center"/>
        <w:tblLayout w:type="fixed"/>
        <w:tblCellMar>
          <w:top w:w="40" w:type="dxa"/>
          <w:left w:w="80" w:type="dxa"/>
          <w:bottom w:w="40" w:type="dxa"/>
          <w:right w:w="80" w:type="dxa"/>
        </w:tblCellMar>
        <w:tblLook w:val="04A0" w:firstRow="1" w:lastRow="0" w:firstColumn="1" w:lastColumn="0" w:noHBand="0" w:noVBand="1"/>
      </w:tblPr>
      <w:tblGrid>
        <w:gridCol w:w="2549"/>
        <w:gridCol w:w="3818"/>
        <w:gridCol w:w="3713"/>
      </w:tblGrid>
      <w:tr w:rsidR="00B844AC" w14:paraId="72A9F611" w14:textId="77777777">
        <w:trPr>
          <w:cantSplit/>
          <w:tblHeader/>
          <w:jc w:val="center"/>
        </w:trPr>
        <w:tc>
          <w:tcPr>
            <w:tcW w:w="2549" w:type="dxa"/>
            <w:tcBorders>
              <w:top w:val="single" w:sz="4" w:space="0" w:color="BFC9D9"/>
              <w:left w:val="single" w:sz="4" w:space="0" w:color="BFC9D9"/>
              <w:bottom w:val="single" w:sz="4" w:space="0" w:color="BFC9D9"/>
              <w:right w:val="single" w:sz="4" w:space="0" w:color="BFC9D9"/>
            </w:tcBorders>
            <w:shd w:val="clear" w:color="auto" w:fill="1F3864"/>
          </w:tcPr>
          <w:p w14:paraId="39B5DBE5" w14:textId="77777777" w:rsidR="00B844AC" w:rsidRDefault="00F62A06">
            <w:pPr>
              <w:spacing w:after="0" w:line="240" w:lineRule="auto"/>
            </w:pPr>
            <w:r>
              <w:rPr>
                <w:b/>
                <w:color w:val="FFFFFF"/>
                <w:sz w:val="17"/>
              </w:rPr>
              <w:lastRenderedPageBreak/>
              <w:t>Issue</w:t>
            </w:r>
          </w:p>
        </w:tc>
        <w:tc>
          <w:tcPr>
            <w:tcW w:w="3818" w:type="dxa"/>
            <w:tcBorders>
              <w:top w:val="single" w:sz="4" w:space="0" w:color="BFC9D9"/>
              <w:left w:val="single" w:sz="4" w:space="0" w:color="BFC9D9"/>
              <w:bottom w:val="single" w:sz="4" w:space="0" w:color="BFC9D9"/>
              <w:right w:val="single" w:sz="4" w:space="0" w:color="BFC9D9"/>
            </w:tcBorders>
            <w:shd w:val="clear" w:color="auto" w:fill="1F3864"/>
          </w:tcPr>
          <w:p w14:paraId="10C1AD12" w14:textId="77777777" w:rsidR="00B844AC" w:rsidRDefault="00F62A06">
            <w:pPr>
              <w:spacing w:after="0" w:line="240" w:lineRule="auto"/>
            </w:pPr>
            <w:r>
              <w:rPr>
                <w:b/>
                <w:color w:val="FFFFFF"/>
                <w:sz w:val="17"/>
              </w:rPr>
              <w:t>Member-managed (default)</w:t>
            </w:r>
          </w:p>
        </w:tc>
        <w:tc>
          <w:tcPr>
            <w:tcW w:w="3713" w:type="dxa"/>
            <w:tcBorders>
              <w:top w:val="single" w:sz="4" w:space="0" w:color="BFC9D9"/>
              <w:left w:val="single" w:sz="4" w:space="0" w:color="BFC9D9"/>
              <w:bottom w:val="single" w:sz="4" w:space="0" w:color="BFC9D9"/>
              <w:right w:val="single" w:sz="4" w:space="0" w:color="BFC9D9"/>
            </w:tcBorders>
            <w:shd w:val="clear" w:color="auto" w:fill="1F3864"/>
          </w:tcPr>
          <w:p w14:paraId="71194CF3" w14:textId="77777777" w:rsidR="00B844AC" w:rsidRDefault="00F62A06">
            <w:pPr>
              <w:spacing w:after="0" w:line="240" w:lineRule="auto"/>
            </w:pPr>
            <w:r>
              <w:rPr>
                <w:b/>
                <w:color w:val="FFFFFF"/>
                <w:sz w:val="17"/>
              </w:rPr>
              <w:t>Manager-managed (if agreement says so)</w:t>
            </w:r>
          </w:p>
        </w:tc>
      </w:tr>
      <w:tr w:rsidR="00B844AC" w14:paraId="7D502210" w14:textId="77777777">
        <w:trPr>
          <w:cantSplit/>
          <w:jc w:val="center"/>
        </w:trPr>
        <w:tc>
          <w:tcPr>
            <w:tcW w:w="2549" w:type="dxa"/>
            <w:tcBorders>
              <w:top w:val="single" w:sz="4" w:space="0" w:color="BFC9D9"/>
              <w:left w:val="single" w:sz="24" w:space="0" w:color="EF4444"/>
              <w:bottom w:val="single" w:sz="4" w:space="0" w:color="BFC9D9"/>
              <w:right w:val="single" w:sz="4" w:space="0" w:color="BFC9D9"/>
            </w:tcBorders>
            <w:shd w:val="clear" w:color="auto" w:fill="FDEDED"/>
          </w:tcPr>
          <w:p w14:paraId="7D51EAAD" w14:textId="77777777" w:rsidR="00B844AC" w:rsidRDefault="00F62A06">
            <w:pPr>
              <w:spacing w:after="0" w:line="240" w:lineRule="auto"/>
            </w:pPr>
            <w:r>
              <w:rPr>
                <w:b/>
                <w:sz w:val="17"/>
              </w:rPr>
              <w:t>Who decides</w:t>
            </w:r>
          </w:p>
        </w:tc>
        <w:tc>
          <w:tcPr>
            <w:tcW w:w="3818" w:type="dxa"/>
            <w:tcBorders>
              <w:top w:val="single" w:sz="4" w:space="0" w:color="BFC9D9"/>
              <w:left w:val="single" w:sz="4" w:space="0" w:color="BFC9D9"/>
              <w:bottom w:val="single" w:sz="4" w:space="0" w:color="BFC9D9"/>
              <w:right w:val="single" w:sz="4" w:space="0" w:color="BFC9D9"/>
            </w:tcBorders>
            <w:shd w:val="clear" w:color="auto" w:fill="FDEDED"/>
          </w:tcPr>
          <w:p w14:paraId="4AA4DC78" w14:textId="77777777" w:rsidR="00B844AC" w:rsidRDefault="00F62A06">
            <w:pPr>
              <w:spacing w:after="0" w:line="240" w:lineRule="auto"/>
            </w:pPr>
            <w:r>
              <w:rPr>
                <w:sz w:val="17"/>
              </w:rPr>
              <w:t>Members, equal rights; ordinary matters by majority</w:t>
            </w:r>
          </w:p>
        </w:tc>
        <w:tc>
          <w:tcPr>
            <w:tcW w:w="3713" w:type="dxa"/>
            <w:tcBorders>
              <w:top w:val="single" w:sz="4" w:space="0" w:color="BFC9D9"/>
              <w:left w:val="single" w:sz="4" w:space="0" w:color="BFC9D9"/>
              <w:bottom w:val="single" w:sz="4" w:space="0" w:color="BFC9D9"/>
              <w:right w:val="single" w:sz="4" w:space="0" w:color="BFC9D9"/>
            </w:tcBorders>
            <w:shd w:val="clear" w:color="auto" w:fill="FDEDED"/>
          </w:tcPr>
          <w:p w14:paraId="31AAB78B" w14:textId="77777777" w:rsidR="00B844AC" w:rsidRDefault="00F62A06">
            <w:pPr>
              <w:spacing w:after="0" w:line="240" w:lineRule="auto"/>
            </w:pPr>
            <w:r>
              <w:rPr>
                <w:sz w:val="17"/>
              </w:rPr>
              <w:t>Managers (majority of managers)</w:t>
            </w:r>
          </w:p>
        </w:tc>
      </w:tr>
      <w:tr w:rsidR="00B844AC" w14:paraId="007C7703" w14:textId="77777777">
        <w:trPr>
          <w:cantSplit/>
          <w:jc w:val="center"/>
        </w:trPr>
        <w:tc>
          <w:tcPr>
            <w:tcW w:w="2549" w:type="dxa"/>
            <w:tcBorders>
              <w:top w:val="single" w:sz="4" w:space="0" w:color="BFC9D9"/>
              <w:left w:val="single" w:sz="24" w:space="0" w:color="F97316"/>
              <w:bottom w:val="single" w:sz="4" w:space="0" w:color="BFC9D9"/>
              <w:right w:val="single" w:sz="4" w:space="0" w:color="BFC9D9"/>
            </w:tcBorders>
            <w:shd w:val="clear" w:color="auto" w:fill="FFF1E3"/>
          </w:tcPr>
          <w:p w14:paraId="0637C676" w14:textId="77777777" w:rsidR="00B844AC" w:rsidRDefault="00F62A06">
            <w:pPr>
              <w:spacing w:after="0" w:line="240" w:lineRule="auto"/>
            </w:pPr>
            <w:r>
              <w:rPr>
                <w:b/>
                <w:sz w:val="17"/>
              </w:rPr>
              <w:t>Unanimous member consent needed for</w:t>
            </w:r>
          </w:p>
        </w:tc>
        <w:tc>
          <w:tcPr>
            <w:tcW w:w="3818" w:type="dxa"/>
            <w:tcBorders>
              <w:top w:val="single" w:sz="4" w:space="0" w:color="BFC9D9"/>
              <w:left w:val="single" w:sz="4" w:space="0" w:color="BFC9D9"/>
              <w:bottom w:val="single" w:sz="4" w:space="0" w:color="BFC9D9"/>
              <w:right w:val="single" w:sz="4" w:space="0" w:color="BFC9D9"/>
            </w:tcBorders>
            <w:shd w:val="clear" w:color="auto" w:fill="FFF1E3"/>
          </w:tcPr>
          <w:p w14:paraId="24C56014" w14:textId="77777777" w:rsidR="00B844AC" w:rsidRDefault="00F62A06">
            <w:pPr>
              <w:spacing w:after="0" w:line="240" w:lineRule="auto"/>
            </w:pPr>
            <w:r>
              <w:rPr>
                <w:sz w:val="17"/>
              </w:rPr>
              <w:t>Acts outside ordinary course; amending operating agreement</w:t>
            </w:r>
          </w:p>
        </w:tc>
        <w:tc>
          <w:tcPr>
            <w:tcW w:w="3713" w:type="dxa"/>
            <w:tcBorders>
              <w:top w:val="single" w:sz="4" w:space="0" w:color="BFC9D9"/>
              <w:left w:val="single" w:sz="4" w:space="0" w:color="BFC9D9"/>
              <w:bottom w:val="single" w:sz="4" w:space="0" w:color="BFC9D9"/>
              <w:right w:val="single" w:sz="4" w:space="0" w:color="BFC9D9"/>
            </w:tcBorders>
            <w:shd w:val="clear" w:color="auto" w:fill="FFF1E3"/>
          </w:tcPr>
          <w:p w14:paraId="4303B67B" w14:textId="77777777" w:rsidR="00B844AC" w:rsidRDefault="00F62A06">
            <w:pPr>
              <w:spacing w:after="0" w:line="240" w:lineRule="auto"/>
            </w:pPr>
            <w:r>
              <w:rPr>
                <w:sz w:val="17"/>
              </w:rPr>
              <w:t>Same</w:t>
            </w:r>
          </w:p>
        </w:tc>
      </w:tr>
      <w:tr w:rsidR="00B844AC" w14:paraId="6AD4CD90" w14:textId="77777777">
        <w:trPr>
          <w:cantSplit/>
          <w:jc w:val="center"/>
        </w:trPr>
        <w:tc>
          <w:tcPr>
            <w:tcW w:w="2549" w:type="dxa"/>
            <w:tcBorders>
              <w:top w:val="single" w:sz="4" w:space="0" w:color="BFC9D9"/>
              <w:left w:val="single" w:sz="24" w:space="0" w:color="EAB308"/>
              <w:bottom w:val="single" w:sz="4" w:space="0" w:color="BFC9D9"/>
              <w:right w:val="single" w:sz="4" w:space="0" w:color="BFC9D9"/>
            </w:tcBorders>
            <w:shd w:val="clear" w:color="auto" w:fill="FEF8D2"/>
          </w:tcPr>
          <w:p w14:paraId="41EE57E6" w14:textId="77777777" w:rsidR="00B844AC" w:rsidRDefault="00F62A06">
            <w:pPr>
              <w:spacing w:after="0" w:line="240" w:lineRule="auto"/>
            </w:pPr>
            <w:r>
              <w:rPr>
                <w:b/>
                <w:sz w:val="17"/>
              </w:rPr>
              <w:t>Fiduciary duties (loyalty, care)</w:t>
            </w:r>
          </w:p>
        </w:tc>
        <w:tc>
          <w:tcPr>
            <w:tcW w:w="3818" w:type="dxa"/>
            <w:tcBorders>
              <w:top w:val="single" w:sz="4" w:space="0" w:color="BFC9D9"/>
              <w:left w:val="single" w:sz="4" w:space="0" w:color="BFC9D9"/>
              <w:bottom w:val="single" w:sz="4" w:space="0" w:color="BFC9D9"/>
              <w:right w:val="single" w:sz="4" w:space="0" w:color="BFC9D9"/>
            </w:tcBorders>
            <w:shd w:val="clear" w:color="auto" w:fill="FEF8D2"/>
          </w:tcPr>
          <w:p w14:paraId="6FAEFA07" w14:textId="77777777" w:rsidR="00B844AC" w:rsidRDefault="00F62A06">
            <w:pPr>
              <w:spacing w:after="0" w:line="240" w:lineRule="auto"/>
            </w:pPr>
            <w:r>
              <w:rPr>
                <w:sz w:val="17"/>
              </w:rPr>
              <w:t>Owed by members</w:t>
            </w:r>
          </w:p>
        </w:tc>
        <w:tc>
          <w:tcPr>
            <w:tcW w:w="3713" w:type="dxa"/>
            <w:tcBorders>
              <w:top w:val="single" w:sz="4" w:space="0" w:color="BFC9D9"/>
              <w:left w:val="single" w:sz="4" w:space="0" w:color="BFC9D9"/>
              <w:bottom w:val="single" w:sz="4" w:space="0" w:color="BFC9D9"/>
              <w:right w:val="single" w:sz="4" w:space="0" w:color="BFC9D9"/>
            </w:tcBorders>
            <w:shd w:val="clear" w:color="auto" w:fill="FEF8D2"/>
          </w:tcPr>
          <w:p w14:paraId="26BAE44B" w14:textId="77777777" w:rsidR="00B844AC" w:rsidRDefault="00F62A06">
            <w:pPr>
              <w:spacing w:after="0" w:line="240" w:lineRule="auto"/>
            </w:pPr>
            <w:r>
              <w:rPr>
                <w:sz w:val="17"/>
              </w:rPr>
              <w:t>Owed by managers; members owe none just by being members</w:t>
            </w:r>
          </w:p>
        </w:tc>
      </w:tr>
      <w:tr w:rsidR="00B844AC" w14:paraId="4CF2A9C5" w14:textId="77777777">
        <w:trPr>
          <w:cantSplit/>
          <w:jc w:val="center"/>
        </w:trPr>
        <w:tc>
          <w:tcPr>
            <w:tcW w:w="2549" w:type="dxa"/>
            <w:tcBorders>
              <w:top w:val="single" w:sz="4" w:space="0" w:color="BFC9D9"/>
              <w:left w:val="single" w:sz="24" w:space="0" w:color="22C55E"/>
              <w:bottom w:val="single" w:sz="4" w:space="0" w:color="BFC9D9"/>
              <w:right w:val="single" w:sz="4" w:space="0" w:color="BFC9D9"/>
            </w:tcBorders>
            <w:shd w:val="clear" w:color="auto" w:fill="E8F8EE"/>
          </w:tcPr>
          <w:p w14:paraId="00DEEF9F" w14:textId="77777777" w:rsidR="00B844AC" w:rsidRDefault="00F62A06">
            <w:pPr>
              <w:spacing w:after="0" w:line="240" w:lineRule="auto"/>
            </w:pPr>
            <w:r>
              <w:rPr>
                <w:b/>
                <w:sz w:val="17"/>
              </w:rPr>
              <w:t>Information rights</w:t>
            </w:r>
          </w:p>
        </w:tc>
        <w:tc>
          <w:tcPr>
            <w:tcW w:w="3818" w:type="dxa"/>
            <w:tcBorders>
              <w:top w:val="single" w:sz="4" w:space="0" w:color="BFC9D9"/>
              <w:left w:val="single" w:sz="4" w:space="0" w:color="BFC9D9"/>
              <w:bottom w:val="single" w:sz="4" w:space="0" w:color="BFC9D9"/>
              <w:right w:val="single" w:sz="4" w:space="0" w:color="BFC9D9"/>
            </w:tcBorders>
            <w:shd w:val="clear" w:color="auto" w:fill="E8F8EE"/>
          </w:tcPr>
          <w:p w14:paraId="039B663B" w14:textId="77777777" w:rsidR="00B844AC" w:rsidRDefault="00F62A06">
            <w:pPr>
              <w:spacing w:after="0" w:line="240" w:lineRule="auto"/>
            </w:pPr>
            <w:r>
              <w:rPr>
                <w:sz w:val="17"/>
              </w:rPr>
              <w:t>Members</w:t>
            </w:r>
          </w:p>
        </w:tc>
        <w:tc>
          <w:tcPr>
            <w:tcW w:w="3713" w:type="dxa"/>
            <w:tcBorders>
              <w:top w:val="single" w:sz="4" w:space="0" w:color="BFC9D9"/>
              <w:left w:val="single" w:sz="4" w:space="0" w:color="BFC9D9"/>
              <w:bottom w:val="single" w:sz="4" w:space="0" w:color="BFC9D9"/>
              <w:right w:val="single" w:sz="4" w:space="0" w:color="BFC9D9"/>
            </w:tcBorders>
            <w:shd w:val="clear" w:color="auto" w:fill="E8F8EE"/>
          </w:tcPr>
          <w:p w14:paraId="7BAD9323" w14:textId="77777777" w:rsidR="00B844AC" w:rsidRDefault="00F62A06">
            <w:pPr>
              <w:spacing w:after="0" w:line="240" w:lineRule="auto"/>
            </w:pPr>
            <w:r>
              <w:rPr>
                <w:sz w:val="17"/>
              </w:rPr>
              <w:t>Managers (members more limited)</w:t>
            </w:r>
          </w:p>
        </w:tc>
      </w:tr>
    </w:tbl>
    <w:p w14:paraId="1467D57E" w14:textId="77777777" w:rsidR="00B844AC" w:rsidRDefault="00B844AC">
      <w:pPr>
        <w:spacing w:after="0" w:line="120" w:lineRule="exact"/>
      </w:pPr>
    </w:p>
    <w:p w14:paraId="6E75FDF7" w14:textId="77777777" w:rsidR="00B844AC" w:rsidRDefault="00F62A06">
      <w:pPr>
        <w:pStyle w:val="ListBullet"/>
      </w:pPr>
      <w:r>
        <w:rPr>
          <w:b/>
        </w:rPr>
        <w:t>Operating agreement (§ 105):</w:t>
      </w:r>
      <w:r>
        <w:t xml:space="preserve"> governs, but can't eliminate loyalty, care, or good faith; can't exonerate bad faith or knowing violations; can't vary judicial dissolution grounds. If not manifestly unreasonable, it may narrow loyalty, list permitted activities, and alter care (same structure as RUPA § 105).</w:t>
      </w:r>
    </w:p>
    <w:p w14:paraId="3F9CD99A" w14:textId="77777777" w:rsidR="00B844AC" w:rsidRDefault="00F62A06">
      <w:pPr>
        <w:pStyle w:val="ListBullet"/>
      </w:pPr>
      <w:r>
        <w:rPr>
          <w:b/>
        </w:rPr>
        <w:t>Duties (§ 409):</w:t>
      </w:r>
      <w:r>
        <w:t xml:space="preserve"> loyalty (account for company business, property, opportunities; no adverse dealing; no competing before dissolution); care = no gross negligence, recklessness, intentional misconduct, or knowing violation of law; plus good faith and fair dealing.</w:t>
      </w:r>
    </w:p>
    <w:p w14:paraId="7F54BFEF" w14:textId="77777777" w:rsidR="00B844AC" w:rsidRDefault="00F62A06">
      <w:pPr>
        <w:pStyle w:val="ListBullet"/>
      </w:pPr>
      <w:r>
        <w:rPr>
          <w:b/>
        </w:rPr>
        <w:t>Money:</w:t>
      </w:r>
      <w:r>
        <w:t xml:space="preserve"> distributions in equal shares unless agreed; no right to interim distributions; no distribution if it would make the LLC insolvent — consenting members/managers are personally liable for the excess (§§ 404–406).</w:t>
      </w:r>
    </w:p>
    <w:p w14:paraId="71542F9A" w14:textId="77777777" w:rsidR="00B844AC" w:rsidRDefault="00F62A06">
      <w:pPr>
        <w:pStyle w:val="ListBullet"/>
      </w:pPr>
      <w:r>
        <w:rPr>
          <w:b/>
        </w:rPr>
        <w:t>Transfers and creditors:</w:t>
      </w:r>
      <w:r>
        <w:t xml:space="preserve"> a transferee gets distributions only; a creditor's charging order is the exclusive remedy, except foreclosure on a sole member's interest passes the whole interest (§§ 502–503).</w:t>
      </w:r>
    </w:p>
    <w:p w14:paraId="45B329D8" w14:textId="77777777" w:rsidR="00B844AC" w:rsidRDefault="00F62A06">
      <w:pPr>
        <w:pStyle w:val="ListBullet"/>
      </w:pPr>
      <w:r>
        <w:rPr>
          <w:b/>
        </w:rPr>
        <w:t>Exit:</w:t>
      </w:r>
      <w:r>
        <w:t xml:space="preserve"> a member may withdraw any time, but it's wrongful if it breaches the agreement or comes before winding up is complete. </w:t>
      </w:r>
      <w:r>
        <w:rPr>
          <w:b/>
        </w:rPr>
        <w:t>No mandatory buyout</w:t>
      </w:r>
      <w:r>
        <w:t xml:space="preserve"> — the departing member keeps its economic interest only as a transferee (§§ 601–603).</w:t>
      </w:r>
    </w:p>
    <w:p w14:paraId="055929E6" w14:textId="77777777" w:rsidR="00B844AC" w:rsidRDefault="00F62A06">
      <w:pPr>
        <w:pStyle w:val="ListBullet"/>
      </w:pPr>
      <w:r>
        <w:rPr>
          <w:b/>
        </w:rPr>
        <w:t>Dissolution (§ 701):</w:t>
      </w:r>
      <w:r>
        <w:t xml:space="preserve"> event in the agreement; unanimous consent; 90 days with no members; or court order on a member's application (unlawful business; not reasonably practicable to continue; controllers acting illegally, fraudulently, or </w:t>
      </w:r>
      <w:r>
        <w:rPr>
          <w:b/>
        </w:rPr>
        <w:t>oppressively</w:t>
      </w:r>
      <w:r>
        <w:t xml:space="preserve"> — court may give a lesser remedy). Winding up pays creditors (incl. members), then unreturned contributions, then surplus (§ 707).</w:t>
      </w:r>
    </w:p>
    <w:p w14:paraId="48A91BA5" w14:textId="77777777" w:rsidR="00B844AC" w:rsidRDefault="00F62A06">
      <w:pPr>
        <w:pStyle w:val="ListBullet"/>
      </w:pPr>
      <w:r>
        <w:rPr>
          <w:b/>
        </w:rPr>
        <w:t>Suits:</w:t>
      </w:r>
      <w:r>
        <w:t xml:space="preserve"> a direct action needs an injury not solely derivative of the company's; a derivative action needs a demand or futility (§§ 801–802).</w:t>
      </w:r>
    </w:p>
    <w:tbl>
      <w:tblPr>
        <w:tblW w:w="10080" w:type="dxa"/>
        <w:jc w:val="center"/>
        <w:tblLayout w:type="fixed"/>
        <w:tblCellMar>
          <w:top w:w="70" w:type="dxa"/>
          <w:left w:w="140" w:type="dxa"/>
          <w:bottom w:w="70" w:type="dxa"/>
          <w:right w:w="120" w:type="dxa"/>
        </w:tblCellMar>
        <w:tblLook w:val="04A0" w:firstRow="1" w:lastRow="0" w:firstColumn="1" w:lastColumn="0" w:noHBand="0" w:noVBand="1"/>
      </w:tblPr>
      <w:tblGrid>
        <w:gridCol w:w="10080"/>
      </w:tblGrid>
      <w:tr w:rsidR="00B844AC" w14:paraId="16022836" w14:textId="77777777">
        <w:trPr>
          <w:cantSplit/>
          <w:jc w:val="center"/>
        </w:trPr>
        <w:tc>
          <w:tcPr>
            <w:tcW w:w="10080" w:type="dxa"/>
            <w:tcBorders>
              <w:top w:val="nil"/>
              <w:left w:val="single" w:sz="30" w:space="0" w:color="DB2777"/>
              <w:bottom w:val="nil"/>
              <w:right w:val="nil"/>
            </w:tcBorders>
            <w:shd w:val="clear" w:color="auto" w:fill="FDEFF6"/>
          </w:tcPr>
          <w:p w14:paraId="1A966089" w14:textId="77777777" w:rsidR="00B844AC" w:rsidRDefault="00F62A06">
            <w:pPr>
              <w:spacing w:after="0"/>
            </w:pPr>
            <w:r>
              <w:rPr>
                <w:b/>
                <w:color w:val="9D174D"/>
                <w:sz w:val="17"/>
              </w:rPr>
              <w:t xml:space="preserve">TIP  </w:t>
            </w:r>
            <w:r>
              <w:t>LLC vs. general partnership on the exam — members aren't automatic agents (partners are); members have a full liability shield without filing an LLP statement; dissociation gives no buyout right (RUPA § 701 does); oppression is a ground for judicial dissolution.</w:t>
            </w:r>
          </w:p>
        </w:tc>
      </w:tr>
    </w:tbl>
    <w:p w14:paraId="6BCD5B2F" w14:textId="77777777" w:rsidR="00B844AC" w:rsidRDefault="00B844AC">
      <w:pPr>
        <w:spacing w:after="0" w:line="100" w:lineRule="exact"/>
      </w:pPr>
    </w:p>
    <w:sectPr w:rsidR="00B844AC" w:rsidSect="00034616">
      <w:headerReference w:type="default" r:id="rId8"/>
      <w:footerReference w:type="default" r:id="rId9"/>
      <w:pgSz w:w="12240" w:h="15840"/>
      <w:pgMar w:top="1008" w:right="1080" w:bottom="936"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C616D4" w14:textId="77777777" w:rsidR="00F62A06" w:rsidRDefault="00F62A06">
      <w:pPr>
        <w:spacing w:after="0" w:line="240" w:lineRule="auto"/>
      </w:pPr>
      <w:r>
        <w:separator/>
      </w:r>
    </w:p>
  </w:endnote>
  <w:endnote w:type="continuationSeparator" w:id="0">
    <w:p w14:paraId="548B1001" w14:textId="77777777" w:rsidR="00F62A06" w:rsidRDefault="00F62A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7654E" w14:textId="77777777" w:rsidR="00B844AC" w:rsidRDefault="00F62A06">
    <w:pPr>
      <w:pStyle w:val="Footer"/>
      <w:jc w:val="center"/>
    </w:pPr>
    <w:r>
      <w:rPr>
        <w:color w:val="595959"/>
        <w:sz w:val="17"/>
      </w:rPr>
      <w:fldChar w:fldCharType="begin"/>
    </w:r>
    <w:r>
      <w:rPr>
        <w:color w:val="595959"/>
        <w:sz w:val="17"/>
      </w:rPr>
      <w:instrText>PAGE</w:instrText>
    </w:r>
    <w:r>
      <w:rPr>
        <w:color w:val="595959"/>
        <w:sz w:val="17"/>
      </w:rPr>
      <w:fldChar w:fldCharType="separate"/>
    </w:r>
    <w:r>
      <w:rPr>
        <w:color w:val="595959"/>
        <w:sz w:val="17"/>
      </w:rPr>
      <w:t>1</w:t>
    </w:r>
    <w:r>
      <w:rPr>
        <w:color w:val="595959"/>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76833" w14:textId="77777777" w:rsidR="00F62A06" w:rsidRDefault="00F62A06">
      <w:pPr>
        <w:spacing w:after="0" w:line="240" w:lineRule="auto"/>
      </w:pPr>
      <w:r>
        <w:separator/>
      </w:r>
    </w:p>
  </w:footnote>
  <w:footnote w:type="continuationSeparator" w:id="0">
    <w:p w14:paraId="1F107A26" w14:textId="77777777" w:rsidR="00F62A06" w:rsidRDefault="00F62A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DF9E1" w14:textId="77777777" w:rsidR="00B844AC" w:rsidRDefault="00F62A06">
    <w:pPr>
      <w:pStyle w:val="Header"/>
      <w:pBdr>
        <w:bottom w:val="single" w:sz="4" w:space="2" w:color="BFC9D9"/>
      </w:pBdr>
      <w:jc w:val="right"/>
    </w:pPr>
    <w:r>
      <w:rPr>
        <w:i/>
        <w:color w:val="595959"/>
        <w:sz w:val="16"/>
      </w:rPr>
      <w:t>Agency &amp; Partnership — Condensed Outline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61557058">
    <w:abstractNumId w:val="8"/>
  </w:num>
  <w:num w:numId="2" w16cid:durableId="437607293">
    <w:abstractNumId w:val="6"/>
  </w:num>
  <w:num w:numId="3" w16cid:durableId="905921200">
    <w:abstractNumId w:val="5"/>
  </w:num>
  <w:num w:numId="4" w16cid:durableId="477764164">
    <w:abstractNumId w:val="4"/>
  </w:num>
  <w:num w:numId="5" w16cid:durableId="1163618920">
    <w:abstractNumId w:val="7"/>
  </w:num>
  <w:num w:numId="6" w16cid:durableId="1561015886">
    <w:abstractNumId w:val="3"/>
  </w:num>
  <w:num w:numId="7" w16cid:durableId="627711265">
    <w:abstractNumId w:val="2"/>
  </w:num>
  <w:num w:numId="8" w16cid:durableId="2051416566">
    <w:abstractNumId w:val="1"/>
  </w:num>
  <w:num w:numId="9" w16cid:durableId="73558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888"/>
    <w:rsid w:val="0015074B"/>
    <w:rsid w:val="0029639D"/>
    <w:rsid w:val="00326F90"/>
    <w:rsid w:val="00827FED"/>
    <w:rsid w:val="00AA1D8D"/>
    <w:rsid w:val="00B47730"/>
    <w:rsid w:val="00B844AC"/>
    <w:rsid w:val="00CB0664"/>
    <w:rsid w:val="00F62A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6C94C4"/>
  <w14:defaultImageDpi w14:val="300"/>
  <w15:docId w15:val="{437C0AE7-FA68-4240-94C1-80A211185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52" w:lineRule="auto"/>
    </w:pPr>
    <w:rPr>
      <w:rFonts w:ascii="Calibri" w:eastAsia="Calibri" w:hAnsi="Calibri"/>
      <w:sz w:val="20"/>
    </w:rPr>
  </w:style>
  <w:style w:type="paragraph" w:styleId="Heading1">
    <w:name w:val="heading 1"/>
    <w:basedOn w:val="Normal"/>
    <w:next w:val="Normal"/>
    <w:link w:val="Heading1Char"/>
    <w:uiPriority w:val="9"/>
    <w:qFormat/>
    <w:rsid w:val="00FC693F"/>
    <w:pPr>
      <w:keepNext/>
      <w:keepLines/>
      <w:spacing w:after="160"/>
      <w:outlineLvl w:val="0"/>
    </w:pPr>
    <w:rPr>
      <w:rFonts w:ascii="Georgia" w:eastAsia="Georgia" w:hAnsi="Georgia" w:cs="Georgia"/>
      <w:b/>
      <w:bCs/>
      <w:color w:val="FFFFFF"/>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Georgia" w:eastAsia="Georgia" w:hAnsi="Georgia" w:cs="Georgia"/>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cs="Calibri"/>
      <w:b/>
      <w:bCs/>
      <w:color w:val="2E75B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3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B1888"/>
    <w:pPr>
      <w:spacing w:after="100"/>
    </w:pPr>
  </w:style>
  <w:style w:type="paragraph" w:styleId="TOC2">
    <w:name w:val="toc 2"/>
    <w:basedOn w:val="Normal"/>
    <w:next w:val="Normal"/>
    <w:autoRedefine/>
    <w:uiPriority w:val="39"/>
    <w:unhideWhenUsed/>
    <w:rsid w:val="000B1888"/>
    <w:pPr>
      <w:spacing w:after="100"/>
      <w:ind w:left="200"/>
    </w:pPr>
  </w:style>
  <w:style w:type="character" w:styleId="Hyperlink">
    <w:name w:val="Hyperlink"/>
    <w:basedOn w:val="DefaultParagraphFont"/>
    <w:uiPriority w:val="99"/>
    <w:unhideWhenUsed/>
    <w:rsid w:val="000B18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15901</Words>
  <Characters>90640</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Steven Wynn</cp:lastModifiedBy>
  <cp:revision>2</cp:revision>
  <dcterms:created xsi:type="dcterms:W3CDTF">2013-12-23T23:15:00Z</dcterms:created>
  <dcterms:modified xsi:type="dcterms:W3CDTF">2026-10-18T15:41:00Z</dcterms:modified>
  <cp:category/>
</cp:coreProperties>
</file>