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WeeklyKicker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周度技术战略洞察</w:t>
      </w:r>
    </w:p>
    <w:p>
      <w:pPr>
        <w:pStyle w:val="WeeklyTitle"/>
      </w:pPr>
      <w:r>
        <w:rPr>
          <w:rFonts w:ascii="Songti SC" w:hAnsi="Songti SC" w:eastAsia="Songti SC" w:cs="Songti SC" w:hint="eastAsia"/>
          <w:lang w:val="zh-CN" w:eastAsia="zh-CN"/>
        </w:rPr>
        <w:t xml:space="preserve">企业 Agent 进入统一治理阶段</w:t>
      </w:r>
    </w:p>
    <w:p>
      <w:pPr>
        <w:pStyle w:val="WeeklySubtitl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从已确认事件与公开案例出发，解释治理控制为何在本期变得重要。</w:t>
      </w:r>
    </w:p>
    <w:p>
      <w:pPr>
        <w:pStyle w:val="WeeklyMeta"/>
      </w:pPr>
      <w:r>
        <w:rPr>
          <w:rFonts w:ascii="PingFang SC" w:hAnsi="PingFang SC" w:eastAsia="PingFang SC" w:cs="PingFang SC" w:hint="eastAsia"/>
          <w:lang w:val="zh-CN" w:eastAsia="zh-CN"/>
        </w:rPr>
        <w:t xml:space="preserve">观察期：2026-07-27—2026-08-02 · 2026 W31</w:t>
      </w:r>
    </w:p>
    <w:p>
      <w:pPr>
        <w:pStyle w:val="WeeklyMeta"/>
      </w:pPr>
      <w:r>
        <w:rPr>
          <w:rFonts w:ascii="PingFang SC" w:hAnsi="PingFang SC" w:eastAsia="PingFang SC" w:cs="PingFang SC" w:hint="eastAsia"/>
          <w:lang w:val="zh-CN" w:eastAsia="zh-CN"/>
        </w:rPr>
        <w:t xml:space="preserve">截至：2026-08-03T09:30:00+08:00 · 1 个技术专题</w:t>
      </w:r>
    </w:p>
    <w:p>
      <w:pPr>
        <w:pStyle w:val="WeeklyHeading1"/>
      </w:pPr>
      <w:r>
        <w:rPr>
          <w:rFonts w:ascii="Songti SC" w:hAnsi="Songti SC" w:eastAsia="Songti SC" w:cs="Songti SC" w:hint="eastAsia"/>
          <w:lang w:val="zh-CN" w:eastAsia="zh-CN"/>
        </w:rPr>
        <w:t xml:space="preserve">本期主线：Agent 的运行边界开始进入平台治理范围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连接器授权、计划任务与持续运行把 Agent 治理从单次交互扩展到完整生命周期。</w:t>
      </w:r>
    </w:p>
    <w:p>
      <w:pPr>
        <w:pStyle w:val="WeeklyKicker"/>
      </w:pPr>
      <w:r>
        <w:rPr>
          <w:rFonts w:ascii="PingFang SC" w:hAnsi="PingFang SC" w:eastAsia="PingFang SC" w:cs="PingFang SC" w:hint="eastAsia"/>
          <w:lang w:val="zh-CN" w:eastAsia="zh-CN"/>
        </w:rPr>
        <w:t xml:space="preserve">专题 1</w:t>
      </w:r>
    </w:p>
    <w:p>
      <w:pPr>
        <w:pStyle w:val="WeeklyHeading1"/>
      </w:pPr>
      <w:r>
        <w:rPr>
          <w:rFonts w:ascii="Songti SC" w:hAnsi="Songti SC" w:eastAsia="Songti SC" w:cs="Songti SC" w:hint="eastAsia"/>
          <w:lang w:val="zh-CN" w:eastAsia="zh-CN"/>
        </w:rPr>
        <w:t xml:space="preserve">企业开始把 Agent 纳入统一身份和权限管理</w:t>
      </w:r>
    </w:p>
    <w:p>
      <w:pPr>
        <w:pStyle w:val="WeeklyHeading1"/>
      </w:pPr>
      <w:bookmarkStart w:id="1" w:name="thesis_runtime_001_facts"/>
      <w:r>
        <w:rPr>
          <w:rFonts w:ascii="Songti SC" w:hAnsi="Songti SC" w:eastAsia="Songti SC" w:cs="Songti SC" w:hint="eastAsia"/>
          <w:lang w:val="zh-CN" w:eastAsia="zh-CN"/>
        </w:rPr>
        <w:t>事实与案例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AgentForger 利用了已经修复的 CSRF（跨站请求伪造）问题。攻击者诱导已登录用户的浏览器提交未经用户确认的请求。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公开复现显示，连接器授权、Agent 创建、审批设置与计划任务共同决定了后续执行范围；该案例不能代表其他 Agent 平台的总体安全状态。</w:t>
      </w:r>
    </w:p>
    <w:p>
      <w:pPr>
        <w:pStyle w:val="WeeklyBullet"/>
        <w:numPr>
          <w:ilvl w:val="0"/>
          <w:numId w:val="1"/>
        </w:numPr>
      </w:pPr>
      <w:r>
        <w:rPr>
          <w:rFonts w:ascii="PingFang SC" w:hAnsi="PingFang SC" w:eastAsia="PingFang SC" w:cs="PingFang SC" w:hint="eastAsia"/>
          <w:lang w:val="zh-CN" w:eastAsia="zh-CN"/>
        </w:rPr>
        <w:t xml:space="preserve">漏洞已修复，公开披露与修复时间均可回溯。</w:t>
      </w:r>
    </w:p>
    <w:p>
      <w:pPr>
        <w:pStyle w:val="WeeklyEvidenc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术语｜CSRF：攻击者诱导已登录用户的浏览器提交未经用户确认的请求。</w:t>
      </w:r>
    </w:p>
    <w:p>
      <w:pPr>
        <w:jc w:val="center"/>
        <w:spacing w:before="120" w:after="100"/>
      </w:pPr>
      <w:r>
        <w:drawing>
          <wp:inline xmlns:wp="http://schemas.openxmlformats.org/drawingml/2006/wordprocessingDrawing" distT="0" distB="0" distL="0" distR="0">
            <wp:extent cx="5900000" cy="3285157"/>
            <wp:docPr id="1" name="architecture-agent-governance" descr="企业 Agent 治理依赖关系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-agent-governance" descr="企业 Agent 治理依赖关系图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28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WeeklySummary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图示关系（dependency）：Agent 调用连接器访问企业系统；身份、权限和审计控制共同约束调用范围。</w:t>
      </w:r>
    </w:p>
    <w:p>
      <w:pPr>
        <w:pStyle w:val="WeeklyEvidenc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图注：Agent 经由连接器访问企业系统，治理控制约束身份、权限和审计。｜来源：依据公开事实绘制｜https://labs.zenity.io/p/agentforger-part-1-chatgpt-cross-site-agent-forgery｜使用权：本项目依据公开事实绘制</w:t>
      </w:r>
    </w:p>
    <w:p>
      <w:pPr>
        <w:pStyle w:val="WeeklyEvidenc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证据：AgentForger 公开披露与修复记录｜Zenity Labs｜https://labs.zenity.io/p/agentforger-part-1-chatgpt-cross-site-agent-forgery</w:t>
      </w:r>
      <w:bookmarkEnd w:id="1"/>
    </w:p>
    <w:p>
      <w:pPr>
        <w:pStyle w:val="WeeklyKicker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发现 1</w:t>
      </w:r>
    </w:p>
    <w:p>
      <w:pPr>
        <w:pStyle w:val="WeeklyHeading1"/>
      </w:pPr>
      <w:bookmarkStart w:id="2" w:name="finding_agent_volume"/>
      <w:r>
        <w:rPr>
          <w:rFonts w:ascii="Songti SC" w:hAnsi="Songti SC" w:eastAsia="Songti SC" w:cs="Songti SC" w:hint="eastAsia"/>
          <w:lang w:val="zh-CN" w:eastAsia="zh-CN"/>
        </w:rPr>
        <w:t>Agent 数量增长推动统一治理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分散的创建入口、授权记录和计划任务增加了追踪、撤权和停用的难度，这在 Agent 数量增长后变得更重要。</w:t>
      </w:r>
    </w:p>
    <w:p>
      <w:pPr>
        <w:pStyle w:val="WeeklyEvidenc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证据：AgentForger 公开披露与修复记录｜Zenity Labs｜https://labs.zenity.io/p/agentforger-part-1-chatgpt-cross-site-agent-forgery</w:t>
      </w:r>
      <w:bookmarkEnd w:id="2"/>
    </w:p>
    <w:p>
      <w:pPr>
        <w:pStyle w:val="WeeklyHeading1"/>
      </w:pPr>
      <w:bookmarkStart w:id="3" w:name="thesis_runtime_001_industry"/>
      <w:r>
        <w:rPr>
          <w:rFonts w:ascii="Songti SC" w:hAnsi="Songti SC" w:eastAsia="Songti SC" w:cs="Songti SC" w:hint="eastAsia"/>
          <w:lang w:val="zh-CN" w:eastAsia="zh-CN"/>
        </w:rPr>
        <w:t>产业影响</w:t>
      </w:r>
    </w:p>
    <w:p>
      <w:pPr>
        <w:pStyle w:val="WeeklySummary"/>
      </w:pPr>
      <w:r>
        <w:rPr>
          <w:rFonts w:ascii="PingFang SC" w:hAnsi="PingFang SC" w:eastAsia="PingFang SC" w:cs="PingFang SC" w:hint="eastAsia"/>
          <w:lang w:val="zh-CN" w:eastAsia="zh-CN"/>
        </w:rPr>
        <w:t xml:space="preserve">Agent 管理将覆盖身份、权限、运行记录和停用流程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平台需要把统一清单、最小权限、操作审计、环境隔离和停用能力纳入产品验收。</w:t>
      </w:r>
    </w:p>
    <w:p>
      <w:pPr>
        <w:pStyle w:val="WeeklyBullet"/>
        <w:numPr>
          <w:ilvl w:val="0"/>
          <w:numId w:val="1"/>
        </w:numPr>
      </w:pPr>
      <w:r>
        <w:rPr>
          <w:rFonts w:ascii="PingFang SC" w:hAnsi="PingFang SC" w:eastAsia="PingFang SC" w:cs="PingFang SC" w:hint="eastAsia"/>
          <w:lang w:val="zh-CN" w:eastAsia="zh-CN"/>
        </w:rPr>
        <w:t xml:space="preserve">安全控制要与任务成功率、误报、审批次数和恢复时间共同验收。</w:t>
      </w:r>
    </w:p>
    <w:p>
      <w:pPr>
        <w:pStyle w:val="WeeklyEvidenc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证据：AgentForger 公开披露与修复记录｜Zenity Labs｜https://labs.zenity.io/p/agentforger-part-1-chatgpt-cross-site-agent-forgery</w:t>
      </w:r>
      <w:bookmarkEnd w:id="3"/>
    </w:p>
    <w:p>
      <w:pPr>
        <w:pStyle w:val="WeeklyHeading1"/>
      </w:pPr>
      <w:r>
        <w:rPr>
          <w:rFonts w:ascii="Songti SC" w:hAnsi="Songti SC" w:eastAsia="Songti SC" w:cs="Songti SC" w:hint="eastAsia"/>
          <w:lang w:val="zh-CN" w:eastAsia="zh-CN"/>
        </w:rPr>
        <w:t xml:space="preserve">战略建议</w:t>
      </w:r>
    </w:p>
    <w:p>
      <w:pPr>
        <w:pStyle w:val="WeeklyHeading1"/>
      </w:pPr>
      <w:bookmarkStart w:id="4" w:name="recommendation_agent_governan_ac986da53d"/>
      <w:r>
        <w:rPr>
          <w:rFonts w:ascii="Songti SC" w:hAnsi="Songti SC" w:eastAsia="Songti SC" w:cs="Songti SC" w:hint="eastAsia"/>
          <w:lang w:val="zh-CN" w:eastAsia="zh-CN"/>
        </w:rPr>
        <w:t>建立 Agent 生命周期治理基线。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连接器权限和计划任务使一次配置错误可能影响后续执行。</w:t>
      </w:r>
    </w:p>
    <w:p>
      <w:pPr>
        <w:pStyle w:val="WeeklySummary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建议动作：在既有平台中统一清单、所有者、权限、运行记录、版本和停用入口。</w:t>
      </w:r>
    </w:p>
    <w:p>
      <w:pPr>
        <w:pStyle w:val="WeeklyMeta"/>
      </w:pPr>
      <w:r>
        <w:rPr>
          <w:rFonts w:ascii="PingFang SC" w:hAnsi="PingFang SC" w:eastAsia="PingFang SC" w:cs="PingFang SC" w:hint="eastAsia"/>
          <w:lang w:val="zh-CN" w:eastAsia="zh-CN"/>
        </w:rPr>
        <w:t xml:space="preserve">决策窗口：下一次平台版本规划前</w:t>
      </w:r>
      <w:bookmarkEnd w:id="4"/>
    </w:p>
    <w:p>
      <w:pPr>
        <w:pStyle w:val="WeeklyHeading1"/>
      </w:pPr>
      <w:r>
        <w:rPr>
          <w:rFonts w:ascii="Songti SC" w:hAnsi="Songti SC" w:eastAsia="Songti SC" w:cs="Songti SC" w:hint="eastAsia"/>
          <w:lang w:val="zh-CN" w:eastAsia="zh-CN"/>
        </w:rPr>
        <w:t xml:space="preserve">证据来源</w:t>
      </w:r>
    </w:p>
    <w:p>
      <w:pPr>
        <w:pStyle w:val="WeeklyEvidence"/>
      </w:pPr>
      <w:r>
        <w:rPr>
          <w:rFonts w:ascii="PingFang SC" w:hAnsi="PingFang SC" w:eastAsia="PingFang SC" w:cs="PingFang SC" w:hint="eastAsia"/>
          <w:lang w:val="zh-CN" w:eastAsia="zh-CN"/>
        </w:rPr>
        <w:t xml:space="preserve">AgentForger 公开披露与修复记录｜Zenity Labs｜https://labs.zenity.io/p/agentforger-part-1-chatgpt-cross-site-agent-forgery</w:t>
      </w:r>
    </w:p>
    <w:p>
      <w:pPr>
        <w:pStyle w:val="Normal"/>
      </w:pPr>
      <w:r>
        <w:rPr>
          <w:rFonts w:ascii="PingFang SC" w:hAnsi="PingFang SC" w:eastAsia="PingFang SC" w:cs="PingFang SC" w:hint="eastAsia"/>
          <w:lang w:val="zh-CN" w:eastAsia="zh-CN"/>
        </w:rPr>
        <w:t xml:space="preserve">支持事件过程、成立条件和修复状态，不外推其他平台。</w:t>
      </w:r>
    </w:p>
    <w:p>
      <w:pPr>
        <w:pStyle w:val="WeeklyHeading1"/>
      </w:pPr>
      <w:r>
        <w:rPr>
          <w:rFonts w:ascii="Songti SC" w:hAnsi="Songti SC" w:eastAsia="Songti SC" w:cs="Songti SC" w:hint="eastAsia"/>
          <w:lang w:val="zh-CN" w:eastAsia="zh-CN"/>
        </w:rPr>
        <w:t xml:space="preserve">版本与反馈绑定信息</w:t>
      </w:r>
    </w:p>
    <w:p>
      <w:pPr>
        <w:pStyle w:val="WeeklyReceipt"/>
      </w:pPr>
      <w:r>
        <w:rPr>
          <w:rFonts w:ascii="PingFang SC" w:hAnsi="PingFang SC" w:eastAsia="PingFang SC" w:cs="PingFang SC" w:hint="eastAsia"/>
          <w:lang w:val="zh-CN" w:eastAsia="zh-CN"/>
        </w:rPr>
        <w:t xml:space="preserve">Artifact: wsi-2026-w31-v3</w:t>
      </w:r>
    </w:p>
    <w:p>
      <w:pPr>
        <w:pStyle w:val="WeeklyReceipt"/>
      </w:pPr>
      <w:r>
        <w:rPr>
          <w:rFonts w:ascii="PingFang SC" w:hAnsi="PingFang SC" w:eastAsia="PingFang SC" w:cs="PingFang SC" w:hint="eastAsia"/>
          <w:lang w:val="zh-CN" w:eastAsia="zh-CN"/>
        </w:rPr>
        <w:t xml:space="preserve">Run: weekly-run-2026-w31-v3 · Version: 1.0</w:t>
      </w:r>
    </w:p>
    <w:p>
      <w:pPr>
        <w:pStyle w:val="WeeklyReceipt"/>
      </w:pPr>
      <w:r>
        <w:rPr>
          <w:rFonts w:ascii="PingFang SC" w:hAnsi="PingFang SC" w:eastAsia="PingFang SC" w:cs="PingFang SC" w:hint="eastAsia"/>
          <w:lang w:val="zh-CN" w:eastAsia="zh-CN"/>
        </w:rPr>
        <w:t xml:space="preserve">Content SHA-256: 556d4a5281ab474dae8742dfd0214dbfe534ea1cb394ffa507ae210035ec3e50</w:t>
      </w:r>
    </w:p>
    <w:sectPr>
      <w:footerReference w:type="default" r:id="rId4"/>
      <w:pgSz w:w="11906" w:h="16838"/>
      <w:pgMar w:top="1134" w:right="1134" w:bottom="1134" w:left="1134" w:header="708" w:footer="708"/>
    </w:sectPr>
  </w:body>
</w:document>
</file>

<file path=word/fontTable.xml><?xml version="1.0" encoding="utf-8"?>
<w:fonts xmlns:w="http://schemas.openxmlformats.org/wordprocessingml/2006/main">
  <w:font w:name="Aptos">
    <w:family w:val="swiss"/>
    <w:pitch w:val="variable"/>
  </w:font>
  <w:font w:name="PingFang SC">
    <w:altName w:val="Microsoft YaHei"/>
    <w:family w:val="swiss"/>
    <w:pitch w:val="variable"/>
  </w:font>
  <w:font w:name="Georgia">
    <w:family w:val="roman"/>
    <w:pitch w:val="variable"/>
  </w:font>
  <w:font w:name="Songti SC">
    <w:altName w:val="SimSun"/>
    <w:family w:val="roman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PingFang SC" w:hAnsi="PingFang SC" w:eastAsia="PingFang SC" w:cs="PingFang SC" w:hint="eastAsia"/>
        <w:lang w:val="zh-CN" w:eastAsia="zh-CN"/>
        <w:color w:val="8A847B"/>
        <w:sz w:val="16"/>
      </w:rPr>
      <w:t>2026 W31 · 周度技术战略洞察</w:t>
    </w:r>
  </w:p>
</w:ft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00" w:line="280" w:lineRule="auto"/>
      </w:pPr>
      <w:rPr>
        <w:rFonts w:ascii="PingFang SC" w:hAnsi="PingFang SC" w:eastAsia="PingFang SC" w:cs="PingFang SC" w:hint="eastAsia"/>
        <w:sz w:val="22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PingFang SC" w:hAnsi="PingFang SC" w:eastAsia="PingFang SC" w:cs="PingFang SC" w:hint="eastAsia"/>
        <w:lang w:val="zh-CN" w:eastAsia="zh-CN"/>
        <w:sz w:val="22"/>
        <w:szCs w:val="22"/>
        <w:color w:val="24211D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PingFang SC" w:hAnsi="PingFang SC" w:eastAsia="PingFang SC" w:cs="PingFang SC" w:hint="eastAsia"/>
      <w:lang w:val="zh-CN" w:eastAsia="zh-CN"/>
      <w:sz w:val="22"/>
      <w:szCs w:val="22"/>
      <w:color w:val="24211D"/>
    </w:rPr>
  </w:style>
  <w:style w:type="paragraph" w:styleId="WeeklyKicker">
    <w:name w:val="Weekly Kicker"/>
    <w:basedOn w:val="Normal"/>
    <w:next w:val="WeeklyTitle"/>
    <w:pPr>
      <w:spacing w:before="0" w:after="100"/>
      <w:keepNext/>
    </w:pPr>
    <w:rPr>
      <w:rFonts w:ascii="PingFang SC" w:hAnsi="PingFang SC" w:eastAsia="PingFang SC" w:cs="PingFang SC" w:hint="eastAsia"/>
      <w:lang w:val="zh-CN" w:eastAsia="zh-CN"/>
      <w:b/>
      <w:sz w:val="18"/>
      <w:szCs w:val="18"/>
      <w:color w:val="2F6B5B"/>
      <w:caps/>
    </w:rPr>
  </w:style>
  <w:style w:type="paragraph" w:styleId="WeeklyTitle">
    <w:name w:val="Weekly Title"/>
    <w:basedOn w:val="Normal"/>
    <w:next w:val="WeeklySubtitle"/>
    <w:qFormat/>
    <w:pPr>
      <w:spacing w:before="0" w:after="120"/>
      <w:keepNext/>
      <w:keepLines/>
    </w:pPr>
    <w:rPr>
      <w:rFonts w:ascii="Songti SC" w:hAnsi="Songti SC" w:eastAsia="Songti SC" w:cs="Songti SC" w:hint="eastAsia"/>
      <w:lang w:val="zh-CN" w:eastAsia="zh-CN"/>
      <w:b/>
      <w:sz w:val="56"/>
      <w:szCs w:val="56"/>
      <w:color w:val="24211D"/>
    </w:rPr>
  </w:style>
  <w:style w:type="paragraph" w:styleId="WeeklySubtitle">
    <w:name w:val="Weekly Subtitle"/>
    <w:basedOn w:val="Normal"/>
    <w:next w:val="WeeklyMeta"/>
    <w:pPr>
      <w:spacing w:before="0" w:after="200" w:line="288" w:lineRule="auto"/>
      <w:keepNext/>
    </w:pPr>
    <w:rPr>
      <w:rFonts w:ascii="PingFang SC" w:hAnsi="PingFang SC" w:eastAsia="PingFang SC" w:cs="PingFang SC" w:hint="eastAsia"/>
      <w:lang w:val="zh-CN" w:eastAsia="zh-CN"/>
      <w:sz w:val="24"/>
      <w:szCs w:val="24"/>
      <w:color w:val="5F5A52"/>
    </w:rPr>
  </w:style>
  <w:style w:type="paragraph" w:styleId="WeeklyMeta">
    <w:name w:val="Weekly Meta"/>
    <w:basedOn w:val="Normal"/>
    <w:pPr>
      <w:spacing w:before="0" w:after="40" w:line="240" w:lineRule="auto"/>
    </w:pPr>
    <w:rPr>
      <w:rFonts w:ascii="PingFang SC" w:hAnsi="PingFang SC" w:eastAsia="PingFang SC" w:cs="PingFang SC" w:hint="eastAsia"/>
      <w:lang w:val="zh-CN" w:eastAsia="zh-CN"/>
      <w:sz w:val="18"/>
      <w:szCs w:val="18"/>
      <w:color w:val="746F67"/>
    </w:rPr>
  </w:style>
  <w:style w:type="paragraph" w:styleId="WeeklyHeading1">
    <w:name w:val="Weekly Heading 1"/>
    <w:basedOn w:val="Normal"/>
    <w:next w:val="WeeklySummary"/>
    <w:qFormat/>
    <w:uiPriority w:val="9"/>
    <w:pPr>
      <w:spacing w:before="320" w:after="160"/>
      <w:keepNext/>
      <w:keepLines/>
      <w:outlineLvl w:val="0"/>
    </w:pPr>
    <w:rPr>
      <w:rFonts w:ascii="Songti SC" w:hAnsi="Songti SC" w:eastAsia="Songti SC" w:cs="Songti SC" w:hint="eastAsia"/>
      <w:lang w:val="zh-CN" w:eastAsia="zh-CN"/>
      <w:b/>
      <w:sz w:val="32"/>
      <w:szCs w:val="32"/>
      <w:color w:val="2F6B5B"/>
    </w:rPr>
  </w:style>
  <w:style w:type="paragraph" w:styleId="WeeklySummary">
    <w:name w:val="Weekly Summary"/>
    <w:basedOn w:val="Normal"/>
    <w:pPr>
      <w:spacing w:after="140" w:line="276" w:lineRule="auto"/>
      <w:keepNext/>
    </w:pPr>
    <w:rPr>
      <w:rFonts w:ascii="PingFang SC" w:hAnsi="PingFang SC" w:eastAsia="PingFang SC" w:cs="PingFang SC" w:hint="eastAsia"/>
      <w:lang w:val="zh-CN" w:eastAsia="zh-CN"/>
      <w:b/>
      <w:sz w:val="23"/>
      <w:szCs w:val="23"/>
      <w:color w:val="2B2925"/>
    </w:rPr>
  </w:style>
  <w:style w:type="paragraph" w:styleId="WeeklyBullet">
    <w:name w:val="Weekly Bullet"/>
    <w:basedOn w:val="Normal"/>
    <w:pPr>
      <w:spacing w:after="100" w:line="280" w:lineRule="auto"/>
    </w:pPr>
    <w:rPr>
      <w:rFonts w:ascii="PingFang SC" w:hAnsi="PingFang SC" w:eastAsia="PingFang SC" w:cs="PingFang SC" w:hint="eastAsia"/>
      <w:lang w:val="zh-CN" w:eastAsia="zh-CN"/>
      <w:sz w:val="22"/>
      <w:szCs w:val="22"/>
    </w:rPr>
  </w:style>
  <w:style w:type="paragraph" w:styleId="WeeklyEvidence">
    <w:name w:val="Weekly Evidence"/>
    <w:basedOn w:val="Normal"/>
    <w:pPr>
      <w:ind w:left="360"/>
      <w:spacing w:before="20" w:after="70" w:line="240" w:lineRule="auto"/>
    </w:pPr>
    <w:rPr>
      <w:rFonts w:ascii="PingFang SC" w:hAnsi="PingFang SC" w:eastAsia="PingFang SC" w:cs="PingFang SC" w:hint="eastAsia"/>
      <w:lang w:val="zh-CN" w:eastAsia="zh-CN"/>
      <w:sz w:val="18"/>
      <w:szCs w:val="18"/>
      <w:color w:val="6C675F"/>
    </w:rPr>
  </w:style>
  <w:style w:type="paragraph" w:styleId="WeeklyReceipt">
    <w:name w:val="Weekly Receipt"/>
    <w:basedOn w:val="WeeklyMeta"/>
    <w:pPr>
      <w:spacing w:after="30" w:line="220" w:lineRule="auto"/>
    </w:pPr>
    <w:rPr>
      <w:rFonts w:ascii="PingFang SC" w:hAnsi="PingFang SC" w:eastAsia="PingFang SC" w:cs="PingFang SC" w:hint="eastAsia"/>
      <w:lang w:val="zh-CN" w:eastAsia="zh-CN"/>
      <w:sz w:val="16"/>
      <w:szCs w:val="16"/>
      <w:color w:val="77716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footer" Target="footer1.xml"/><Relationship Id="rId5" Type="http://schemas.openxmlformats.org/officeDocument/2006/relationships/image" Target="media/1-architecture-agent-governance.png"/></Relationships>
</file>

<file path=docProps/core.xml><?xml version="1.0" encoding="utf-8"?>
<cp:coreProperties xmlns:cp="http://schemas.openxmlformats.org/package/2006/metadata/core-properties" xmlns:dc="http://purl.org/dc/elements/1.1/">
  <dc:title>企业 Agent 进入统一治理阶段</dc:title>
  <dc:creator>Daily Tech Weekly Insight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_id">
    <vt:lpwstr>wsi-2026-w31-v3</vt:lpwstr>
  </property>
  <property fmtid="{D5CDD505-2E9C-101B-9397-08002B2CF9AE}" pid="3" name="source_run_id">
    <vt:lpwstr>weekly-run-2026-w31-v3</vt:lpwstr>
  </property>
  <property fmtid="{D5CDD505-2E9C-101B-9397-08002B2CF9AE}" pid="4" name="version">
    <vt:lpwstr>1.0</vt:lpwstr>
  </property>
  <property fmtid="{D5CDD505-2E9C-101B-9397-08002B2CF9AE}" pid="5" name="content_sha256">
    <vt:lpwstr>556d4a5281ab474dae8742dfd0214dbfe534ea1cb394ffa507ae210035ec3e50</vt:lpwstr>
  </property>
  <property fmtid="{D5CDD505-2E9C-101B-9397-08002B2CF9AE}" pid="6" name="section_anchors">
    <vt:lpwstr>thesis_runtime_001_facts,finding-agent-volume,thesis_runtime_001_industry,recommendation_agent_governance_recommendation</vt:lpwstr>
  </property>
  <property fmtid="{D5CDD505-2E9C-101B-9397-08002B2CF9AE}" pid="7" name="section_bookmarks">
    <vt:lpwstr>{"thesis_runtime_001_facts":"thesis_runtime_001_facts","finding-agent-volume":"finding_agent_volume","thesis_runtime_001_industry":"thesis_runtime_001_industry","recommendation_agent_governance_recommendation":"recommendation_agent_governan_ac986da53d"}</vt:lpwstr>
  </property>
</Properties>
</file>