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Superwizor AI — Bezpieczeństwo danych w skrócie</w:t>
      </w:r>
    </w:p>
    <w:p>
      <w:r/>
      <w:r>
        <w:rPr>
          <w:i/>
        </w:rPr>
        <w:t>Jedna strona dla klientów enterprise. Wersja 1.0, 2026-07-18.</w:t>
      </w:r>
      <w:r/>
    </w:p>
    <w:p>
      <w:r/>
      <w:r>
        <w:rPr>
          <w:i/>
        </w:rPr>
        <w:t>Szczegóły techniczne i prawne: dokument 06 oraz pakiet compliance (retencja, RCP, DPIA) — udostępniamy na życzenie.</w:t>
      </w:r>
      <w:r/>
    </w:p>
    <w:p>
      <w:pPr>
        <w:pBdr>
          <w:bottom w:val="single" w:sz="6" w:space="1" w:color="CCCCCC"/>
        </w:pBdr>
      </w:pPr>
    </w:p>
    <w:p>
      <w:r/>
      <w:r>
        <w:rPr>
          <w:b/>
        </w:rPr>
        <w:t>Superwizor AI analizuje sesje terapeutyczne — czyli pracuje na najbardziej wrażliwych danych, jakie istnieją. Zaprojektowaliśmy system tak, żeby dane były chronione domyślnie, a nie na życzenie.</w:t>
      </w:r>
      <w:r/>
    </w:p>
    <w:p>
      <w:pPr>
        <w:pBdr>
          <w:bottom w:val="single" w:sz="6" w:space="1" w:color="CCCCCC"/>
        </w:pBdr>
      </w:pPr>
    </w:p>
    <w:p>
      <w:pPr>
        <w:pStyle w:val="Heading3"/>
      </w:pPr>
      <w:r>
        <w:t>Dane zostają w Europie</w:t>
      </w:r>
    </w:p>
    <w:p>
      <w:r>
        <w:t>Nagrania, transkrypcje i raporty są przechowywane i przetwarzane wyłącznie w Unii Europejskiej (Polska i Holandia). Rozpoznawanie mowy również odbywa się na infrastrukturze europejskiej — system jest zbudowany tak, że treść sesji nie ma technicznej możliwości opuszczenia UE.</w:t>
      </w:r>
    </w:p>
    <w:p>
      <w:pPr>
        <w:pStyle w:val="Heading3"/>
      </w:pPr>
      <w:r>
        <w:t>Nikt nie trenuje modeli na Waszych danych</w:t>
      </w:r>
    </w:p>
    <w:p>
      <w:r>
        <w:t>Dostawcy AI, z których korzystamy, nie używają danych z sesji do ulepszania swoich modeli. To nie deklaracja handlowa, lecz właściwość wbudowana w system na stałe — niemożliwa do wyłączenia i możliwa do zaudytowania.</w:t>
      </w:r>
    </w:p>
    <w:p>
      <w:pPr>
        <w:pStyle w:val="Heading3"/>
      </w:pPr>
      <w:r>
        <w:t>Nagranie znika, zanim zdążysz o nim pomyśleć</w:t>
      </w:r>
    </w:p>
    <w:p>
      <w:r>
        <w:t>Plik audio jest usuwany automatycznie natychmiast po transkrypcji — najpóźniej w ciągu 48 godzin, bezwarunkowo. Wszystkie pozostałe dane są szyfrowane zarówno podczas przesyłania, jak i przechowywania, z regularną rotacją kluczy.</w:t>
      </w:r>
    </w:p>
    <w:p>
      <w:pPr>
        <w:pStyle w:val="Heading3"/>
      </w:pPr>
      <w:r>
        <w:t>Pseudonimizacja wbudowana w produkt</w:t>
      </w:r>
    </w:p>
    <w:p>
      <w:r>
        <w:t xml:space="preserve">Raporty z sesji, ich podsumowania i pamięć kontekstowa AI są automatycznie pseudonimizowane: nazwiska, adresy, numery telefonów i dokumentów, nazwy pracodawców, szkół i miejscowości są zastępowane neutralnymi oznaczeniami. Imiona pozostają — raport ma być czytelny klinicznie. Kartoteka pacjenta działa na pseudonimie, nie na nazwisku — </w:t>
      </w:r>
      <w:r>
        <w:rPr>
          <w:b/>
        </w:rPr>
        <w:t>system w ogóle nie zbiera imion ani nazwisk klientów; jedynym identyfikatorem konta klienta jest adres e-mail</w:t>
      </w:r>
      <w:r>
        <w:t>. Jakość pseudonimizacji jest kontrolowana automatycznymi testami przy każdej zmianie systemu.</w:t>
      </w:r>
    </w:p>
    <w:p>
      <w:r>
        <w:t>Terapeuta zachowuje przy tym pełny wgląd w oryginalny zapis własnej sesji — świadomie nie cenzurujemy dokumentacji, którą specjalista musi móc zweryfikować. Chronimy dane wszędzie tam, gdzie wykraczają poza relację terapeuta–pacjent.</w:t>
      </w:r>
    </w:p>
    <w:p>
      <w:pPr>
        <w:pStyle w:val="Heading3"/>
      </w:pPr>
      <w:r>
        <w:t>Dostęp tylko dla właściwych osób</w:t>
      </w:r>
    </w:p>
    <w:p>
      <w:r>
        <w:t xml:space="preserve">Każdy dostęp do danych klinicznych wymaga uwierzytelnienia i jest ograniczony do konkretnego terapeuty i jego pacjentów. Aktywacja konta pacjenta wymaga dwóch niezależnych czynników: linku e-mail </w:t>
      </w:r>
      <w:r>
        <w:rPr>
          <w:b/>
        </w:rPr>
        <w:t>oraz</w:t>
      </w:r>
      <w:r>
        <w:t xml:space="preserve"> kodu przekazanego osobiście przez terapeutę — samo przechwycenie e-maila nie daje dostępu. Zaproszenie można w każdej chwili cofnąć. Operacje na danych są rejestrowane w dzienniku audytowym.</w:t>
      </w:r>
    </w:p>
    <w:p>
      <w:pPr>
        <w:pStyle w:val="Heading3"/>
      </w:pPr>
      <w:r>
        <w:t>Usuwanie danych naprawdę usuwa</w:t>
      </w:r>
    </w:p>
    <w:p>
      <w:r>
        <w:t>Po usunięciu danych następuje 30-dniowy okres ochronny (możliwość cofnięcia pomyłki), a potem trwałe, nieodwracalne usunięcie — obejmujące również kopie zapasowe. Proces jest w pełni automatyczny. Danych kart płatniczych nie przechowujemy w ogóle.</w:t>
      </w:r>
    </w:p>
    <w:p>
      <w:pPr>
        <w:pStyle w:val="Heading3"/>
      </w:pPr>
      <w:r>
        <w:t>Jasny podział odpowiedzialności (RODO)</w:t>
      </w:r>
    </w:p>
    <w:p>
      <w:r>
        <w:t>Terapeuta lub placówka pozostaje administratorem danych swoich pacjentów — Superwizor AI działa jako podmiot przetwarzający na podstawie umowy powierzenia (DPA). Prowadzimy pełną dokumentację compliance: rejestr czynności przetwarzania, politykę retencji i ocenę skutków dla ochrony danych (DPIA) — dostępne do wglądu przy onboardingu.</w:t>
      </w:r>
    </w:p>
    <w:p>
      <w:pPr>
        <w:pBdr>
          <w:bottom w:val="single" w:sz="6" w:space="1" w:color="CCCCCC"/>
        </w:pBdr>
      </w:pPr>
    </w:p>
    <w:p>
      <w:r/>
      <w:r>
        <w:rPr>
          <w:b/>
        </w:rPr>
        <w:t>Kontakt w sprawach bezpieczeństwa i ochrony danych:</w:t>
      </w:r>
      <w:r>
        <w:t xml:space="preserve"> kontakt@superwizor.ai</w:t>
      </w:r>
    </w:p>
    <w:p>
      <w:r>
        <w:t>Euphire sp. z o.o. · ul. Odrzańska 10a/48, Kraków · KRS 0000907254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