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Mechanizmy zabezpieczania danych i podejście do pseudonimizacji</w:t>
      </w:r>
    </w:p>
    <w:p>
      <w:r/>
      <w:r>
        <w:rPr>
          <w:b/>
        </w:rPr>
        <w:t>Dokument dla działu prawnego i sprzedaży</w:t>
      </w:r>
      <w:r/>
    </w:p>
    <w:p>
      <w:r/>
      <w:r>
        <w:rPr>
          <w:b/>
        </w:rPr>
        <w:t>Wersja:</w:t>
      </w:r>
      <w:r>
        <w:t xml:space="preserve"> 1.1 (1.1: wdrożony inwariant „jedyny identyfikator</w:t>
      </w:r>
    </w:p>
    <w:p>
      <w:r>
        <w:t>klienta = e-mail" — §5.1, §8, §9 pkt 6)</w:t>
      </w:r>
    </w:p>
    <w:p>
      <w:r/>
      <w:r>
        <w:rPr>
          <w:b/>
        </w:rPr>
        <w:t>Data:</w:t>
      </w:r>
      <w:r>
        <w:t xml:space="preserve"> 2026-07-18</w:t>
      </w:r>
    </w:p>
    <w:p>
      <w:r/>
      <w:r>
        <w:rPr>
          <w:b/>
        </w:rPr>
        <w:t>Odpowiedzialny:</w:t>
      </w:r>
      <w:r>
        <w:t xml:space="preserve"> Euphire sp. z o.o., ul. Odrzańska 10a/48, Kraków</w:t>
      </w:r>
    </w:p>
    <w:p>
      <w:r/>
      <w:r>
        <w:rPr>
          <w:b/>
        </w:rPr>
        <w:t>Kontakt:</w:t>
      </w:r>
      <w:r>
        <w:t xml:space="preserve"> kontakt@superwizor.ai</w:t>
      </w:r>
    </w:p>
    <w:p>
      <w:r/>
      <w:r>
        <w:rPr>
          <w:b/>
        </w:rPr>
        <w:t>Status:</w:t>
      </w:r>
      <w:r>
        <w:t xml:space="preserve"> DRAFT — do weryfikacji przez radcę prawnego</w:t>
      </w:r>
    </w:p>
    <w:p>
      <w:r/>
      <w:r>
        <w:rPr>
          <w:b/>
        </w:rPr>
        <w:t>Źródło:</w:t>
      </w:r>
      <w:r>
        <w:t xml:space="preserve"> stan faktyczny kodu i infrastruktury (Terraform) na 2026-07-18;</w:t>
      </w:r>
    </w:p>
    <w:p>
      <w:r>
        <w:t>dokument opisuje mechanizmy WDROŻONE, chyba że wprost oznaczono inaczej.</w:t>
      </w:r>
    </w:p>
    <w:p>
      <w:pPr>
        <w:pBdr>
          <w:bottom w:val="single" w:sz="6" w:space="1" w:color="CCCCCC"/>
        </w:pBdr>
      </w:pPr>
    </w:p>
    <w:p>
      <w:pPr>
        <w:pStyle w:val="Heading2"/>
      </w:pPr>
      <w:r>
        <w:t>1. Cel i sposób czytania</w:t>
      </w:r>
    </w:p>
    <w:p>
      <w:r>
        <w:t>Dokument odpowiada na dwa pytania:</w:t>
      </w:r>
    </w:p>
    <w:p>
      <w:pPr>
        <w:pStyle w:val="ListNumber"/>
      </w:pPr>
      <w:r/>
      <w:r>
        <w:rPr>
          <w:b/>
        </w:rPr>
        <w:t>Dla prawników:</w:t>
      </w:r>
      <w:r>
        <w:t xml:space="preserve"> jakie środki techniczne i organizacyjne faktycznie</w:t>
      </w:r>
    </w:p>
    <w:p>
      <w:r>
        <w:t>działają w produkcie (art. 32 RODO), gdzie fizycznie są dane, kim są</w:t>
      </w:r>
    </w:p>
    <w:p>
      <w:r>
        <w:t>podprocesorzy i co wymaga aktualizacji w dokumentach compliance.</w:t>
      </w:r>
    </w:p>
    <w:p>
      <w:pPr>
        <w:pStyle w:val="ListNumber"/>
      </w:pPr>
      <w:r/>
      <w:r>
        <w:rPr>
          <w:b/>
        </w:rPr>
        <w:t>Dla sprzedaży:</w:t>
      </w:r>
      <w:r>
        <w:t xml:space="preserve"> co wolno obiecywać klientom (sekcja §8 — dozwolone</w:t>
      </w:r>
    </w:p>
    <w:p>
      <w:r>
        <w:t>i zakazane sformułowania), z uzasadnieniem, żeby odpowiedź na trudne</w:t>
      </w:r>
    </w:p>
    <w:p>
      <w:r>
        <w:t>pytanie terapeuty lub IOD-a po stronie kliniki była spójna z prawdą</w:t>
      </w:r>
    </w:p>
    <w:p>
      <w:r>
        <w:t>techniczną.</w:t>
      </w:r>
    </w:p>
    <w:p>
      <w:r>
        <w:t>Dokument uzupełnia — nie zastępuje — istniejącą serię compliance:</w:t>
      </w:r>
    </w:p>
    <w:p>
      <w:r>
        <w:t>`01_POLITYKA_RETENCJI_DANYCH.md`, `02_REJESTR_CZYNNOSCI_PRZETWARZANIA.md`</w:t>
      </w:r>
    </w:p>
    <w:p>
      <w:r>
        <w:t>(RCP), `03_DPIA_OCENA_SKUTKOW.md`. Sekcja §9 wylicza delty, które trzeba</w:t>
      </w:r>
    </w:p>
    <w:p>
      <w:r>
        <w:t>do nich nanieść (nowy podprocesor STT, pseudonimizacja raportów).</w:t>
      </w:r>
    </w:p>
    <w:p>
      <w:pPr>
        <w:pBdr>
          <w:bottom w:val="single" w:sz="6" w:space="1" w:color="CCCCCC"/>
        </w:pBdr>
      </w:pPr>
    </w:p>
    <w:p>
      <w:pPr>
        <w:pStyle w:val="Heading2"/>
      </w:pPr>
      <w:r>
        <w:t>2. Model ról (kto jest administratorem czego)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  <w:shd w:fill="F2F2F2"/>
          </w:tcPr>
          <w:p>
            <w:r/>
          </w:p>
          <w:p>
            <w:r>
              <w:rPr>
                <w:b/>
                <w:sz w:val="20"/>
              </w:rPr>
              <w:t>Dane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  <w:shd w:fill="F2F2F2"/>
          </w:tcPr>
          <w:p>
            <w:r/>
          </w:p>
          <w:p>
            <w:r>
              <w:rPr>
                <w:b/>
                <w:sz w:val="20"/>
              </w:rPr>
              <w:t>Administrator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  <w:shd w:fill="F2F2F2"/>
          </w:tcPr>
          <w:p>
            <w:r/>
          </w:p>
          <w:p>
            <w:r>
              <w:rPr>
                <w:b/>
                <w:sz w:val="20"/>
              </w:rPr>
              <w:t>Rola Euphire</w:t>
            </w:r>
          </w:p>
        </w:tc>
      </w:tr>
      <w:tr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/>
          </w:p>
          <w:p>
            <w:r>
              <w:rPr>
                <w:sz w:val="19"/>
              </w:rPr>
              <w:t>Dane terapeutów (konto, profil, płatności)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/>
          </w:p>
          <w:p>
            <w:r>
              <w:rPr>
                <w:sz w:val="19"/>
              </w:rPr>
            </w:r>
            <w:r>
              <w:rPr>
                <w:b/>
                <w:sz w:val="19"/>
              </w:rPr>
              <w:t>Euphire sp. z o.o.</w:t>
            </w:r>
            <w:r>
              <w:rPr>
                <w:sz w:val="19"/>
              </w:rPr>
            </w:r>
          </w:p>
        </w:tc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/>
          </w:p>
          <w:p>
            <w:r>
              <w:rPr>
                <w:sz w:val="19"/>
              </w:rPr>
              <w:t>Administrator</w:t>
            </w:r>
          </w:p>
        </w:tc>
      </w:tr>
      <w:tr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/>
          </w:p>
          <w:p>
            <w:r>
              <w:rPr>
                <w:sz w:val="19"/>
              </w:rPr>
              <w:t>Dane klientów/pacjentów (nagrania, transkrypcje, raporty, kartoteki, notatki)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/>
          </w:p>
          <w:p>
            <w:r>
              <w:rPr>
                <w:sz w:val="19"/>
              </w:rPr>
            </w:r>
            <w:r>
              <w:rPr>
                <w:b/>
                <w:sz w:val="19"/>
              </w:rPr>
              <w:t>Terapeuta</w:t>
            </w:r>
            <w:r>
              <w:rPr>
                <w:sz w:val="19"/>
              </w:rPr>
              <w:t xml:space="preserve"> (Użytkownik Profesjonalny) — każdy indywidualnie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/>
          </w:p>
          <w:p>
            <w:r>
              <w:rPr>
                <w:sz w:val="19"/>
              </w:rPr>
              <w:t>Podmiot przetwarzający (procesor) na podstawie DPA</w:t>
            </w:r>
          </w:p>
        </w:tc>
      </w:tr>
    </w:tbl>
    <w:p/>
    <w:p>
      <w:r>
        <w:t>To rozróżnienie jest fundamentem architektury i wraca w §7 (dlaczego nie</w:t>
      </w:r>
    </w:p>
    <w:p>
      <w:r>
        <w:t xml:space="preserve">redagujemy transkryptu dla terapeuty): </w:t>
      </w:r>
      <w:r>
        <w:rPr>
          <w:b/>
        </w:rPr>
      </w:r>
      <w:r>
        <w:t>terapeuta jest administratorem</w:t>
      </w:r>
    </w:p>
    <w:p>
      <w:r>
        <w:t>danych swojego pacjenta i prowadzi dokumentację procesu</w:t>
      </w:r>
      <w:r>
        <w:rPr>
          <w:b/>
        </w:rPr>
      </w:r>
      <w:r>
        <w:t xml:space="preserve"> — my</w:t>
      </w:r>
    </w:p>
    <w:p>
      <w:r>
        <w:t>dostarczamy narzędzie i zabezpieczamy dane, ale nie decydujemy za</w:t>
      </w:r>
    </w:p>
    <w:p>
      <w:r>
        <w:t>administratora, co z jego dokumentacji zniknie.</w:t>
      </w:r>
    </w:p>
    <w:p>
      <w:pPr>
        <w:pBdr>
          <w:bottom w:val="single" w:sz="6" w:space="1" w:color="CCCCCC"/>
        </w:pBdr>
      </w:pPr>
    </w:p>
    <w:p>
      <w:pPr>
        <w:pStyle w:val="Heading2"/>
      </w:pPr>
      <w:r>
        <w:t>3. Przepływ danych sesji i zabezpieczenia na każdym etapie</w:t>
      </w:r>
    </w:p>
    <w:p>
      <w:pPr>
        <w:ind w:left="720"/>
        <w:pBdr>
          <w:left w:val="single" w:sz="24" w:space="4" w:color="555555"/>
        </w:pBdr>
        <w:shd w:fill="F5F5F5"/>
      </w:pPr>
      <w:r>
        <w:rPr>
          <w:rFonts w:ascii="Courier New" w:hAnsi="Courier New"/>
          <w:sz w:val="19"/>
        </w:rPr>
        <w:t>Nagranie (aplikacja terapeuty)</w:t>
        <w:br/>
        <w:t xml:space="preserve">  │  TLS; upload przez podpisane adresy URL (V4, krótki TTL)</w:t>
        <w:br/>
        <w:t xml:space="preserve">  ▼</w:t>
        <w:br/>
        <w:t>Google Cloud Storage, europe-central2 (Warszawa)</w:t>
        <w:br/>
        <w:t xml:space="preserve">  │  szyfrowanie CMEK; automatyczne usunięcie audio po maks. 48 h (OLM)</w:t>
        <w:br/>
        <w:t xml:space="preserve">  ▼</w:t>
        <w:br/>
        <w:t>Transkrypcja (STT) — jeden z dwóch dostawców, oba w UE:</w:t>
        <w:br/>
        <w:t xml:space="preserve">  ├─ Deepgram Nova-3 (domyślny): endpoint api.eu.deepgram.com,</w:t>
        <w:br/>
        <w:t xml:space="preserve">  │    przetwarzanie synchroniczne BEZ trwałej kopii po stronie dostawcy,</w:t>
        <w:br/>
        <w:t xml:space="preserve">  │    mip_opt_out=true (zakaz użycia danych do ulepszania modeli)</w:t>
        <w:br/>
        <w:t xml:space="preserve">  └─ Google Chirp 3 (automatyczny fallback): eu-speech.googleapis.com,</w:t>
        <w:br/>
        <w:t xml:space="preserve">       europe-west4; surowe wyniki STT usuwane po 7 dniach (OLM)</w:t>
        <w:br/>
        <w:t xml:space="preserve">  ▼</w:t>
        <w:br/>
        <w:t>Analiza AI — Vertex AI Gemini, europe-west4 (Holandia)</w:t>
        <w:br/>
        <w:t xml:space="preserve">  │  call-1: metadane + wykrycie danych identyfikujących (sekcja PII)</w:t>
        <w:br/>
        <w:t xml:space="preserve">  │  PSEUDONIMIZACJA (deterministyczny silnik — §5) — dopiero potem:</w:t>
        <w:br/>
        <w:t xml:space="preserve">  │  call-2: raport kliniczny na tekście już pseudonimizowanym</w:t>
        <w:br/>
        <w:t xml:space="preserve">  ▼</w:t>
        <w:br/>
        <w:t>Zapis — PostgreSQL Cloud SQL, europe-central2</w:t>
        <w:br/>
        <w:t xml:space="preserve">  │  envelope encryption (AEAD + Cloud KMS, rotacja klucza co 90 dni);</w:t>
        <w:br/>
        <w:t xml:space="preserve">  │  raport, Title/Summary i pamięć RAG zapisywane w wersji</w:t>
        <w:br/>
        <w:t xml:space="preserve">  │  pseudonimizowanej; transkrypt kanoniczny w oryginale (§7),</w:t>
        <w:br/>
        <w:t xml:space="preserve">  │  zaszyfrowany jak wszystkie dane szczególnej kategorii</w:t>
        <w:br/>
        <w:t xml:space="preserve">  ▼</w:t>
        <w:br/>
        <w:t>Dostęp — wyłącznie uwierzytelniony terapeuta-właściciel kartoteki</w:t>
        <w:br/>
        <w:t xml:space="preserve">   (oraz pacjent w panelu klienta — widzi wersję pseudonimizowaną)</w:t>
      </w:r>
    </w:p>
    <w:p>
      <w:r>
        <w:t>Właściwości przekrojowe:</w:t>
      </w:r>
    </w:p>
    <w:p>
      <w:pPr>
        <w:pStyle w:val="ListBullet"/>
      </w:pPr>
      <w:r/>
      <w:r>
        <w:rPr>
          <w:b/>
        </w:rPr>
        <w:t>Rezydencja danych klinicznych: EOG.</w:t>
      </w:r>
      <w:r>
        <w:t xml:space="preserve"> Przechowywanie w</w:t>
      </w:r>
    </w:p>
    <w:p>
      <w:r>
        <w:t>europe-central2 (Warszawa), przetwarzanie AI w europe-west4</w:t>
      </w:r>
    </w:p>
    <w:p>
      <w:r>
        <w:t>(Holandia), STT na endpointach EU. Wyjątki dotyczą wyłącznie danych</w:t>
      </w:r>
    </w:p>
    <w:p>
      <w:r>
        <w:t>terapeutów, nie pacjentów: Stripe (płatności, EU-US DPF + SCC),</w:t>
      </w:r>
    </w:p>
    <w:p>
      <w:r>
        <w:t>Resend (e-mail, SCC), FCM (tokeny push — treść powiadomień nie</w:t>
      </w:r>
    </w:p>
    <w:p>
      <w:r>
        <w:t>zawiera żadnych danych pacjentów).</w:t>
      </w:r>
    </w:p>
    <w:p>
      <w:pPr>
        <w:pStyle w:val="ListBullet"/>
      </w:pPr>
      <w:r/>
      <w:r>
        <w:rPr>
          <w:b/>
        </w:rPr>
        <w:t>Brak treningu modeli na danych klientów.</w:t>
      </w:r>
      <w:r>
        <w:t xml:space="preserve"> Vertex AI nie używa</w:t>
      </w:r>
    </w:p>
    <w:p>
      <w:r>
        <w:t>danych klientów do trenowania modeli (warunki Google Cloud);</w:t>
      </w:r>
    </w:p>
    <w:p>
      <w:r>
        <w:t xml:space="preserve">Deepgram — `mip_opt_out=true` wymuszone </w:t>
      </w:r>
      <w:r>
        <w:rPr>
          <w:b/>
        </w:rPr>
        <w:t>w kodzie jako inwariant</w:t>
      </w:r>
      <w:r/>
    </w:p>
    <w:p>
      <w:r>
        <w:t>(parametr nie jest konfigurowalny żadną flagą; istnieje test</w:t>
      </w:r>
    </w:p>
    <w:p>
      <w:r>
        <w:t>automatyczny, który nie pozwala go wyłączyć), audytowalne w logach</w:t>
      </w:r>
    </w:p>
    <w:p>
      <w:r>
        <w:t>konsoli Deepgram.</w:t>
      </w:r>
    </w:p>
    <w:p>
      <w:pPr>
        <w:pStyle w:val="ListBullet"/>
      </w:pPr>
      <w:r/>
      <w:r>
        <w:rPr>
          <w:b/>
        </w:rPr>
        <w:t>Endpoint EU jako inwariant.</w:t>
      </w:r>
      <w:r>
        <w:t xml:space="preserve"> Adres API Deepgram jest przypięty w</w:t>
      </w:r>
    </w:p>
    <w:p>
      <w:r>
        <w:t xml:space="preserve">Terraformie do `api.eu.deepgram.com`, a serwis </w:t>
      </w:r>
      <w:r>
        <w:rPr>
          <w:b/>
        </w:rPr>
        <w:t>odmawia startu</w:t>
      </w:r>
      <w:r>
        <w:t>,</w:t>
      </w:r>
    </w:p>
    <w:p>
      <w:r>
        <w:t>jeśli skonfigurowany endpoint nie jest endpointem EU. Nie istnieje</w:t>
      </w:r>
    </w:p>
    <w:p>
      <w:r>
        <w:t>ścieżka kodu wysyłająca audio poza UE.</w:t>
      </w:r>
    </w:p>
    <w:p>
      <w:pPr>
        <w:pStyle w:val="ListBullet"/>
      </w:pPr>
      <w:r/>
      <w:r>
        <w:rPr>
          <w:b/>
        </w:rPr>
        <w:t>Minimalizacja czasowa.</w:t>
      </w:r>
      <w:r>
        <w:t xml:space="preserve"> Audio żyje maks. 48 h, surowe wyniki STT</w:t>
      </w:r>
    </w:p>
    <w:p>
      <w:r>
        <w:t>7 dni, logi systemowe 30 dni, analityka 90 dni; dane merytoryczne —</w:t>
      </w:r>
    </w:p>
    <w:p>
      <w:r>
        <w:t>przez czas umowy + 30 dni soft delete, potem nieodwracalny hard</w:t>
      </w:r>
    </w:p>
    <w:p>
      <w:r>
        <w:t>delete (GDPR Purger). Szczegóły: Polityka Retencji (dok. 01).</w:t>
      </w:r>
    </w:p>
    <w:p>
      <w:pPr>
        <w:pStyle w:val="ListBullet"/>
      </w:pPr>
      <w:r/>
      <w:r>
        <w:rPr>
          <w:b/>
        </w:rPr>
      </w:r>
      <w:r>
        <w:t>Firestore (synchronizacja statusów w czasie rzeczywistym) nie</w:t>
      </w:r>
    </w:p>
    <w:p>
      <w:r>
        <w:t>zawiera treści</w:t>
      </w:r>
      <w:r>
        <w:rPr>
          <w:b/>
        </w:rPr>
      </w:r>
      <w:r>
        <w:t xml:space="preserve"> — wyłącznie identyfikatory UUID i status</w:t>
      </w:r>
    </w:p>
    <w:p>
      <w:r>
        <w:t>przetwarzania (np. „transcribing", „done").</w:t>
      </w:r>
    </w:p>
    <w:p>
      <w:pPr>
        <w:pBdr>
          <w:bottom w:val="single" w:sz="6" w:space="1" w:color="CCCCCC"/>
        </w:pBdr>
      </w:pPr>
    </w:p>
    <w:p>
      <w:pPr>
        <w:pStyle w:val="Heading2"/>
      </w:pPr>
      <w:r>
        <w:t>4. Kontrola dostępu i tożsamości</w:t>
      </w:r>
    </w:p>
    <w:p>
      <w:pPr>
        <w:pStyle w:val="ListBullet"/>
      </w:pPr>
      <w:r/>
      <w:r>
        <w:rPr>
          <w:b/>
        </w:rPr>
        <w:t>Uwierzytelnianie:</w:t>
      </w:r>
      <w:r>
        <w:t xml:space="preserve"> Firebase Authentication (Google/Apple SSO,</w:t>
      </w:r>
    </w:p>
    <w:p>
      <w:r>
        <w:t>e-mail); izolacja per organizacja i per kartoteka — każdy dostęp do</w:t>
      </w:r>
    </w:p>
    <w:p>
      <w:r>
        <w:t>danych klinicznych przechodzi przez sprawdzenie uprawnień do</w:t>
      </w:r>
    </w:p>
    <w:p>
      <w:r>
        <w:t>konkretnej kartoteki.</w:t>
      </w:r>
    </w:p>
    <w:p>
      <w:pPr>
        <w:pStyle w:val="ListBullet"/>
      </w:pPr>
      <w:r/>
      <w:r>
        <w:rPr>
          <w:b/>
        </w:rPr>
        <w:t>Zero Trust wewnątrz systemu:</w:t>
      </w:r>
      <w:r>
        <w:t xml:space="preserve"> każdy mikroserwis ma dedykowane</w:t>
      </w:r>
    </w:p>
    <w:p>
      <w:r>
        <w:t>konto serwisowe z minimalnymi uprawnieniami; CI/CD bez długotrwałych</w:t>
      </w:r>
    </w:p>
    <w:p>
      <w:r>
        <w:t>kluczy (Workload Identity Federation); sekrety wyłącznie w Secret</w:t>
      </w:r>
    </w:p>
    <w:p>
      <w:r>
        <w:t>Manager; baza za VPC Connectorem, połączenia tylko szyfrowane.</w:t>
      </w:r>
    </w:p>
    <w:p>
      <w:pPr>
        <w:pStyle w:val="ListBullet"/>
      </w:pPr>
      <w:r/>
      <w:r>
        <w:rPr>
          <w:b/>
        </w:rPr>
        <w:t>Zaproszenie pacjenta = dwa niezależne czynniki</w:t>
      </w:r>
      <w:r>
        <w:t xml:space="preserve"> (wdrożone</w:t>
      </w:r>
    </w:p>
    <w:p>
      <w:r>
        <w:t>2026-07-17): link e-mailowy dowodzi tylko władania skrzynką, dlatego</w:t>
      </w:r>
    </w:p>
    <w:p>
      <w:r>
        <w:t xml:space="preserve">aktywację konta pacjenta warunkuje dodatkowo </w:t>
      </w:r>
      <w:r>
        <w:rPr>
          <w:b/>
        </w:rPr>
      </w:r>
      <w:r>
        <w:t>6-cyfrowy kod</w:t>
      </w:r>
    </w:p>
    <w:p>
      <w:r>
        <w:t>parowania</w:t>
      </w:r>
      <w:r>
        <w:rPr>
          <w:b/>
        </w:rPr>
      </w:r>
      <w:r>
        <w:t>, który terapeuta przekazuje pacjentowi poza e-mailem</w:t>
      </w:r>
    </w:p>
    <w:p>
      <w:r>
        <w:t>(na sesji lub telefonicznie). Kod nigdy nie jest wysyłany e-mailem;</w:t>
      </w:r>
    </w:p>
    <w:p>
      <w:r>
        <w:t>w bazie przechowywany jest wyłącznie jego hash; porównanie odbywa</w:t>
      </w:r>
    </w:p>
    <w:p>
      <w:r>
        <w:t>się w czasie stałym; 5 błędnych prób blokuje zaproszenie; terapeuta</w:t>
      </w:r>
    </w:p>
    <w:p>
      <w:r>
        <w:t xml:space="preserve">może zaproszenie jawnie </w:t>
      </w:r>
      <w:r>
        <w:rPr>
          <w:b/>
        </w:rPr>
        <w:t>cofnąć</w:t>
      </w:r>
      <w:r>
        <w:t>; ważność linku: 72 h. Każde</w:t>
      </w:r>
    </w:p>
    <w:p>
      <w:r>
        <w:t>zdarzenie (wysłanie, akceptacja, blokada, cofnięcie) trafia do</w:t>
      </w:r>
    </w:p>
    <w:p>
      <w:r>
        <w:t>dziennika audytowego.</w:t>
      </w:r>
    </w:p>
    <w:p>
      <w:pPr>
        <w:pStyle w:val="ListBullet"/>
      </w:pPr>
      <w:r/>
      <w:r>
        <w:rPr>
          <w:b/>
        </w:rPr>
        <w:t>Dziennik audytowy</w:t>
      </w:r>
      <w:r>
        <w:t xml:space="preserve"> (`audit_events`): operacje na danych</w:t>
      </w:r>
    </w:p>
    <w:p>
      <w:r>
        <w:t>klinicznych są rejestrowane (kto, co, kiedy, na jakim zasobie);</w:t>
      </w:r>
    </w:p>
    <w:p>
      <w:r>
        <w:t>retencja bezterminowa (rozliczalność, art. 5 ust. 2 RODO).</w:t>
      </w:r>
    </w:p>
    <w:p>
      <w:pPr>
        <w:pStyle w:val="ListBullet"/>
      </w:pPr>
      <w:r/>
      <w:r>
        <w:rPr>
          <w:b/>
        </w:rPr>
        <w:t>Płatności:</w:t>
      </w:r>
      <w:r>
        <w:t xml:space="preserve"> Euphire nie przechowuje danych kart — wyłącznie</w:t>
      </w:r>
    </w:p>
    <w:p>
      <w:r>
        <w:t>Stripe (PCI DSS Level 1).</w:t>
      </w:r>
    </w:p>
    <w:p>
      <w:pPr>
        <w:pBdr>
          <w:bottom w:val="single" w:sz="6" w:space="1" w:color="CCCCCC"/>
        </w:pBdr>
      </w:pPr>
    </w:p>
    <w:p>
      <w:pPr>
        <w:pStyle w:val="Heading2"/>
      </w:pPr>
      <w:r>
        <w:t>5. Pseudonimizacja — jak działa naprawdę</w:t>
      </w:r>
    </w:p>
    <w:p>
      <w:r>
        <w:t xml:space="preserve">Pseudonimizacja działa na </w:t>
      </w:r>
      <w:r>
        <w:rPr>
          <w:b/>
        </w:rPr>
        <w:t>trzech warstwach</w:t>
      </w:r>
      <w:r>
        <w:t>, od momentu zebrania</w:t>
      </w:r>
    </w:p>
    <w:p>
      <w:r>
        <w:t>danych po treści generowane przez AI. Wdrożona i aktywna na środowisku</w:t>
      </w:r>
    </w:p>
    <w:p>
      <w:r>
        <w:t>staging od 2026-07-17 (tryb pełny), po przejściu bramek jakości (§6).</w:t>
      </w:r>
    </w:p>
    <w:p>
      <w:pPr>
        <w:pStyle w:val="Heading3"/>
      </w:pPr>
      <w:r>
        <w:t>5.1 Warstwa 1: minimalizacja u źródła</w:t>
      </w:r>
    </w:p>
    <w:p>
      <w:r>
        <w:t>Od 2026-07-18 (wdrożenie inwariantu docs/43 §4) minimalizacja jest</w:t>
      </w:r>
    </w:p>
    <w:p>
      <w:r>
        <w:t xml:space="preserve">egzekwowana </w:t>
      </w:r>
      <w:r>
        <w:rPr>
          <w:b/>
        </w:rPr>
        <w:t>serwerowo, na całej długości systemu</w:t>
      </w:r>
      <w:r>
        <w:t xml:space="preserve"> — nie jest już</w:t>
      </w:r>
    </w:p>
    <w:p>
      <w:r>
        <w:t>tylko konwencją formularza:</w:t>
      </w:r>
    </w:p>
    <w:p>
      <w:pPr>
        <w:pStyle w:val="ListBullet"/>
      </w:pPr>
      <w:r/>
      <w:r>
        <w:rPr>
          <w:b/>
        </w:rPr>
        <w:t>System nie zbiera imion ani nazwisk klienta w żadnym punkcie</w:t>
      </w:r>
      <w:r>
        <w:t>:</w:t>
      </w:r>
    </w:p>
    <w:p>
      <w:r>
        <w:t xml:space="preserve">kartoteka ma wyłącznie pole </w:t>
      </w:r>
      <w:r>
        <w:rPr>
          <w:b/>
        </w:rPr>
        <w:t>„Pseudonim"</w:t>
      </w:r>
      <w:r>
        <w:t>, rejestracja klienta nie</w:t>
      </w:r>
    </w:p>
    <w:p>
      <w:r>
        <w:t>pyta o dane osobowe, a serwer ignoruje pola imion nadesłane przez</w:t>
      </w:r>
    </w:p>
    <w:p>
      <w:r>
        <w:t>starsze wersje aplikacji (zgodność wsteczna bez utrwalania danych).</w:t>
      </w:r>
    </w:p>
    <w:p>
      <w:pPr>
        <w:pStyle w:val="ListBullet"/>
      </w:pPr>
      <w:r/>
      <w:r>
        <w:rPr>
          <w:b/>
        </w:rPr>
        <w:t>Jedynym bezpośrednim identyfikatorem klienta jest adres e-mail</w:t>
      </w:r>
      <w:r>
        <w:t>,</w:t>
      </w:r>
    </w:p>
    <w:p>
      <w:r>
        <w:t>przechowywany wyłącznie w domenie tożsamości: w zaproszeniu (z</w:t>
      </w:r>
    </w:p>
    <w:p>
      <w:r>
        <w:t>ograniczonym czasem życia) i na koncie po aktywacji. Kartoteka</w:t>
      </w:r>
    </w:p>
    <w:p>
      <w:r>
        <w:t>kliniczna nie przechowuje adresu; zapis „dokąd wysłano" materiały</w:t>
      </w:r>
    </w:p>
    <w:p>
      <w:r>
        <w:t>jest utrwalany wyłącznie w postaci zamaskowanej (p</w:t>
      </w:r>
      <w:r>
        <w:rPr>
          <w:b/>
        </w:rPr>
      </w:r>
      <w:r>
        <w:t>*@domena);</w:t>
      </w:r>
    </w:p>
    <w:p>
      <w:r>
        <w:t>format adresu jest walidowany serwerowo.</w:t>
      </w:r>
    </w:p>
    <w:p>
      <w:pPr>
        <w:pStyle w:val="ListBullet"/>
      </w:pPr>
      <w:r>
        <w:t xml:space="preserve">Pseudonim (working alias) </w:t>
      </w:r>
      <w:r>
        <w:rPr>
          <w:b/>
        </w:rPr>
        <w:t>nie jest przekazywany do modeli AI</w:t>
      </w:r>
      <w:r/>
    </w:p>
    <w:p>
      <w:r>
        <w:t>ani zapisywany w dzienniku audytowym — utrzymywane jako inwarianty</w:t>
      </w:r>
    </w:p>
    <w:p>
      <w:r>
        <w:t>(zweryfikowane w kodzie 2026-07-17/18).</w:t>
      </w:r>
    </w:p>
    <w:p>
      <w:pPr>
        <w:pStyle w:val="ListBullet"/>
      </w:pPr>
      <w:r>
        <w:t>Etykiety mówców w transkrypcji są neutralne lub rolowe</w:t>
      </w:r>
    </w:p>
    <w:p>
      <w:r>
        <w:t>(„Terapeuta"/„Klient") — nigdy imienne.</w:t>
      </w:r>
    </w:p>
    <w:p>
      <w:pPr>
        <w:pStyle w:val="Heading3"/>
      </w:pPr>
      <w:r>
        <w:t>5.2 Warstwa 2: pseudonimizacja treści generowanych przez AI</w:t>
      </w:r>
    </w:p>
    <w:p>
      <w:r>
        <w:t xml:space="preserve">Wszystko, co powstaje </w:t>
      </w:r>
      <w:r>
        <w:rPr>
          <w:b/>
        </w:rPr>
        <w:t>na wyjściu</w:t>
      </w:r>
      <w:r>
        <w:t xml:space="preserve"> analizy AI — raport z sesji, jego</w:t>
      </w:r>
    </w:p>
    <w:p>
      <w:r>
        <w:t>tytuł i skrót (widoczne na listach w aplikacji), pamięć kontekstowa RAG</w:t>
      </w:r>
    </w:p>
    <w:p>
      <w:r>
        <w:t>(długoterminowa pamięć procesu terapeutycznego) — przechodzi przez</w:t>
      </w:r>
    </w:p>
    <w:p>
      <w:r>
        <w:t xml:space="preserve">deterministyczny silnik redakcji </w:t>
      </w:r>
      <w:r>
        <w:rPr>
          <w:b/>
        </w:rPr>
        <w:t>zanim zostanie zapisane</w:t>
      </w:r>
      <w:r>
        <w:t>: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  <w:shd w:fill="F2F2F2"/>
          </w:tcPr>
          <w:p>
            <w:r/>
          </w:p>
          <w:p>
            <w:r>
              <w:rPr>
                <w:b/>
                <w:sz w:val="20"/>
              </w:rPr>
              <w:t>Kategoria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  <w:shd w:fill="F2F2F2"/>
          </w:tcPr>
          <w:p>
            <w:r/>
          </w:p>
          <w:p>
            <w:r>
              <w:rPr>
                <w:b/>
                <w:sz w:val="20"/>
              </w:rPr>
              <w:t>Decyzja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  <w:shd w:fill="F2F2F2"/>
          </w:tcPr>
          <w:p>
            <w:r/>
          </w:p>
          <w:p>
            <w:r>
              <w:rPr>
                <w:b/>
                <w:sz w:val="20"/>
              </w:rPr>
              <w:t>Efekt w raporcie</w:t>
            </w:r>
          </w:p>
        </w:tc>
      </w:tr>
      <w:tr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/>
          </w:p>
          <w:p>
            <w:r>
              <w:rPr>
                <w:sz w:val="19"/>
              </w:rPr>
            </w:r>
            <w:r>
              <w:rPr>
                <w:b/>
                <w:sz w:val="19"/>
              </w:rPr>
              <w:t>Imiona</w:t>
            </w:r>
            <w:r>
              <w:rPr>
                <w:sz w:val="19"/>
              </w:rPr>
            </w:r>
          </w:p>
        </w:tc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/>
          </w:p>
          <w:p>
            <w:r>
              <w:rPr>
                <w:sz w:val="19"/>
              </w:rPr>
            </w:r>
            <w:r>
              <w:rPr>
                <w:b/>
                <w:sz w:val="19"/>
              </w:rPr>
              <w:t>ZOSTAJĄ</w:t>
            </w:r>
            <w:r>
              <w:rPr>
                <w:sz w:val="19"/>
              </w:rPr>
              <w:t xml:space="preserve"> (decyzja produktowa, uzasadnienie niżej)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/>
          </w:p>
          <w:p>
            <w:r>
              <w:rPr>
                <w:sz w:val="19"/>
              </w:rPr>
              <w:t>„Karol", „Kasia"</w:t>
            </w:r>
          </w:p>
        </w:tc>
      </w:tr>
      <w:tr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/>
          </w:p>
          <w:p>
            <w:r>
              <w:rPr>
                <w:sz w:val="19"/>
              </w:rPr>
              <w:t>Nazwiska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/>
          </w:p>
          <w:p>
            <w:r>
              <w:rPr>
                <w:sz w:val="19"/>
              </w:rPr>
              <w:t>redakcja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/>
          </w:p>
          <w:p>
            <w:r>
              <w:rPr>
                <w:sz w:val="19"/>
              </w:rPr>
              <w:t>„Anna Kowalska" → „Anna"; nazwisko solo → `[NAZWISKO-1]`</w:t>
            </w:r>
          </w:p>
        </w:tc>
      </w:tr>
      <w:tr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/>
          </w:p>
          <w:p>
            <w:r>
              <w:rPr>
                <w:sz w:val="19"/>
              </w:rPr>
              <w:t>PESEL, nr dokumentów, telefony, e-maile, kody pocztowe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/>
          </w:p>
          <w:p>
            <w:r>
              <w:rPr>
                <w:sz w:val="19"/>
              </w:rPr>
              <w:t xml:space="preserve">redakcja </w:t>
            </w:r>
            <w:r>
              <w:rPr>
                <w:b/>
                <w:sz w:val="19"/>
              </w:rPr>
              <w:t>warstwą regex</w:t>
            </w:r>
            <w:r>
              <w:rPr>
                <w:sz w:val="19"/>
              </w:rPr>
              <w:t xml:space="preserve"> — deterministyczną, działającą zawsze, niezależnie od AI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/>
          </w:p>
          <w:p>
            <w:r>
              <w:rPr>
                <w:sz w:val="19"/>
              </w:rPr>
              <w:t>`[IDENTYFIKATOR]`</w:t>
            </w:r>
          </w:p>
        </w:tc>
      </w:tr>
      <w:tr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/>
          </w:p>
          <w:p>
            <w:r>
              <w:rPr>
                <w:sz w:val="19"/>
              </w:rPr>
              <w:t>Adresy (ulice, numery)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/>
          </w:p>
          <w:p>
            <w:r>
              <w:rPr>
                <w:sz w:val="19"/>
              </w:rPr>
              <w:t>redakcja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/>
          </w:p>
          <w:p>
            <w:r>
              <w:rPr>
                <w:sz w:val="19"/>
              </w:rPr>
              <w:t>`[ADRES]`</w:t>
            </w:r>
          </w:p>
        </w:tc>
      </w:tr>
      <w:tr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/>
          </w:p>
          <w:p>
            <w:r>
              <w:rPr>
                <w:sz w:val="19"/>
              </w:rPr>
              <w:t>Pracodawcy i szkoły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/>
          </w:p>
          <w:p>
            <w:r>
              <w:rPr>
                <w:sz w:val="19"/>
              </w:rPr>
              <w:t>redakcja do tokenu generycznego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/>
          </w:p>
          <w:p>
            <w:r>
              <w:rPr>
                <w:sz w:val="19"/>
              </w:rPr>
              <w:t>`[PRACODAWCA]`, `[SZKOŁA]`</w:t>
            </w:r>
          </w:p>
        </w:tc>
      </w:tr>
      <w:tr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/>
          </w:p>
          <w:p>
            <w:r>
              <w:rPr>
                <w:sz w:val="19"/>
              </w:rPr>
              <w:t xml:space="preserve">Miejscowości — </w:t>
            </w:r>
            <w:r>
              <w:rPr>
                <w:b/>
                <w:sz w:val="19"/>
              </w:rPr>
              <w:t>wszystkie</w:t>
            </w:r>
            <w:r>
              <w:rPr>
                <w:sz w:val="19"/>
              </w:rPr>
              <w:t>, także duże miasta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/>
          </w:p>
          <w:p>
            <w:r>
              <w:rPr>
                <w:sz w:val="19"/>
              </w:rPr>
              <w:t>redakcja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/>
          </w:p>
          <w:p>
            <w:r>
              <w:rPr>
                <w:sz w:val="19"/>
              </w:rPr>
              <w:t>`[MIEJSCOWOŚĆ-A]`</w:t>
            </w:r>
          </w:p>
        </w:tc>
      </w:tr>
      <w:tr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/>
          </w:p>
          <w:p>
            <w:r>
              <w:rPr>
                <w:sz w:val="19"/>
              </w:rPr>
              <w:t>Daty urodzenia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/>
          </w:p>
          <w:p>
            <w:r>
              <w:rPr>
                <w:sz w:val="19"/>
              </w:rPr>
              <w:t>redakcja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/>
          </w:p>
          <w:p>
            <w:r>
              <w:rPr>
                <w:sz w:val="19"/>
              </w:rPr>
              <w:t>`[DATA-URODZENIA]`</w:t>
            </w:r>
          </w:p>
        </w:tc>
      </w:tr>
    </w:tbl>
    <w:p/>
    <w:p>
      <w:r>
        <w:t>Dlaczego imiona zostają: samo imię identyfikuje słabo, a niesie</w:t>
      </w:r>
    </w:p>
    <w:p>
      <w:r>
        <w:t>istotną klinicznie treść relacyjną („konflikt z Karolem" vs „konflikt</w:t>
      </w:r>
    </w:p>
    <w:p>
      <w:r>
        <w:t>z `[OSOBA-3]`") — raport pozostaje naturalnie czytelny dla terapeuty.</w:t>
      </w:r>
    </w:p>
    <w:p>
      <w:r>
        <w:t>Dlaczego pracodawcy, szkoły i wszystkie miejscowości znikają: to silne</w:t>
      </w:r>
    </w:p>
    <w:p>
      <w:r>
        <w:t>quasi-identyfikatory — kombinacja „imię + firma + miasto" potrafi</w:t>
      </w:r>
    </w:p>
    <w:p>
      <w:r>
        <w:t>wskazać osobę bez nazwiska, a wartość kliniczna „konfliktu w pracy"</w:t>
      </w:r>
    </w:p>
    <w:p>
      <w:r>
        <w:t>jest taka sama jak „konfliktu w [nazwa firmy]".</w:t>
      </w:r>
    </w:p>
    <w:p>
      <w:r>
        <w:t>Konstrukcja techniczna (istotna dla oceny ryzyka):</w:t>
      </w:r>
    </w:p>
    <w:p>
      <w:pPr>
        <w:pStyle w:val="ListBullet"/>
      </w:pPr>
      <w:r/>
      <w:r>
        <w:rPr>
          <w:b/>
        </w:rPr>
        <w:t>Dwie niezależne linie obrony.</w:t>
      </w:r>
      <w:r>
        <w:t xml:space="preserve"> Identyfikatory strukturalne</w:t>
      </w:r>
    </w:p>
    <w:p>
      <w:r>
        <w:t>(PESEL, telefony, e-maile, kody, numery dokumentów) usuwa warstwa</w:t>
      </w:r>
    </w:p>
    <w:p>
      <w:r>
        <w:t>wyrażeń regularnych — w 100% deterministyczna, niezależna od modelu</w:t>
      </w:r>
    </w:p>
    <w:p>
      <w:r>
        <w:t>AI, niemożliwa do „przegapienia" przez model. Nazwy własne wskazuje</w:t>
      </w:r>
    </w:p>
    <w:p>
      <w:r>
        <w:t>model AI (wraz z odmianą gramatyczną i wariantami przekręconymi</w:t>
      </w:r>
    </w:p>
    <w:p>
      <w:r>
        <w:t>przez rozpoznawanie mowy), a samą zamianę wykonuje deterministyczny</w:t>
      </w:r>
    </w:p>
    <w:p>
      <w:r>
        <w:t>kod (dopasowanie po granicach słów, spójny token w całej sesji).</w:t>
      </w:r>
    </w:p>
    <w:p>
      <w:pPr>
        <w:pStyle w:val="ListBullet"/>
      </w:pPr>
      <w:r/>
      <w:r>
        <w:rPr>
          <w:b/>
        </w:rPr>
        <w:t>Mniej danych u podprocesora.</w:t>
      </w:r>
      <w:r>
        <w:t xml:space="preserve"> Pseudonimizacja następuje PRZED</w:t>
      </w:r>
    </w:p>
    <w:p>
      <w:r>
        <w:t>drugim wywołaniem modelu (generowaniem raportu) — model piszący</w:t>
      </w:r>
    </w:p>
    <w:p>
      <w:r>
        <w:t>raport w ogóle nie widzi nazwisk, adresów ani nazw miejscowości.</w:t>
      </w:r>
    </w:p>
    <w:p>
      <w:pPr>
        <w:pStyle w:val="ListBullet"/>
      </w:pPr>
      <w:r/>
      <w:r>
        <w:rPr>
          <w:b/>
        </w:rPr>
      </w:r>
      <w:r>
        <w:t>Pamięć długoterminowa (RAG) przechowywana wyłącznie w wersji</w:t>
      </w:r>
    </w:p>
    <w:p>
      <w:r>
        <w:t>pseudonimizowanej</w:t>
      </w:r>
      <w:r>
        <w:rPr>
          <w:b/>
        </w:rPr>
      </w:r>
      <w:r>
        <w:t xml:space="preserve"> — dane identyfikujące nie kumulują się w pamięci</w:t>
      </w:r>
    </w:p>
    <w:p>
      <w:r>
        <w:t>procesu terapeutycznego między sesjami.</w:t>
      </w:r>
    </w:p>
    <w:p>
      <w:pPr>
        <w:pStyle w:val="ListBullet"/>
      </w:pPr>
      <w:r/>
      <w:r>
        <w:rPr>
          <w:b/>
        </w:rPr>
        <w:t>Panel klienta dziedziczy pseudonimizację</w:t>
      </w:r>
      <w:r>
        <w:t xml:space="preserve"> — pacjent czytający</w:t>
      </w:r>
    </w:p>
    <w:p>
      <w:r>
        <w:t>własny raport również widzi tokeny.</w:t>
      </w:r>
    </w:p>
    <w:p>
      <w:pPr>
        <w:pStyle w:val="Heading3"/>
      </w:pPr>
      <w:r>
        <w:t>5.3 Warstwa 3: pseudonimizacja niezależna od treści</w:t>
      </w:r>
    </w:p>
    <w:p>
      <w:r>
        <w:t>Niezależnie od powyższego: statusy w Firestore to wyłącznie UUID,</w:t>
      </w:r>
    </w:p>
    <w:p>
      <w:r>
        <w:t>powiadomienia push nie zawierają żadnych danych pacjentów, embeddingi</w:t>
      </w:r>
    </w:p>
    <w:p>
      <w:r>
        <w:t>wektorowe liczone są na tekście po redakcji.</w:t>
      </w:r>
    </w:p>
    <w:p>
      <w:pPr>
        <w:pStyle w:val="Heading3"/>
      </w:pPr>
      <w:r>
        <w:t>5.4 Kwalifikacja prawna — uczciwie</w:t>
      </w:r>
    </w:p>
    <w:p>
      <w:r/>
      <w:r>
        <w:rPr>
          <w:b/>
        </w:rPr>
        <w:t>To jest pseudonimizacja (art. 4 pkt 5 RODO), nie anonimizacja.</w:t>
      </w:r>
      <w:r/>
    </w:p>
    <w:p>
      <w:r>
        <w:t>Dane pozostają danymi osobowymi — terapeuta zna tożsamość pacjenta,</w:t>
      </w:r>
    </w:p>
    <w:p>
      <w:r>
        <w:t>a wykrywanie nazw własnych przez model jest best-effort: nazwisko</w:t>
      </w:r>
    </w:p>
    <w:p>
      <w:r>
        <w:t>mocno przekręcone przez rozpoznawanie mowy może przejść. Zyskiem jest</w:t>
      </w:r>
    </w:p>
    <w:p>
      <w:r/>
      <w:r>
        <w:rPr>
          <w:b/>
        </w:rPr>
        <w:t>istotna minimalizacja ryzyka</w:t>
      </w:r>
      <w:r>
        <w:t xml:space="preserve"> (mniejsza ekspozycja danych</w:t>
      </w:r>
    </w:p>
    <w:p>
      <w:r>
        <w:t>identyfikujących w raportach, na listach w UI, w pamięci</w:t>
      </w:r>
    </w:p>
    <w:p>
      <w:r>
        <w:t>długoterminowej i u podprocesora LLM), wzmacniająca DPIA — nie</w:t>
      </w:r>
    </w:p>
    <w:p>
      <w:r>
        <w:t>zwolnienie z reżimu RODO. Semantyka błędów: jeżeli wykrywanie PII</w:t>
      </w:r>
    </w:p>
    <w:p>
      <w:r>
        <w:t>zawiedzie, raport powstaje bez redakcji (fail-open) i zdarzenie jest</w:t>
      </w:r>
    </w:p>
    <w:p>
      <w:r>
        <w:t>logowane oraz monitorowane — świadomie nie blokujemy sesji terapeuty</w:t>
      </w:r>
    </w:p>
    <w:p>
      <w:r>
        <w:t>z powodu awarii funkcji prywatnościowej, bo dane i tak pozostają</w:t>
      </w:r>
    </w:p>
    <w:p>
      <w:r>
        <w:t>zaszyfrowane i dostępne wyłącznie dla uprawnionego terapeuty.</w:t>
      </w:r>
    </w:p>
    <w:p>
      <w:pPr>
        <w:pBdr>
          <w:bottom w:val="single" w:sz="6" w:space="1" w:color="CCCCCC"/>
        </w:pBdr>
      </w:pPr>
    </w:p>
    <w:p>
      <w:pPr>
        <w:pStyle w:val="Heading2"/>
      </w:pPr>
      <w:r>
        <w:t>6. Kontrola jakości pseudonimizacji (bramki przed włączeniem)</w:t>
      </w:r>
    </w:p>
    <w:p>
      <w:r>
        <w:t>Pseudonimizacja nie została włączona „na wiarę" — przechodzi przez dwie</w:t>
      </w:r>
    </w:p>
    <w:p>
      <w:r>
        <w:t>automatyczne bramki, powtarzalne przy każdej zmianie reguł:</w:t>
      </w:r>
    </w:p>
    <w:p>
      <w:pPr>
        <w:pStyle w:val="ListNumber"/>
      </w:pPr>
      <w:r/>
      <w:r>
        <w:rPr>
          <w:b/>
        </w:rPr>
        <w:t>Eval offline (`pii-eval`):</w:t>
      </w:r>
      <w:r>
        <w:t xml:space="preserve"> zestaw syntetycznych polskich</w:t>
      </w:r>
    </w:p>
    <w:p>
      <w:r>
        <w:t>transkryptów z celowo wstrzykniętą PII (odmiana nazwisk przez</w:t>
      </w:r>
    </w:p>
    <w:p>
      <w:r>
        <w:t>przypadki, nazwiska przekręcone jak przez STT, leki mylące się z</w:t>
      </w:r>
    </w:p>
    <w:p>
      <w:r>
        <w:t>nazwiskami, zdrobnienia imion, które NIE mogą zniknąć). Progi:</w:t>
      </w:r>
    </w:p>
    <w:p>
      <w:r>
        <w:t>0% przecieków na formach bazowych i warstwie regex, &lt;5% na formach</w:t>
      </w:r>
    </w:p>
    <w:p>
      <w:r>
        <w:t xml:space="preserve">odmienionych, ~0 fałszywych usunięć. Wynik 2026-07-17: </w:t>
      </w:r>
      <w:r>
        <w:rPr>
          <w:b/>
        </w:rPr>
      </w:r>
      <w:r>
        <w:t>wszystkie</w:t>
      </w:r>
    </w:p>
    <w:p>
      <w:r>
        <w:t>progi spełnione, potwierdzone trzykrotnie</w:t>
      </w:r>
      <w:r>
        <w:rPr>
          <w:b/>
        </w:rPr>
      </w:r>
      <w:r>
        <w:t xml:space="preserve"> (0/8, 0/11, 0/14).</w:t>
      </w:r>
    </w:p>
    <w:p>
      <w:pPr>
        <w:pStyle w:val="ListNumber"/>
      </w:pPr>
      <w:r/>
      <w:r>
        <w:rPr>
          <w:b/>
        </w:rPr>
        <w:t>Test end-to-end na żywym środowisku:</w:t>
      </w:r>
      <w:r>
        <w:t xml:space="preserve"> nagranie audio z</w:t>
      </w:r>
    </w:p>
    <w:p>
      <w:r>
        <w:t>wstrzykniętymi danymi (nazwisko, pracodawca, miasto, szkoła,</w:t>
      </w:r>
    </w:p>
    <w:p>
      <w:r>
        <w:t>telefon) przechodzi cały łańcuch nagranie→STT→AI→raport; test</w:t>
      </w:r>
    </w:p>
    <w:p>
      <w:r>
        <w:t>sprawdza, że żadna wstrzyknięta dana nie występuje w raporcie,</w:t>
      </w:r>
    </w:p>
    <w:p>
      <w:r>
        <w:t>tytule ani skrócie, a imiona i tokeny są obecne. Wynik 2026-07-17:</w:t>
      </w:r>
    </w:p>
    <w:p>
      <w:r/>
      <w:r>
        <w:rPr>
          <w:b/>
        </w:rPr>
        <w:t>zero przecieków</w:t>
      </w:r>
      <w:r>
        <w:t>.</w:t>
      </w:r>
    </w:p>
    <w:p>
      <w:r>
        <w:t>Reguły wykrywania PII mają jedno źródło w kodzie, a proces wymaga</w:t>
      </w:r>
    </w:p>
    <w:p>
      <w:r>
        <w:t>przepuszczenia każdej ich zmiany przez bramkę 1 — to mechanizm trwały,</w:t>
      </w:r>
    </w:p>
    <w:p>
      <w:r>
        <w:t>nie jednorazowy audyt.</w:t>
      </w:r>
    </w:p>
    <w:p>
      <w:pPr>
        <w:pBdr>
          <w:bottom w:val="single" w:sz="6" w:space="1" w:color="CCCCCC"/>
        </w:pBdr>
      </w:pPr>
    </w:p>
    <w:p>
      <w:pPr>
        <w:pStyle w:val="Heading2"/>
      </w:pPr>
      <w:r>
        <w:t>7. Dlaczego celowo NIE redagujemy transkryptu dla terapeuty</w:t>
      </w:r>
    </w:p>
    <w:p>
      <w:r>
        <w:t>Pytanie, które padnie od klientów i prawników: „skoro pseudonimizujecie</w:t>
      </w:r>
    </w:p>
    <w:p>
      <w:r>
        <w:t>raporty, czemu terapeuta widzi transkrypt w oryginale?". To decyzja</w:t>
      </w:r>
    </w:p>
    <w:p>
      <w:r>
        <w:t>projektowa (ADR-IMPL-006), nie przeoczenie. Uzasadnienie:</w:t>
      </w:r>
    </w:p>
    <w:p>
      <w:pPr>
        <w:pStyle w:val="ListNumber"/>
      </w:pPr>
      <w:r/>
      <w:r>
        <w:rPr>
          <w:b/>
        </w:rPr>
      </w:r>
      <w:r>
        <w:t>Terapeuta jest administratorem danych i właścicielem dokumentacji</w:t>
      </w:r>
    </w:p>
    <w:p>
      <w:r>
        <w:t>procesu.</w:t>
      </w:r>
      <w:r>
        <w:rPr>
          <w:b/>
        </w:rPr>
      </w:r>
      <w:r>
        <w:t xml:space="preserve"> Transkrypt to jego zapis źródłowy sesji — odpowiednik</w:t>
      </w:r>
    </w:p>
    <w:p>
      <w:r>
        <w:t>notatek z gabinetu. Podmiot przetwarzający (my) nie powinien</w:t>
      </w:r>
    </w:p>
    <w:p>
      <w:r>
        <w:t>nieodwracalnie modyfikować dokumentacji administratora; to</w:t>
      </w:r>
    </w:p>
    <w:p>
      <w:r>
        <w:t>administrator decyduje o jej treści i zakresie.</w:t>
      </w:r>
    </w:p>
    <w:p>
      <w:pPr>
        <w:pStyle w:val="ListNumber"/>
      </w:pPr>
      <w:r/>
      <w:r>
        <w:rPr>
          <w:b/>
        </w:rPr>
        <w:t>Raport AI wymaga weryfikowalności źródłem.</w:t>
      </w:r>
      <w:r>
        <w:t xml:space="preserve"> Raport jest</w:t>
      </w:r>
    </w:p>
    <w:p>
      <w:r>
        <w:t>wytworem modelu językowego — narzędziem, nie prawdą objawioną.</w:t>
      </w:r>
    </w:p>
    <w:p>
      <w:r>
        <w:t>Standard odpowiedzialnego użycia AI w kontekście klinicznym wymaga,</w:t>
      </w:r>
    </w:p>
    <w:p>
      <w:r>
        <w:t>by profesjonalista mógł skonfrontować każde zdanie raportu z tym,</w:t>
      </w:r>
    </w:p>
    <w:p>
      <w:r>
        <w:t>co faktycznie padło na sesji. Zredagowany transkrypt zrywa tę</w:t>
      </w:r>
    </w:p>
    <w:p>
      <w:r>
        <w:t>ścieżkę weryfikacji („kto powiedział, że problem był z Kowalskim,</w:t>
      </w:r>
    </w:p>
    <w:p>
      <w:r>
        <w:t>skoro w transkrypcie jest tylko [NAZWISKO-1]?").</w:t>
      </w:r>
    </w:p>
    <w:p>
      <w:pPr>
        <w:pStyle w:val="ListNumber"/>
      </w:pPr>
      <w:r/>
      <w:r>
        <w:rPr>
          <w:b/>
        </w:rPr>
        <w:t>Redakcja u źródła jest nieodwracalna i omylna jednocześnie</w:t>
      </w:r>
      <w:r>
        <w:t xml:space="preserve"> —</w:t>
      </w:r>
    </w:p>
    <w:p>
      <w:r>
        <w:t>najgorsza możliwa kombinacja. Wykrywanie PII jest best-effort</w:t>
      </w:r>
    </w:p>
    <w:p>
      <w:r>
        <w:t>(§5.4); fałszywe trafienie w transkrypcie (np. usunięcie nazwy</w:t>
      </w:r>
    </w:p>
    <w:p>
      <w:r>
        <w:t>leku pomylonego z nazwiskiem) trwale zniszczyłoby klinicznie</w:t>
      </w:r>
    </w:p>
    <w:p>
      <w:r>
        <w:t>istotną treść zapisu źródłowego. W raporcie ten sam błąd jest</w:t>
      </w:r>
    </w:p>
    <w:p>
      <w:r>
        <w:t>naprawialny — raport można wygenerować ponownie, transkryptu nie</w:t>
      </w:r>
    </w:p>
    <w:p>
      <w:r>
        <w:t>da się odtworzyć (audio jest usuwane w 48 h — właśnie ze względu</w:t>
      </w:r>
    </w:p>
    <w:p>
      <w:r>
        <w:t>na minimalizację).</w:t>
      </w:r>
    </w:p>
    <w:p>
      <w:pPr>
        <w:pStyle w:val="ListNumber"/>
      </w:pPr>
      <w:r/>
      <w:r>
        <w:rPr>
          <w:b/>
        </w:rPr>
      </w:r>
      <w:r>
        <w:t>Ryzyko, które adresuje pseudonimizacja, nie dotyczy widoku</w:t>
      </w:r>
    </w:p>
    <w:p>
      <w:r>
        <w:t>terapeuty.</w:t>
      </w:r>
      <w:r>
        <w:rPr>
          <w:b/>
        </w:rPr>
      </w:r>
      <w:r>
        <w:t xml:space="preserve"> Terapeuta i tak zna tożsamość pacjenta — redakcja</w:t>
      </w:r>
    </w:p>
    <w:p>
      <w:r>
        <w:t>raportu niczego przed nim nie ukrywa i nie ma ukrywać. Realne</w:t>
      </w:r>
    </w:p>
    <w:p>
      <w:r>
        <w:t>powierzchnie ryzyka to: treść wysyłana do podprocesora LLM,</w:t>
      </w:r>
    </w:p>
    <w:p>
      <w:r>
        <w:t>kumulacja PII w pamięci długoterminowej RAG, tytuły/skróty widoczne</w:t>
      </w:r>
    </w:p>
    <w:p>
      <w:r>
        <w:t>na listach (ekran przez ramię), panel pacjenta. Wszystkie te</w:t>
      </w:r>
    </w:p>
    <w:p>
      <w:r>
        <w:t>powierzchnie SĄ objęte pseudonimizacją. Transkrypt oryginalny</w:t>
      </w:r>
    </w:p>
    <w:p>
      <w:r>
        <w:t>istnieje wyłącznie za uwierzytelnieniem właściciela kartoteki,</w:t>
      </w:r>
    </w:p>
    <w:p>
      <w:r>
        <w:t>zaszyfrowany envelope encryption w spoczynku.</w:t>
      </w:r>
    </w:p>
    <w:p>
      <w:pPr>
        <w:pStyle w:val="ListNumber"/>
      </w:pPr>
      <w:r/>
      <w:r>
        <w:rPr>
          <w:b/>
        </w:rPr>
        <w:t>Spójność z minimalizacją, nie jej brak.</w:t>
      </w:r>
      <w:r>
        <w:t xml:space="preserve"> Chronimy dane tam,</w:t>
      </w:r>
    </w:p>
    <w:p>
      <w:r>
        <w:t>gdzie wychodzą poza relację terapeuta–pacjent (podprocesorzy,</w:t>
      </w:r>
    </w:p>
    <w:p>
      <w:r>
        <w:t>pamięć, listy, panel klienta), a nie wewnątrz tej relacji, która</w:t>
      </w:r>
    </w:p>
    <w:p>
      <w:r>
        <w:t>jest istotą usługi i odpowiedzialnością administratora.</w:t>
      </w:r>
    </w:p>
    <w:p>
      <w:r>
        <w:t xml:space="preserve">Jednym zdaniem dla sprzedaży: </w:t>
      </w:r>
      <w:r>
        <w:rPr>
          <w:b/>
        </w:rPr>
      </w:r>
      <w:r>
        <w:t>pseudonimizujemy wszystko, co system</w:t>
      </w:r>
    </w:p>
    <w:p>
      <w:r>
        <w:t>wytwarza i pamięta; nie cenzurujemy tego, co terapeuta musi móc</w:t>
      </w:r>
    </w:p>
    <w:p>
      <w:r>
        <w:t>zweryfikować — bo to jego dokumentacja i jego odpowiedzialność</w:t>
      </w:r>
    </w:p>
    <w:p>
      <w:r>
        <w:t>zawodowa.</w:t>
      </w:r>
      <w:r>
        <w:rPr>
          <w:b/>
        </w:rPr>
      </w:r>
      <w:r/>
    </w:p>
    <w:p>
      <w:pPr>
        <w:pBdr>
          <w:bottom w:val="single" w:sz="6" w:space="1" w:color="CCCCCC"/>
        </w:pBdr>
      </w:pPr>
    </w:p>
    <w:p>
      <w:pPr>
        <w:pStyle w:val="Heading2"/>
      </w:pPr>
      <w:r>
        <w:t>8. Ściąga dla sprzedaży: co wolno mówić</w:t>
      </w:r>
    </w:p>
    <w:p>
      <w:r/>
      <w:r>
        <w:rPr>
          <w:b/>
        </w:rPr>
        <w:t>Dozwolone (zgodne ze stanem faktycznym):</w:t>
      </w:r>
      <w:r/>
    </w:p>
    <w:p>
      <w:pPr>
        <w:pStyle w:val="ListBullet"/>
      </w:pPr>
      <w:r>
        <w:t>„Dane kliniczne są przechowywane i przetwarzane w Unii Europejskiej</w:t>
      </w:r>
    </w:p>
    <w:p>
      <w:r>
        <w:t>(Warszawa/Holandia); transkrypcja mowy odbywa się na europejskich</w:t>
      </w:r>
    </w:p>
    <w:p>
      <w:r>
        <w:t>endpointach."</w:t>
      </w:r>
    </w:p>
    <w:p>
      <w:pPr>
        <w:pStyle w:val="ListBullet"/>
      </w:pPr>
      <w:r>
        <w:t>„Ani Google (Vertex AI), ani Deepgram nie używają danych z sesji do</w:t>
      </w:r>
    </w:p>
    <w:p>
      <w:r>
        <w:t>trenowania swoich modeli — w przypadku Deepgram rezygnacja z programu</w:t>
      </w:r>
    </w:p>
    <w:p>
      <w:r>
        <w:t>ulepszania modeli jest wymuszona w kodzie i audytowalna."</w:t>
      </w:r>
    </w:p>
    <w:p>
      <w:pPr>
        <w:pStyle w:val="ListBullet"/>
      </w:pPr>
      <w:r>
        <w:t>„Nagranie audio jest usuwane automatycznie najpóźniej po 48 godzinach."</w:t>
      </w:r>
    </w:p>
    <w:p>
      <w:pPr>
        <w:pStyle w:val="ListBullet"/>
      </w:pPr>
      <w:r>
        <w:t>„Wszystkie dane szczególnej kategorii są szyfrowane w spoczynku</w:t>
      </w:r>
    </w:p>
    <w:p>
      <w:r>
        <w:t>(envelope encryption z rotacją kluczy) i w tranzycie."</w:t>
      </w:r>
    </w:p>
    <w:p>
      <w:pPr>
        <w:pStyle w:val="ListBullet"/>
      </w:pPr>
      <w:r>
        <w:t>„Raporty, ich tytuły i pamięć długoterminowa AI są pseudonimizowane:</w:t>
      </w:r>
    </w:p>
    <w:p>
      <w:r>
        <w:t>nazwiska, identyfikatory, adresy, pracodawcy, szkoły i miejscowości</w:t>
      </w:r>
    </w:p>
    <w:p>
      <w:r>
        <w:t>są zastępowane tokenami; imiona pozostają dla czytelności klinicznej."</w:t>
      </w:r>
    </w:p>
    <w:p>
      <w:pPr>
        <w:pStyle w:val="ListBullet"/>
      </w:pPr>
      <w:r>
        <w:t>„Jakość pseudonimizacji jest kontrolowana automatycznymi bramkami</w:t>
      </w:r>
    </w:p>
    <w:p>
      <w:r>
        <w:t>testowymi przy każdej zmianie."</w:t>
      </w:r>
    </w:p>
    <w:p>
      <w:pPr>
        <w:pStyle w:val="ListBullet"/>
      </w:pPr>
      <w:r>
        <w:t>„Aktywacja konta pacjenta wymaga dwóch niezależnych czynników:</w:t>
      </w:r>
    </w:p>
    <w:p>
      <w:r>
        <w:t>linku e-mail ORAZ kodu przekazanego osobiście przez terapeutę."</w:t>
      </w:r>
    </w:p>
    <w:p>
      <w:pPr>
        <w:pStyle w:val="ListBullet"/>
      </w:pPr>
      <w:r>
        <w:t>„Nie zbieramy imion ani nazwisk klientów — jedynym identyfikatorem</w:t>
      </w:r>
    </w:p>
    <w:p>
      <w:r>
        <w:t>konta klienta jest adres e-mail, a kartoteka działa na pseudonimie</w:t>
      </w:r>
    </w:p>
    <w:p>
      <w:r>
        <w:t>nadanym przez terapeutę." (od 2026-07-18, egzekwowane serwerowo)</w:t>
      </w:r>
    </w:p>
    <w:p>
      <w:pPr>
        <w:pStyle w:val="ListBullet"/>
      </w:pPr>
      <w:r>
        <w:t>„Usunięcie danych jest zautomatyzowane i nieodwracalne (30 dni od</w:t>
      </w:r>
    </w:p>
    <w:p>
      <w:r>
        <w:t>usunięcia następuje trwały purge, również z kopii zapasowych przez</w:t>
      </w:r>
    </w:p>
    <w:p>
      <w:r>
        <w:t>wygaśnięcie kluczy)."</w:t>
      </w:r>
    </w:p>
    <w:p>
      <w:pPr>
        <w:pStyle w:val="ListBullet"/>
      </w:pPr>
      <w:r>
        <w:t>„Nie przechowujemy danych kart płatniczych" (Stripe, PCI DSS L1).</w:t>
      </w:r>
    </w:p>
    <w:p>
      <w:r/>
      <w:r>
        <w:rPr>
          <w:b/>
        </w:rPr>
        <w:t>ZAKAZANE (niezgodne z prawdą lub ryzykowne prawnie):</w:t>
      </w:r>
      <w:r/>
    </w:p>
    <w:p>
      <w:pPr>
        <w:pStyle w:val="ListBullet"/>
      </w:pPr>
      <w:r>
        <w:t>~~„Dane są anonimizowane"~~ — NIE; to pseudonimizacja (art. 4 pkt 5</w:t>
      </w:r>
    </w:p>
    <w:p>
      <w:r>
        <w:t>RODO), dane pozostają danymi osobowymi.</w:t>
      </w:r>
    </w:p>
    <w:p>
      <w:pPr>
        <w:pStyle w:val="ListBullet"/>
      </w:pPr>
      <w:r>
        <w:t>~~„Gwarantujemy 100% usunięcia danych osobowych z raportów"~~ — NIE;</w:t>
      </w:r>
    </w:p>
    <w:p>
      <w:r>
        <w:t>wykrywanie nazw własnych jest best-effort (progi jakości: 0%</w:t>
      </w:r>
    </w:p>
    <w:p>
      <w:r>
        <w:t>przecieków na formach bazowych, &lt;5% na odmienionych).</w:t>
      </w:r>
    </w:p>
    <w:p>
      <w:pPr>
        <w:pStyle w:val="ListBullet"/>
      </w:pPr>
      <w:r>
        <w:t>~~„Żadne dane nie opuszczają EOG"~~ — NIE bez zastrzeżenia; dotyczy</w:t>
      </w:r>
    </w:p>
    <w:p>
      <w:r>
        <w:t>danych klinicznych pacjentów; dane terapeutów dotykają Stripe/Resend/</w:t>
      </w:r>
    </w:p>
    <w:p>
      <w:r>
        <w:t>FCM (USA, na podstawie DPF/SCC), treść sesji — nigdy.</w:t>
      </w:r>
    </w:p>
    <w:p>
      <w:pPr>
        <w:pStyle w:val="ListBullet"/>
      </w:pPr>
      <w:r>
        <w:t>~~„AI nie widzi danych wrażliwych"~~ — NIE; model musi przeczytać</w:t>
      </w:r>
    </w:p>
    <w:p>
      <w:r>
        <w:t>transkrypt (w tym w call-1 oryginał, żeby wykryć PII); prawdziwe</w:t>
      </w:r>
    </w:p>
    <w:p>
      <w:r>
        <w:t>twierdzenie brzmi: model generujący raport pracuje na tekście już</w:t>
      </w:r>
    </w:p>
    <w:p>
      <w:r>
        <w:t>pseudonimizowanym, a podprocesorzy nie trenują na naszych danych.</w:t>
      </w:r>
    </w:p>
    <w:p>
      <w:pPr>
        <w:pStyle w:val="ListBullet"/>
      </w:pPr>
      <w:r>
        <w:t>Obiecywanie zgodności z konkretnymi regulacjami sektorowymi (np.</w:t>
      </w:r>
    </w:p>
    <w:p>
      <w:r>
        <w:t>wymogi dokumentacji medycznej) bez konsultacji z działem prawnym.</w:t>
      </w:r>
    </w:p>
    <w:p>
      <w:pPr>
        <w:pBdr>
          <w:bottom w:val="single" w:sz="6" w:space="1" w:color="CCCCCC"/>
        </w:pBdr>
      </w:pPr>
    </w:p>
    <w:p>
      <w:pPr>
        <w:pStyle w:val="Heading2"/>
      </w:pPr>
      <w:r>
        <w:t>9. Delty do naniesienia w dokumentach compliance (dla prawników)</w:t>
      </w:r>
    </w:p>
    <w:p>
      <w:r>
        <w:t>Stan na 2026-07-18 — poniższe zmiany produktowe z 2026-07-17 nie są</w:t>
      </w:r>
    </w:p>
    <w:p>
      <w:r>
        <w:t>jeszcze odzwierciedlone w RCP (dok. 02) i DPIA (dok. 03):</w:t>
      </w:r>
    </w:p>
    <w:p>
      <w:pPr>
        <w:pStyle w:val="ListNumber"/>
      </w:pPr>
      <w:r/>
      <w:r>
        <w:rPr>
          <w:b/>
        </w:rPr>
        <w:t>Nowy podprocesor STT: Deepgram</w:t>
      </w:r>
      <w:r>
        <w:t xml:space="preserve"> (domyślny dostawca transkrypcji;</w:t>
      </w:r>
    </w:p>
    <w:p>
      <w:r>
        <w:t>Chirp 3 pozostaje fallbackiem). Do RCP część C dopisać: Deepgram,</w:t>
      </w:r>
    </w:p>
    <w:p>
      <w:r>
        <w:t>Inc. — usługa Speech-to-Text Nova-3, endpoint `api.eu.deepgram.com`</w:t>
      </w:r>
    </w:p>
    <w:p>
      <w:r>
        <w:t>(hosting AWS UE), przetwarzanie synchroniczne bez trwałej kopii,</w:t>
      </w:r>
    </w:p>
    <w:p>
      <w:r>
        <w:t>`mip_opt_out=true`. Zaktualizować B-1 (sub-procesorzy, środki).</w:t>
      </w:r>
    </w:p>
    <w:p>
      <w:r/>
      <w:r>
        <w:rPr>
          <w:b/>
        </w:rPr>
      </w:r>
      <w:r>
        <w:t>⚠ Warunek: podpisanie DPA z Deepgram pod dane szczególnej</w:t>
      </w:r>
    </w:p>
    <w:p>
      <w:r>
        <w:t>kategorii + pisemne potwierdzenie rezydencji EU i semantyki</w:t>
      </w:r>
    </w:p>
    <w:p>
      <w:r>
        <w:t>retencji przy `mip_opt_out` — w toku (docs/39 Faza 0). Do czasu</w:t>
      </w:r>
    </w:p>
    <w:p>
      <w:r>
        <w:t>podpisania status prawny podpowierzenia wymaga opinii radcy.</w:t>
      </w:r>
      <w:r>
        <w:rPr>
          <w:b/>
        </w:rPr>
      </w:r>
      <w:r/>
    </w:p>
    <w:p>
      <w:pPr>
        <w:pStyle w:val="ListNumber"/>
      </w:pPr>
      <w:r/>
      <w:r>
        <w:rPr>
          <w:b/>
        </w:rPr>
        <w:t>Pseudonimizacja raportów</w:t>
      </w:r>
      <w:r>
        <w:t xml:space="preserve"> (docs/41): dopisać do DPIA jako</w:t>
      </w:r>
    </w:p>
    <w:p>
      <w:r>
        <w:t>dodatkowy środek minimalizacji (B-2/B-3: raporty, Title/Summary</w:t>
      </w:r>
    </w:p>
    <w:p>
      <w:r>
        <w:t>i RAG przechowywane w wersji pseudonimizowanej; opis warstw §5).</w:t>
      </w:r>
    </w:p>
    <w:p>
      <w:pPr>
        <w:pStyle w:val="ListNumber"/>
      </w:pPr>
      <w:r/>
      <w:r>
        <w:rPr>
          <w:b/>
        </w:rPr>
        <w:t>Kod parowania zaproszeń pacjenta</w:t>
      </w:r>
      <w:r>
        <w:t xml:space="preserve"> (docs/42): dopisać do środków</w:t>
      </w:r>
    </w:p>
    <w:p>
      <w:r>
        <w:t>organizacyjno-technicznych (część D RCP) — dwuskładnikowa</w:t>
      </w:r>
    </w:p>
    <w:p>
      <w:r>
        <w:t>aktywacja, hash-only, blokada po 5 próbach, revoke, TTL 72 h,</w:t>
      </w:r>
    </w:p>
    <w:p>
      <w:r>
        <w:t>zdarzenia audytowe.</w:t>
      </w:r>
    </w:p>
    <w:p>
      <w:pPr>
        <w:pStyle w:val="ListNumber"/>
      </w:pPr>
      <w:r/>
      <w:r>
        <w:rPr>
          <w:b/>
        </w:rPr>
        <w:t>Zmiana pola kartoteki na „Pseudonim"</w:t>
      </w:r>
      <w:r>
        <w:t xml:space="preserve"> — wzmocnienie minimalizacji</w:t>
      </w:r>
    </w:p>
    <w:p>
      <w:r>
        <w:t>u źródła; warto odnotować w DPIA.</w:t>
      </w:r>
    </w:p>
    <w:p>
      <w:pPr>
        <w:pStyle w:val="ListNumber"/>
      </w:pPr>
      <w:r>
        <w:t>Decyzja świadoma do odnotowania w DPIA: transkrypt kanoniczny</w:t>
      </w:r>
    </w:p>
    <w:p>
      <w:r>
        <w:t>pozostaje niepseudonimizowany dla terapeuty-administratora —</w:t>
      </w:r>
    </w:p>
    <w:p>
      <w:r>
        <w:t>uzasadnienie w §7 niniejszego dokumentu.</w:t>
      </w:r>
    </w:p>
    <w:p>
      <w:pPr>
        <w:pStyle w:val="ListNumber"/>
      </w:pPr>
      <w:r/>
      <w:r>
        <w:rPr>
          <w:b/>
        </w:rPr>
        <w:t>Inwariant „jedyny identyfikator klienta = e-mail"</w:t>
      </w:r>
      <w:r>
        <w:t xml:space="preserve"> (docs/43 §4,</w:t>
      </w:r>
    </w:p>
    <w:p>
      <w:r>
        <w:t>wdrożony 2026-07-18): zawęzić w RCP B-3 kategorie danych klienta —</w:t>
      </w:r>
    </w:p>
    <w:p>
      <w:r>
        <w:t>system NIE przechowuje imion i nazwisk klientów (pola istnieją</w:t>
      </w:r>
    </w:p>
    <w:p>
      <w:r>
        <w:t>tylko na wire dla zgodności wstecznej i są ignorowane); e-mail</w:t>
      </w:r>
    </w:p>
    <w:p>
      <w:r>
        <w:t>klienta wyłącznie w domenie tożsamości (zaproszenia z TTL +</w:t>
      </w:r>
    </w:p>
    <w:p>
      <w:r>
        <w:t>users.email po aktywacji), usunięty z kartoteki klinicznej</w:t>
      </w:r>
    </w:p>
    <w:p>
      <w:r>
        <w:t>(migracja 000077); adres wysyłki materiałów utrwalany wyłącznie</w:t>
      </w:r>
    </w:p>
    <w:p>
      <w:r>
        <w:t>zamaskowany; dziennik audytowy bez pseudonimu kartoteki. Do DPIA:</w:t>
      </w:r>
    </w:p>
    <w:p>
      <w:r>
        <w:t>istotna redukcja powierzchni danych identyfikujących klienta.</w:t>
      </w:r>
    </w:p>
    <w:p>
      <w:r>
        <w:t>Otwarte: czyszczenie danych zastanych (imiona wpisane przed</w:t>
      </w:r>
    </w:p>
    <w:p>
      <w:r>
        <w:t>inwariantem) — decyzja operacyjna do podjęcia.</w:t>
      </w:r>
    </w:p>
    <w:p>
      <w:pPr>
        <w:pBdr>
          <w:bottom w:val="single" w:sz="6" w:space="1" w:color="CCCCCC"/>
        </w:pBdr>
      </w:pPr>
    </w:p>
    <w:p>
      <w:pPr>
        <w:pStyle w:val="Heading2"/>
      </w:pPr>
      <w:r>
        <w:t>10. Dokumenty źródłowe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tcMar>
              <w:top w:w="100" w:type="dxa"/>
              <w:bottom w:w="100" w:type="dxa"/>
              <w:left w:w="150" w:type="dxa"/>
              <w:right w:w="150" w:type="dxa"/>
            </w:tcMar>
            <w:shd w:fill="F2F2F2"/>
          </w:tcPr>
          <w:p>
            <w:r/>
          </w:p>
          <w:p>
            <w:r>
              <w:rPr>
                <w:b/>
                <w:sz w:val="20"/>
              </w:rPr>
              <w:t>Dokument</w:t>
            </w:r>
          </w:p>
        </w:tc>
        <w:tc>
          <w:tcPr>
            <w:tcW w:type="dxa" w:w="4680"/>
            <w:tcMar>
              <w:top w:w="100" w:type="dxa"/>
              <w:bottom w:w="100" w:type="dxa"/>
              <w:left w:w="150" w:type="dxa"/>
              <w:right w:w="150" w:type="dxa"/>
            </w:tcMar>
            <w:shd w:fill="F2F2F2"/>
          </w:tcPr>
          <w:p>
            <w:r/>
          </w:p>
          <w:p>
            <w:r>
              <w:rPr>
                <w:b/>
                <w:sz w:val="20"/>
              </w:rPr>
              <w:t>Zakres</w:t>
            </w:r>
          </w:p>
        </w:tc>
      </w:tr>
      <w:tr>
        <w:tc>
          <w:tcPr>
            <w:tcW w:type="dxa" w:w="468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/>
          </w:p>
          <w:p>
            <w:r>
              <w:rPr>
                <w:sz w:val="19"/>
              </w:rPr>
              <w:t>`docs/compliance/01_POLITYKA_RETENCJI_DANYCH.md`</w:t>
            </w:r>
          </w:p>
        </w:tc>
        <w:tc>
          <w:tcPr>
            <w:tcW w:type="dxa" w:w="468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/>
          </w:p>
          <w:p>
            <w:r>
              <w:rPr>
                <w:sz w:val="19"/>
              </w:rPr>
              <w:t>okresy retencji, GDPR Purger, OLM</w:t>
            </w:r>
          </w:p>
        </w:tc>
      </w:tr>
      <w:tr>
        <w:tc>
          <w:tcPr>
            <w:tcW w:type="dxa" w:w="468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/>
          </w:p>
          <w:p>
            <w:r>
              <w:rPr>
                <w:sz w:val="19"/>
              </w:rPr>
              <w:t>`docs/compliance/02_REJESTR_CZYNNOSCI_PRZETWARZANIA.md`</w:t>
            </w:r>
          </w:p>
        </w:tc>
        <w:tc>
          <w:tcPr>
            <w:tcW w:type="dxa" w:w="468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/>
          </w:p>
          <w:p>
            <w:r>
              <w:rPr>
                <w:sz w:val="19"/>
              </w:rPr>
              <w:t>RCP art. 30, lista podprocesorów</w:t>
            </w:r>
          </w:p>
        </w:tc>
      </w:tr>
      <w:tr>
        <w:tc>
          <w:tcPr>
            <w:tcW w:type="dxa" w:w="468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/>
          </w:p>
          <w:p>
            <w:r>
              <w:rPr>
                <w:sz w:val="19"/>
              </w:rPr>
              <w:t>`docs/compliance/03_DPIA_OCENA_SKUTKOW.md`</w:t>
            </w:r>
          </w:p>
        </w:tc>
        <w:tc>
          <w:tcPr>
            <w:tcW w:type="dxa" w:w="468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/>
          </w:p>
          <w:p>
            <w:r>
              <w:rPr>
                <w:sz w:val="19"/>
              </w:rPr>
              <w:t>ocena skutków dla ochrony danych</w:t>
            </w:r>
          </w:p>
        </w:tc>
      </w:tr>
      <w:tr>
        <w:tc>
          <w:tcPr>
            <w:tcW w:type="dxa" w:w="468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/>
          </w:p>
          <w:p>
            <w:r>
              <w:rPr>
                <w:sz w:val="19"/>
              </w:rPr>
              <w:t>`docs/39_DEEPGRAM_STT_MIGRATION.md`</w:t>
            </w:r>
          </w:p>
        </w:tc>
        <w:tc>
          <w:tcPr>
            <w:tcW w:type="dxa" w:w="468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/>
          </w:p>
          <w:p>
            <w:r>
              <w:rPr>
                <w:sz w:val="19"/>
              </w:rPr>
              <w:t>migracja STT, inwarianty EU/mip_opt_out, Faza 0 (DPA)</w:t>
            </w:r>
          </w:p>
        </w:tc>
      </w:tr>
      <w:tr>
        <w:tc>
          <w:tcPr>
            <w:tcW w:type="dxa" w:w="468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/>
          </w:p>
          <w:p>
            <w:r>
              <w:rPr>
                <w:sz w:val="19"/>
              </w:rPr>
              <w:t>`docs/41_PSEUDONIMIZACJA_RAPORTOW.md`</w:t>
            </w:r>
          </w:p>
        </w:tc>
        <w:tc>
          <w:tcPr>
            <w:tcW w:type="dxa" w:w="468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/>
          </w:p>
          <w:p>
            <w:r>
              <w:rPr>
                <w:sz w:val="19"/>
              </w:rPr>
              <w:t>pełny design pseudonimizacji, taksonomia tokenów</w:t>
            </w:r>
          </w:p>
        </w:tc>
      </w:tr>
      <w:tr>
        <w:tc>
          <w:tcPr>
            <w:tcW w:type="dxa" w:w="468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/>
          </w:p>
          <w:p>
            <w:r>
              <w:rPr>
                <w:sz w:val="19"/>
              </w:rPr>
              <w:t>`docs/42_AUTORYZACJA_ZAPROSZEN_KLIENTA.md`</w:t>
            </w:r>
          </w:p>
        </w:tc>
        <w:tc>
          <w:tcPr>
            <w:tcW w:type="dxa" w:w="468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/>
          </w:p>
          <w:p>
            <w:r>
              <w:rPr>
                <w:sz w:val="19"/>
              </w:rPr>
              <w:t>kod parowania, revoke, model zagrożenia</w:t>
            </w:r>
          </w:p>
        </w:tc>
      </w:tr>
    </w:tbl>
    <w:p/>
    <w:p>
      <w:pPr>
        <w:pBdr>
          <w:bottom w:val="single" w:sz="6" w:space="1" w:color="CCCCCC"/>
        </w:pBdr>
      </w:pPr>
    </w:p>
    <w:p>
      <w:pPr>
        <w:pStyle w:val="Heading2"/>
      </w:pPr>
      <w:r>
        <w:t>Zatwierdzenie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