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SuperWizor — Milestones founderów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Formularz roboczy do uzupełnienia przez każdego z founderów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Wersja 1.0 · 20 sierpnia 2026 · Dokument wewnętrzny — materiał roboczy do umowy wspólników (nie jest umową ani opinią prawną)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co ten dokument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Każdy z nas obejmie akcje spółki, które będą „zarabiane” w czasie (tzw. vesting). Część akcji będzie powiązana z konkretnymi, mierzalnymi celami biznesowymi (milestones). Ten formularz służy do tego, żeby każdy founder sam opisał swoje cele, a potem żebyśmy je wspólnie uzgodnili i przekazali prawnikowi do wpisania w umowę.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to działa w skrócie: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Większość akcji (ok. 70–75%) każdy z nas zarabia po prostu czasem pracy — 4 lata zaangażowania, z pełnym pierwszym rokiem jako minimum (tzw. cliff).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Pozostała część (ok. 25–30%) jest podzielona na 3–4 transze powiązane z celami z tego formularza.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Cel jest zaliczony, gdy potwierdzają to obiektywne dane (np. raport z systemu płatności, podpisana umowa, protokół audytu) i zgadzają się na to pozostali dwaj founderzy.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Jeśli mój cel opóźnia się z powodu, na który nie mam wpływu (np. produkt wystartował później), termin celu przesuwa się — cel nie przepada.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Raz na kwartał robimy przegląd postępów; raz w roku możemy wspólnie (jednomyślnie) zaktualizować cele, jeśli biznes poszedł w inną stronę.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wypełnić: </w:t>
      </w:r>
      <w:r>
        <w:rPr>
          <w:rFonts w:ascii="Calibri" w:cs="Calibri" w:eastAsia="Calibri" w:hAnsi="Calibri"/>
          <w:sz w:val="22"/>
          <w:szCs w:val="22"/>
        </w:rPr>
        <w:t xml:space="preserve">w swojej sekcji uzupełnij pola oznaczone [ ___ ], popraw opisy celów własnymi słowami i dopisz cele, których brakuje. Dobry milestone spełnia 3 warunki: (1) da się go zmierzyć liczbą lub faktem „stało się / nie stało się”, (2) ma termin, (3) wiadomo, skąd weźmiemy dane do sprawdzenia.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Uwaga wspólna: zgodnie z ustaleniem nie wprowadzamy indywidualnego bonusu w akcjach za pozyskanie inwestora — pozyskanie finansowania traktujemy jako cel wspólny całego zespołu.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Darek — technologia i produkt (CTO)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Obszary odpowiedzialności: </w:t>
      </w:r>
      <w:r>
        <w:rPr>
          <w:rFonts w:ascii="Calibri" w:cs="Calibri" w:eastAsia="Calibri" w:hAnsi="Calibri"/>
          <w:sz w:val="22"/>
          <w:szCs w:val="22"/>
        </w:rPr>
        <w:t xml:space="preserve">całość technologii, bezpieczeństwo i ochrona danych, rozwój produktu (development), dowiezienie działającego produktu, współprowadzenie produktu z Maciejem (co-product owner), zgodność z przepisami (RODO, regulacje medyczne) we współpracy z doradcami zewnętrznymi.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1300"/>
        <w:gridCol w:w="1100"/>
        <w:gridCol w:w="726"/>
      </w:tblGrid>
      <w:tr>
        <w:trPr>
          <w:tblHeader/>
        </w:trP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30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Cel (opis prostym językiem)</w:t>
            </w:r>
          </w:p>
        </w:tc>
        <w:tc>
          <w:tcPr>
            <w:tcW w:type="dxa" w:w="2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Miara sukcesu — do uzupełnienia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 / okno</w:t>
            </w:r>
          </w:p>
        </w:tc>
        <w:tc>
          <w:tcPr>
            <w:tcW w:type="dxa" w:w="11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Skąd dane</w:t>
            </w:r>
          </w:p>
        </w:tc>
        <w:tc>
          <w:tcPr>
            <w:tcW w:type="dxa" w:w="726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 czego zależy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Publiczne uruchomienie produktu (aplikacja web + mobilna) w uzgodnionym zakresie funkcji. Zakres funkcji spiszemy jako załącznik nr [ ___ ] — do doprecyzowania wspólnie.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 dostępny dla płacących klientów; zakres z załącznika zrealizowany; pozytywny wynik testów bezpieczeństwa przed startem.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dnia 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Publikacja w sklepach / adres produkcyjny; protokół testów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kolejnych miesięcy działania produktu bez poważnego incydentu bezpieczeństwa (wyciek danych, włamanie, utrata danych klientów).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incydentów klasy krytycznej; dodatkowo: pozytywny audyt zewnętrzny bezpieczeństwa i ochrony danych — [ TAK / NIE — do decyzji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mies. od startu (M1)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Rejestr incydentów; raport audytora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Skalowalność platformy: system działa stabilnie przy rosnącej liczbie użytkowników.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Platforma obsługuje [ __________ ] aktywnych użytkowników przy zachowaniu dostępności min. [ __________ ]% i czasach odpowiedzi w normie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dnia 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 techniczny (raport miesięczny)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M1, tempo sprzedaży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Zbudowanie zespołu technicznego po rundzie finansowania: rekrutacja i wdrożenie osób technicznych.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Zatrudnione i wdrożone [ __________ ] osoby techniczne w ciągu [ __________ ] mies. od zamknięcia rundy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 mies. od rundy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Umowy; potwierdzenie wdrożenia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Zamknięcie rundy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miejsce na własną propozycję 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Marcin — sprzedaż B2B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Obszary odpowiedzialności: </w:t>
      </w:r>
      <w:r>
        <w:rPr>
          <w:rFonts w:ascii="Calibri" w:cs="Calibri" w:eastAsia="Calibri" w:hAnsi="Calibri"/>
          <w:sz w:val="22"/>
          <w:szCs w:val="22"/>
        </w:rPr>
        <w:t xml:space="preserve">sprzedaż do organizacji (enterprise B2B) — małe i średnie podmioty zatrudniające 20–200 terapeutów (ośrodki, sieci gabinetów, poradnie); budowa procesu sprzedaży i pipeline'u; twarde wyniki przychodowe. Monitoring postępów: co kwartał.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1300"/>
        <w:gridCol w:w="1100"/>
        <w:gridCol w:w="726"/>
      </w:tblGrid>
      <w:tr>
        <w:trPr>
          <w:tblHeader/>
        </w:trP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30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Cel (opis prostym językiem)</w:t>
            </w:r>
          </w:p>
        </w:tc>
        <w:tc>
          <w:tcPr>
            <w:tcW w:type="dxa" w:w="2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Miara sukcesu — do uzupełnienia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 / okno</w:t>
            </w:r>
          </w:p>
        </w:tc>
        <w:tc>
          <w:tcPr>
            <w:tcW w:type="dxa" w:w="11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Skąd dane</w:t>
            </w:r>
          </w:p>
        </w:tc>
        <w:tc>
          <w:tcPr>
            <w:tcW w:type="dxa" w:w="726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 czego zależy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Podpisane kontrakty z organizacjami (20–200 terapeutów) w ciągu 12 miesięcy od startu produktu.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 podpisanych płatnych kontraktów z organizacjami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mies. od startu (M1 Darka); punkty kontrolne co kwartał: [ _ ] / [ _ ] / [ _ ] / [ 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Podpisane umowy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 Darka (produkt)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Aktywne, płacące subskrypcje terapeutów w ramach tych kontraktów (nie tylko podpisany papier — realne użycie).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 aktywnych płatnych subskrypcji łącznie po 12 mies.; „aktywna” = opłacona i użyta w danym miesiącu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mies. od startu; przegląd co kwartał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płatności (Stripe) + statystyki użycia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M1, jakość produktu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Zbudowany „lejek” przyszłej sprzedaży — rozmowy w toku, które zabezpieczają kolejny rok.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o wartości min. [ __________ ]× rocznego celu przychodowego; min. [ __________ ] organizacji w aktywnych rozmowach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 koniec [ __________ ] kwartału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CRM (raport kwartalny)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miejsce na własną propozycję — np. pierwszy kontrakt z klientem referencyjnym; proces sprzedaży opisany tak, że może go powtórzyć nowy handlowiec 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Maciej — produkt, jakość merytoryczna, rozpoznawalność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Obszary odpowiedzialności: </w:t>
      </w:r>
      <w:r>
        <w:rPr>
          <w:rFonts w:ascii="Calibri" w:cs="Calibri" w:eastAsia="Calibri" w:hAnsi="Calibri"/>
          <w:sz w:val="22"/>
          <w:szCs w:val="22"/>
        </w:rPr>
        <w:t xml:space="preserve">wizja produktu i współprowadzenie produktu z Darkiem (co-product owner), jakość merytoryczna (psychologia i psychoterapia — SME), relacje z ekspertami i środowiskiem terapeutów, UX, PR i budowanie rozpoznawalności produktu.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1300"/>
        <w:gridCol w:w="1100"/>
        <w:gridCol w:w="726"/>
      </w:tblGrid>
      <w:tr>
        <w:trPr>
          <w:tblHeader/>
        </w:trP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30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Cel (opis prostym językiem)</w:t>
            </w:r>
          </w:p>
        </w:tc>
        <w:tc>
          <w:tcPr>
            <w:tcW w:type="dxa" w:w="2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Miara sukcesu — do uzupełnienia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 / okno</w:t>
            </w:r>
          </w:p>
        </w:tc>
        <w:tc>
          <w:tcPr>
            <w:tcW w:type="dxa" w:w="11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Skąd dane</w:t>
            </w:r>
          </w:p>
        </w:tc>
        <w:tc>
          <w:tcPr>
            <w:tcW w:type="dxa" w:w="726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 czego zależy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Jakość merytoryczna produktu potwierdzona przez kluczowych ekspertów: dla każdej szkoły terapeutycznej (modalności) w produkcie uznany ekspert autoryzuje materiał merytoryczny, na którym pracuje AI.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 modalności z pisemną autoryzacją eksperta; podpisane umowy z ekspertami (wraz z przeniesieniem praw do materiałów na spółkę)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modalność do [ __________ ]; kolejne do 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Pisemna autoryzacja; umowy z ekspertami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Terapeuci realnie korzystają z produktu i zostają w nim (jakość produktu w praktyce, nie w deklaracjach).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]% terapeutów z pilotażu aktywnych po 30 dniach; [ __________ ]% nadal płaci po pierwszym kwartale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 mies. od startu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Statystyki produktu; system płatności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 Darka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Rozpoznawalność wśród terapeutów przekłada się na kolejkę chętnych jeszcze przed startem.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oczekujących min. [ __________ ] terapeutów przed startem produktu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przed startem (M1 Darka)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zapisów (landing page)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miejsce na własną propozycję 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  <w:tc>
          <w:tcPr>
            <w:tcW w:type="dxa" w:w="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Kwestia otwarta — rola CEO (do wspólnej decyzji, nie jest milestone'em): </w:t>
      </w:r>
      <w:r>
        <w:rPr>
          <w:rFonts w:ascii="Calibri" w:cs="Calibri" w:eastAsia="Calibri" w:hAnsi="Calibri"/>
          <w:sz w:val="22"/>
          <w:szCs w:val="22"/>
        </w:rPr>
        <w:t xml:space="preserve">objęcie funkcji CEO to decyzja o rolach w spółce, którą musimy podjąć jawnie we trójkę — m.in. dlatego, że inwestor na pierwszym spotkaniu zapyta, kto prowadzi spółkę i fundraising. Jeżeli zdecydujemy, że CEO zostaje Maciej (lub ktokolwiek inny), do jego sekcji dopiszemy cele związane z tą rolą (np. zamknięcie rundy finansowania o ustalonych parametrach, zbudowanie rady doradczej). Decyzja: [ __________ ]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Wspólne zasady zaliczania celów (obowiązują wszystkich)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Dane, nie opinie: każdy cel ma z góry wskazane źródło danych (system płatności, podpisana umowa, raport audytu, statystyki produktu). Bez danych nie ma zaliczenia.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Zgoda pozostałych: zaliczenie celu potwierdzają dwaj pozostali founderzy. Spór → mediacja → arbitraż (mechanizm wpisze prawnik).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Klauzula zależności: opóźnienie nie z mojej winy przesuwa moje okno czasowe o czas opóźnienia — cel nie przepada.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Przegląd kwartalny: stały punkt spotkania founderów; statusy: zrobione / na torze / zagrożone / do renegocjacji.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Aktualizacja roczna: raz w roku możemy jednomyślnie zmienić cele, jeśli strategia się zmieniła. Jednostronnie nie zmienia nikt niczego.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Pytania otwarte do wspólnego ustalenia (przed wizytą u prawnika)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26"/>
      </w:tblGrid>
      <w:tr>
        <w:trPr>
          <w:tblHeader/>
        </w:trP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50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Pytanie</w:t>
            </w:r>
          </w:p>
        </w:tc>
        <w:tc>
          <w:tcPr>
            <w:tcW w:type="dxa" w:w="3326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Ustalenie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Kto obejmuje rolę CEO i prowadzi fundraising?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Wymiar zaangażowania każdego foundera (pełny etat od kiedy?) i ewentualne wkłady gotówkowe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Maciej: [ ___ ] · Darek: [ ___ ] · Marcin: [ ___ ]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Podział akcji między founderów (%)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 ] / [ ___ ] / [ ___ ]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Pula opcji dla przyszłych pracowników i doradców (ESOP) — rezerwujemy od startu? Ile? (typowo 10–15%)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startu produktu (GA) przyjmowana jako punkt odniesienia dla terminów w tym dokumencie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Proporcja vestingu: ile % akcji za czas, ile za milestones (proponowane 70–75 / 25–30)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__________ ]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Następne kroki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Każdy founder uzupełnia swoją sekcję do dnia: [ __________ ]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Wspólny warsztat (2–3 h): uzgodnienie liczb, terminów i pytań D1–D6.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Przekazanie uzgodnionej wersji prawnikowi jako brief do umowy wspólników (umowa akcjonariuszy + umowa spółki PSA).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Dokument roboczy founderów SuperWizor. Nie stanowi umowy ani porady prawnej — ostateczne zapisy przygotuje kancelaria.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2026-08-20T18:54:54.363Z</dcterms:created>
  <dcterms:modified xsi:type="dcterms:W3CDTF">2026-08-20T18:54:54.380Z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