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EU AI ACT HIGH-RISK ASSESSMENT</w:t>
      </w:r>
    </w:p>
    <w:p>
      <w:pPr>
        <w:spacing w:after="240"/>
        <w:jc w:val="center"/>
      </w:pPr>
      <w:r>
        <w:rPr>
          <w:i/>
          <w:iCs/>
          <w:color w:val="595959"/>
          <w:sz w:val="20"/>
          <w:szCs w:val="20"/>
        </w:rPr>
        <w:t xml:space="preserve">CloudNative — TalentMatch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Pr>
          <w:p>
            <w:r>
              <w:rPr>
                <w:b/>
                <w:bCs/>
                <w:sz w:val="20"/>
                <w:szCs w:val="20"/>
              </w:rPr>
              <w:t xml:space="preserve">System Name</w:t>
            </w:r>
          </w:p>
        </w:tc>
        <w:tc>
          <w:tcPr>
            <w:tcW w:type="pct" w:w="70%"/>
          </w:tcPr>
          <w:p>
            <w:r>
              <w:rPr>
                <w:sz w:val="20"/>
                <w:szCs w:val="20"/>
              </w:rPr>
              <w:t xml:space="preserve">TalentMatch AI</w:t>
            </w:r>
          </w:p>
        </w:tc>
      </w:tr>
      <w:tr>
        <w:tc>
          <w:tcPr>
            <w:tcW w:type="pct" w:w="30%"/>
            <w:shd w:fill="F2F2F2" w:val="clear"/>
          </w:tcPr>
          <w:p>
            <w:r>
              <w:rPr>
                <w:b/>
                <w:bCs/>
                <w:sz w:val="20"/>
                <w:szCs w:val="20"/>
              </w:rPr>
              <w:t xml:space="preserve">Assessment Date</w:t>
            </w:r>
          </w:p>
        </w:tc>
        <w:tc>
          <w:tcPr>
            <w:tcW w:type="pct" w:w="70%"/>
          </w:tcPr>
          <w:p>
            <w:r>
              <w:rPr>
                <w:sz w:val="20"/>
                <w:szCs w:val="20"/>
              </w:rPr>
              <w:t xml:space="preserve">2026-08-20</w:t>
            </w:r>
          </w:p>
        </w:tc>
      </w:tr>
      <w:tr>
        <w:tc>
          <w:tcPr>
            <w:tcW w:type="pct" w:w="30%"/>
            <w:shd w:fill="F2F2F2" w:val="clear"/>
          </w:tcPr>
          <w:p>
            <w:r>
              <w:rPr>
                <w:b/>
                <w:bCs/>
                <w:sz w:val="20"/>
                <w:szCs w:val="20"/>
              </w:rPr>
              <w:t xml:space="preserve">Assessed By</w:t>
            </w:r>
          </w:p>
        </w:tc>
        <w:tc>
          <w:tcPr>
            <w:tcW w:type="pct" w:w="70%"/>
          </w:tcPr>
          <w:p>
            <w:r>
              <w:rPr>
                <w:sz w:val="20"/>
                <w:szCs w:val="20"/>
              </w:rPr>
              <w:t xml:space="preserve">GRC Analyst — CloudNative</w:t>
            </w:r>
          </w:p>
        </w:tc>
      </w:tr>
      <w:tr>
        <w:tc>
          <w:tcPr>
            <w:tcW w:type="pct" w:w="30%"/>
            <w:shd w:fill="F2F2F2" w:val="clear"/>
          </w:tcPr>
          <w:p>
            <w:r>
              <w:rPr>
                <w:b/>
                <w:bCs/>
                <w:sz w:val="20"/>
                <w:szCs w:val="20"/>
              </w:rPr>
              <w:t xml:space="preserve">Classification</w:t>
            </w:r>
          </w:p>
        </w:tc>
        <w:tc>
          <w:tcPr>
            <w:tcW w:type="pct" w:w="70%"/>
          </w:tcPr>
          <w:p>
            <w:r>
              <w:rPr>
                <w:sz w:val="20"/>
                <w:szCs w:val="20"/>
              </w:rPr>
              <w:t xml:space="preserve">High-Risk (EU AI Act, Annex III(4)(a))</w:t>
            </w:r>
          </w:p>
        </w:tc>
      </w:tr>
      <w:tr>
        <w:tc>
          <w:tcPr>
            <w:tcW w:type="pct" w:w="30%"/>
            <w:shd w:fill="F2F2F2" w:val="clear"/>
          </w:tcPr>
          <w:p>
            <w:r>
              <w:rPr>
                <w:b/>
                <w:bCs/>
                <w:sz w:val="20"/>
                <w:szCs w:val="20"/>
              </w:rPr>
              <w:t xml:space="preserve">Status</w:t>
            </w:r>
          </w:p>
        </w:tc>
        <w:tc>
          <w:tcPr>
            <w:tcW w:type="pct" w:w="70%"/>
          </w:tcPr>
          <w:p>
            <w:r>
              <w:rPr>
                <w:sz w:val="20"/>
                <w:szCs w:val="20"/>
              </w:rPr>
              <w:t xml:space="preserve">Assessment complete — remediation plan in progress</w:t>
            </w:r>
          </w:p>
        </w:tc>
      </w:tr>
    </w:tbl>
    <w:p>
      <w:pPr>
        <w:pBdr>
          <w:bottom w:val="single" w:color="1F3864" w:sz="6" w:space="2"/>
        </w:pBdr>
        <w:spacing w:after="100" w:before="260"/>
      </w:pPr>
      <w:r>
        <w:rPr>
          <w:b/>
          <w:bCs/>
          <w:color w:val="1F3864"/>
          <w:sz w:val="24"/>
          <w:szCs w:val="24"/>
        </w:rPr>
        <w:t xml:space="preserve">1. Executive Summary</w:t>
      </w:r>
    </w:p>
    <w:p>
      <w:pPr>
        <w:spacing w:after="120"/>
      </w:pPr>
      <w:r>
        <w:rPr>
          <w:sz w:val="21"/>
          <w:szCs w:val="21"/>
        </w:rPr>
        <w:t xml:space="preserve">TalentMatch AI, a feature in CloudNative's HR module that ranks job applicants, is classified as High-Risk under the EU AI Act. This isn't a borderline call — recruitment and candidate-selection AI is explicitly named in the regulation. That means CloudNative has a defined set of legal obligations to meet before this feature can keep operating for clients in the EU market, covering documentation, testing, human oversight, and registration in an EU database. This report sets out the classification reasoning and what's needed to close the gap.</w:t>
      </w:r>
    </w:p>
    <w:p>
      <w:pPr>
        <w:pBdr>
          <w:bottom w:val="single" w:color="1F3864" w:sz="6" w:space="2"/>
        </w:pBdr>
        <w:spacing w:after="100" w:before="260"/>
      </w:pPr>
      <w:r>
        <w:rPr>
          <w:b/>
          <w:bCs/>
          <w:color w:val="1F3864"/>
          <w:sz w:val="24"/>
          <w:szCs w:val="24"/>
        </w:rPr>
        <w:t xml:space="preserve">2. System Description</w:t>
      </w:r>
    </w:p>
    <w:p>
      <w:pPr>
        <w:spacing w:after="120"/>
      </w:pPr>
      <w:r>
        <w:rPr>
          <w:sz w:val="21"/>
          <w:szCs w:val="21"/>
        </w:rPr>
        <w:t xml:space="preserve">TalentMatch AI is offered to CloudNative's clients as part of the HR/recruiting module. When a client posts a job opening through the platform, TalentMatch AI scores and ranks incoming applicants against the job description, using resume content, stated skills, and years of experience. Recruiters see a ranked shortlist and a per-candidate score; the system does not auto-reject candidates, but in practice most recruiters review only the top-ranked segment of the list.</w:t>
      </w:r>
    </w:p>
    <w:p>
      <w:pPr>
        <w:pBdr>
          <w:bottom w:val="single" w:color="1F3864" w:sz="6" w:space="2"/>
        </w:pBdr>
        <w:spacing w:after="100" w:before="260"/>
      </w:pPr>
      <w:r>
        <w:rPr>
          <w:b/>
          <w:bCs/>
          <w:color w:val="1F3864"/>
          <w:sz w:val="24"/>
          <w:szCs w:val="24"/>
        </w:rPr>
        <w:t xml:space="preserve">3. Classification Walkthrough</w:t>
      </w:r>
    </w:p>
    <w:p>
      <w:pPr>
        <w:spacing w:after="120"/>
      </w:pPr>
      <w:r>
        <w:rPr>
          <w:sz w:val="21"/>
          <w:szCs w:val="21"/>
        </w:rPr>
        <w:t xml:space="preserve">The EU AI Act's Annex III lists specific high-risk use cases. Annex III(4)(a) covers AI systems "intended to be used for the recruitment or selection of natural persons, in particular to place targeted job advertisements, to analyse and filter job applications, and to evaluate candidates." TalentMatch AI matches this description directly:</w:t>
      </w:r>
    </w:p>
    <w:p>
      <w:pPr>
        <w:pStyle w:val="ListParagraph"/>
        <w:numPr>
          <w:ilvl w:val="0"/>
          <w:numId w:val="1"/>
        </w:numPr>
        <w:spacing w:after="60"/>
      </w:pPr>
      <w:r>
        <w:rPr>
          <w:sz w:val="21"/>
          <w:szCs w:val="21"/>
        </w:rPr>
        <w:t xml:space="preserve">It analyses and filters job applications — yes, that's the core function.</w:t>
      </w:r>
    </w:p>
    <w:p>
      <w:pPr>
        <w:pStyle w:val="ListParagraph"/>
        <w:numPr>
          <w:ilvl w:val="0"/>
          <w:numId w:val="1"/>
        </w:numPr>
        <w:spacing w:after="60"/>
      </w:pPr>
      <w:r>
        <w:rPr>
          <w:sz w:val="21"/>
          <w:szCs w:val="21"/>
        </w:rPr>
        <w:t xml:space="preserve">It evaluates candidates and produces a ranking — yes.</w:t>
      </w:r>
    </w:p>
    <w:p>
      <w:pPr>
        <w:pStyle w:val="ListParagraph"/>
        <w:numPr>
          <w:ilvl w:val="0"/>
          <w:numId w:val="1"/>
        </w:numPr>
        <w:spacing w:after="60"/>
      </w:pPr>
      <w:r>
        <w:rPr>
          <w:sz w:val="21"/>
          <w:szCs w:val="21"/>
        </w:rPr>
        <w:t xml:space="preserve">The output materially affects a natural person's access to employment — yes: candidates ranked low are, in practice, far less likely to be reviewed by a human recruiter, even though no automatic rejection occurs.</w:t>
      </w:r>
    </w:p>
    <w:p>
      <w:pPr>
        <w:spacing w:after="120"/>
      </w:pPr>
      <w:r>
        <w:rPr>
          <w:sz w:val="21"/>
          <w:szCs w:val="21"/>
        </w:rPr>
        <w:t xml:space="preserve">The "no auto-reject" design does not change the classification. Annex III(4)(a) covers systems used to filter and evaluate candidates — it does not require the system to make the final decision autonomously. A ranking that heavily influences which candidates a human even looks at is squarely within scope.</w:t>
      </w:r>
    </w:p>
    <w:p>
      <w:pPr>
        <w:pBdr>
          <w:bottom w:val="single" w:color="1F3864" w:sz="6" w:space="2"/>
        </w:pBdr>
        <w:spacing w:after="100" w:before="260"/>
      </w:pPr>
      <w:r>
        <w:rPr>
          <w:b/>
          <w:bCs/>
          <w:color w:val="1F3864"/>
          <w:sz w:val="24"/>
          <w:szCs w:val="24"/>
        </w:rPr>
        <w:t xml:space="preserve">4. Obligations Triggered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Pr>
          <w:p>
            <w:r>
              <w:rPr>
                <w:b/>
                <w:bCs/>
                <w:sz w:val="20"/>
                <w:szCs w:val="20"/>
              </w:rPr>
              <w:t xml:space="preserve">Risk management system (Art. 9)</w:t>
            </w:r>
          </w:p>
        </w:tc>
        <w:tc>
          <w:tcPr>
            <w:tcW w:type="pct" w:w="70%"/>
          </w:tcPr>
          <w:p>
            <w:r>
              <w:rPr>
                <w:sz w:val="20"/>
                <w:szCs w:val="20"/>
              </w:rPr>
              <w:t xml:space="preserve">Establish and maintain an ongoing risk-management process across the system's lifecycle, not a one-time assessment.</w:t>
            </w:r>
          </w:p>
        </w:tc>
      </w:tr>
      <w:tr>
        <w:tc>
          <w:tcPr>
            <w:tcW w:type="pct" w:w="30%"/>
            <w:shd w:fill="F2F2F2" w:val="clear"/>
          </w:tcPr>
          <w:p>
            <w:r>
              <w:rPr>
                <w:b/>
                <w:bCs/>
                <w:sz w:val="20"/>
                <w:szCs w:val="20"/>
              </w:rPr>
              <w:t xml:space="preserve">Data governance (Art. 10)</w:t>
            </w:r>
          </w:p>
        </w:tc>
        <w:tc>
          <w:tcPr>
            <w:tcW w:type="pct" w:w="70%"/>
          </w:tcPr>
          <w:p>
            <w:r>
              <w:rPr>
                <w:sz w:val="20"/>
                <w:szCs w:val="20"/>
              </w:rPr>
              <w:t xml:space="preserve">Training/validation data must be examined for relevance, representativeness, and bias — particularly important here given known risks of resume-screening models replicating historical hiring bias.</w:t>
            </w:r>
          </w:p>
        </w:tc>
      </w:tr>
      <w:tr>
        <w:tc>
          <w:tcPr>
            <w:tcW w:type="pct" w:w="30%"/>
            <w:shd w:fill="F2F2F2" w:val="clear"/>
          </w:tcPr>
          <w:p>
            <w:r>
              <w:rPr>
                <w:b/>
                <w:bCs/>
                <w:sz w:val="20"/>
                <w:szCs w:val="20"/>
              </w:rPr>
              <w:t xml:space="preserve">Technical documentation (Art. 11)</w:t>
            </w:r>
          </w:p>
        </w:tc>
        <w:tc>
          <w:tcPr>
            <w:tcW w:type="pct" w:w="70%"/>
          </w:tcPr>
          <w:p>
            <w:r>
              <w:rPr>
                <w:sz w:val="20"/>
                <w:szCs w:val="20"/>
              </w:rPr>
              <w:t xml:space="preserve">Maintain documentation sufficient to show compliance — model design, training data provenance, testing results.</w:t>
            </w:r>
          </w:p>
        </w:tc>
      </w:tr>
      <w:tr>
        <w:tc>
          <w:tcPr>
            <w:tcW w:type="pct" w:w="30%"/>
            <w:shd w:fill="F2F2F2" w:val="clear"/>
          </w:tcPr>
          <w:p>
            <w:r>
              <w:rPr>
                <w:b/>
                <w:bCs/>
                <w:sz w:val="20"/>
                <w:szCs w:val="20"/>
              </w:rPr>
              <w:t xml:space="preserve">Record-keeping / logging (Art. 12)</w:t>
            </w:r>
          </w:p>
        </w:tc>
        <w:tc>
          <w:tcPr>
            <w:tcW w:type="pct" w:w="70%"/>
          </w:tcPr>
          <w:p>
            <w:r>
              <w:rPr>
                <w:sz w:val="20"/>
                <w:szCs w:val="20"/>
              </w:rPr>
              <w:t xml:space="preserve">The system must log events (e.g. each scoring decision) to enable traceability.</w:t>
            </w:r>
          </w:p>
        </w:tc>
      </w:tr>
      <w:tr>
        <w:tc>
          <w:tcPr>
            <w:tcW w:type="pct" w:w="30%"/>
            <w:shd w:fill="F2F2F2" w:val="clear"/>
          </w:tcPr>
          <w:p>
            <w:r>
              <w:rPr>
                <w:b/>
                <w:bCs/>
                <w:sz w:val="20"/>
                <w:szCs w:val="20"/>
              </w:rPr>
              <w:t xml:space="preserve">Transparency to deployers (Art. 13)</w:t>
            </w:r>
          </w:p>
        </w:tc>
        <w:tc>
          <w:tcPr>
            <w:tcW w:type="pct" w:w="70%"/>
          </w:tcPr>
          <w:p>
            <w:r>
              <w:rPr>
                <w:sz w:val="20"/>
                <w:szCs w:val="20"/>
              </w:rPr>
              <w:t xml:space="preserve">CloudNative's clients (the deployers) must be given clear information on the system's capabilities, limitations, and intended use.</w:t>
            </w:r>
          </w:p>
        </w:tc>
      </w:tr>
      <w:tr>
        <w:tc>
          <w:tcPr>
            <w:tcW w:type="pct" w:w="30%"/>
            <w:shd w:fill="F2F2F2" w:val="clear"/>
          </w:tcPr>
          <w:p>
            <w:r>
              <w:rPr>
                <w:b/>
                <w:bCs/>
                <w:sz w:val="20"/>
                <w:szCs w:val="20"/>
              </w:rPr>
              <w:t xml:space="preserve">Human oversight (Art. 14)</w:t>
            </w:r>
          </w:p>
        </w:tc>
        <w:tc>
          <w:tcPr>
            <w:tcW w:type="pct" w:w="70%"/>
          </w:tcPr>
          <w:p>
            <w:r>
              <w:rPr>
                <w:sz w:val="20"/>
                <w:szCs w:val="20"/>
              </w:rPr>
              <w:t xml:space="preserve">Recruiters must be able to understand, review, and override the ranking — not just click through it. Current UI does not clearly support this; see Gap 1 below.</w:t>
            </w:r>
          </w:p>
        </w:tc>
      </w:tr>
      <w:tr>
        <w:tc>
          <w:tcPr>
            <w:tcW w:type="pct" w:w="30%"/>
            <w:shd w:fill="F2F2F2" w:val="clear"/>
          </w:tcPr>
          <w:p>
            <w:r>
              <w:rPr>
                <w:b/>
                <w:bCs/>
                <w:sz w:val="20"/>
                <w:szCs w:val="20"/>
              </w:rPr>
              <w:t xml:space="preserve">Accuracy, robustness, cybersecurity (Art. 15)</w:t>
            </w:r>
          </w:p>
        </w:tc>
        <w:tc>
          <w:tcPr>
            <w:tcW w:type="pct" w:w="70%"/>
          </w:tcPr>
          <w:p>
            <w:r>
              <w:rPr>
                <w:sz w:val="20"/>
                <w:szCs w:val="20"/>
              </w:rPr>
              <w:t xml:space="preserve">Ongoing testing for accuracy and resilience against manipulation (e.g. keyword-stuffed resumes).</w:t>
            </w:r>
          </w:p>
        </w:tc>
      </w:tr>
      <w:tr>
        <w:tc>
          <w:tcPr>
            <w:tcW w:type="pct" w:w="30%"/>
            <w:shd w:fill="F2F2F2" w:val="clear"/>
          </w:tcPr>
          <w:p>
            <w:r>
              <w:rPr>
                <w:b/>
                <w:bCs/>
                <w:sz w:val="20"/>
                <w:szCs w:val="20"/>
              </w:rPr>
              <w:t xml:space="preserve">Conformity assessment &amp; EU database registration (Art. 43, 49)</w:t>
            </w:r>
          </w:p>
        </w:tc>
        <w:tc>
          <w:tcPr>
            <w:tcW w:type="pct" w:w="70%"/>
          </w:tcPr>
          <w:p>
            <w:r>
              <w:rPr>
                <w:sz w:val="20"/>
                <w:szCs w:val="20"/>
              </w:rPr>
              <w:t xml:space="preserve">Before continued deployment to EU clients, a conformity assessment must be completed and the system registered in the EU high-risk AI database.</w:t>
            </w:r>
          </w:p>
        </w:tc>
      </w:tr>
    </w:tbl>
    <w:p>
      <w:pPr>
        <w:pBdr>
          <w:bottom w:val="single" w:color="1F3864" w:sz="6" w:space="2"/>
        </w:pBdr>
        <w:spacing w:after="100" w:before="260"/>
      </w:pPr>
      <w:r>
        <w:rPr>
          <w:b/>
          <w:bCs/>
          <w:color w:val="1F3864"/>
          <w:sz w:val="24"/>
          <w:szCs w:val="24"/>
        </w:rPr>
        <w:t xml:space="preserve">5. Gaps Identified</w:t>
      </w:r>
    </w:p>
    <w:p>
      <w:pPr>
        <w:pStyle w:val="ListParagraph"/>
        <w:numPr>
          <w:ilvl w:val="0"/>
          <w:numId w:val="1"/>
        </w:numPr>
        <w:spacing w:after="60"/>
      </w:pPr>
      <w:r>
        <w:rPr>
          <w:sz w:val="21"/>
          <w:szCs w:val="21"/>
        </w:rPr>
        <w:t xml:space="preserve">Gap 1 — Human oversight: recruiters currently see a ranked list with no visible explanation of why a candidate scored the way they did, and no documented process requiring them to review lower-ranked candidates before closing a role. This falls short of Article 14's requirement for meaningful human oversight.</w:t>
      </w:r>
    </w:p>
    <w:p>
      <w:pPr>
        <w:pStyle w:val="ListParagraph"/>
        <w:numPr>
          <w:ilvl w:val="0"/>
          <w:numId w:val="1"/>
        </w:numPr>
        <w:spacing w:after="60"/>
      </w:pPr>
      <w:r>
        <w:rPr>
          <w:sz w:val="21"/>
          <w:szCs w:val="21"/>
        </w:rPr>
        <w:t xml:space="preserve">Gap 2 — Bias testing: no documented bias audit exists for the ranking model against protected characteristics (proxies like university name, employment gaps, or address can correlate with protected attributes even when not used directly).</w:t>
      </w:r>
    </w:p>
    <w:p>
      <w:pPr>
        <w:pStyle w:val="ListParagraph"/>
        <w:numPr>
          <w:ilvl w:val="0"/>
          <w:numId w:val="1"/>
        </w:numPr>
        <w:spacing w:after="60"/>
      </w:pPr>
      <w:r>
        <w:rPr>
          <w:sz w:val="21"/>
          <w:szCs w:val="21"/>
        </w:rPr>
        <w:t xml:space="preserve">Gap 3 — No EU high-risk AI database registration has been completed.</w:t>
      </w:r>
    </w:p>
    <w:p>
      <w:pPr>
        <w:pBdr>
          <w:bottom w:val="single" w:color="1F3864" w:sz="6" w:space="2"/>
        </w:pBdr>
        <w:spacing w:after="100" w:before="260"/>
      </w:pPr>
      <w:r>
        <w:rPr>
          <w:b/>
          <w:bCs/>
          <w:color w:val="1F3864"/>
          <w:sz w:val="24"/>
          <w:szCs w:val="24"/>
        </w:rPr>
        <w:t xml:space="preserve">6. Recommended Remediation Priority</w:t>
      </w:r>
    </w:p>
    <w:p>
      <w:pPr>
        <w:pStyle w:val="ListParagraph"/>
        <w:numPr>
          <w:ilvl w:val="0"/>
          <w:numId w:val="1"/>
        </w:numPr>
        <w:spacing w:after="60"/>
      </w:pPr>
      <w:r>
        <w:rPr>
          <w:sz w:val="21"/>
          <w:szCs w:val="21"/>
        </w:rPr>
        <w:t xml:space="preserve">Priority 1 (before any further EU client onboarding): complete a bias audit of the ranking model and document the methodology and results.</w:t>
      </w:r>
    </w:p>
    <w:p>
      <w:pPr>
        <w:pStyle w:val="ListParagraph"/>
        <w:numPr>
          <w:ilvl w:val="0"/>
          <w:numId w:val="1"/>
        </w:numPr>
        <w:spacing w:after="60"/>
      </w:pPr>
      <w:r>
        <w:rPr>
          <w:sz w:val="21"/>
          <w:szCs w:val="21"/>
        </w:rPr>
        <w:t xml:space="preserve">Priority 1: add a "why this ranking" explanation view and require recruiters to actively acknowledge reviewing at least the next 20% of applicants below the visible cutoff, before closing a requisition.</w:t>
      </w:r>
    </w:p>
    <w:p>
      <w:pPr>
        <w:pStyle w:val="ListParagraph"/>
        <w:numPr>
          <w:ilvl w:val="0"/>
          <w:numId w:val="1"/>
        </w:numPr>
        <w:spacing w:after="60"/>
      </w:pPr>
      <w:r>
        <w:rPr>
          <w:sz w:val="21"/>
          <w:szCs w:val="21"/>
        </w:rPr>
        <w:t xml:space="preserve">Priority 2: complete technical documentation package and submit for conformity assessment and EU database registration.</w:t>
      </w:r>
    </w:p>
    <w:p>
      <w:pPr>
        <w:pBdr>
          <w:bottom w:val="single" w:color="1F3864" w:sz="6" w:space="2"/>
        </w:pBdr>
        <w:spacing w:after="100" w:before="260"/>
      </w:pPr>
      <w:r>
        <w:rPr>
          <w:b/>
          <w:bCs/>
          <w:color w:val="1F3864"/>
          <w:sz w:val="24"/>
          <w:szCs w:val="24"/>
        </w:rPr>
        <w:t xml:space="preserve">7. What This Assessment Does Not Cover</w:t>
      </w:r>
    </w:p>
    <w:p>
      <w:pPr>
        <w:spacing w:after="120"/>
      </w:pPr>
      <w:r>
        <w:rPr>
          <w:sz w:val="21"/>
          <w:szCs w:val="21"/>
        </w:rPr>
        <w:t xml:space="preserve">This assessment addresses classification and the obligations that follow from it. It does not constitute legal advice, and a qualified legal review is required before relying on this classification for a regulatory filing or client-facing compliance claim. Obligations and enforcement timelines under the EU AI Act are subject to the Act's staggered implementation schedule, which should be reconfirmed against the current compliance deadline at the time this is acted on.</w:t>
      </w:r>
    </w:p>
    <w:sectPr>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2026-09-05T16:25:52.254Z</dcterms:created>
  <dcterms:modified xsi:type="dcterms:W3CDTF">2026-09-05T16:25:52.265Z</dcterms:modified>
</cp:coreProperties>
</file>

<file path=docProps/custom.xml><?xml version="1.0" encoding="utf-8"?>
<Properties xmlns="http://schemas.openxmlformats.org/officeDocument/2006/custom-properties" xmlns:vt="http://schemas.openxmlformats.org/officeDocument/2006/docPropsVTypes"/>
</file>