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A539C" w14:textId="77777777" w:rsidR="009B1C92" w:rsidRDefault="00000000">
      <w:pPr>
        <w:spacing w:after="40"/>
        <w:jc w:val="center"/>
      </w:pPr>
      <w:r>
        <w:rPr>
          <w:b/>
          <w:bCs/>
          <w:color w:val="1F3864"/>
          <w:sz w:val="32"/>
          <w:szCs w:val="32"/>
        </w:rPr>
        <w:t>RISK ACCEPTANCE FORM</w:t>
      </w:r>
    </w:p>
    <w:p w14:paraId="02763B87" w14:textId="77777777" w:rsidR="009B1C92" w:rsidRDefault="00000000">
      <w:pPr>
        <w:spacing w:after="240"/>
        <w:jc w:val="center"/>
      </w:pPr>
      <w:r>
        <w:rPr>
          <w:i/>
          <w:iCs/>
          <w:color w:val="595959"/>
        </w:rPr>
        <w:t>CloudNative — Information Security Risk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3"/>
        <w:gridCol w:w="7413"/>
      </w:tblGrid>
      <w:tr w:rsidR="009B1C92" w14:paraId="5981BB59" w14:textId="77777777">
        <w:tblPrEx>
          <w:tblCellMar>
            <w:top w:w="0" w:type="dxa"/>
            <w:bottom w:w="0" w:type="dxa"/>
          </w:tblCellMar>
        </w:tblPrEx>
        <w:tc>
          <w:tcPr>
            <w:tcW w:w="1400" w:type="pct"/>
            <w:shd w:val="clear" w:color="auto" w:fill="F2F2F2"/>
          </w:tcPr>
          <w:p w14:paraId="0CD651D5" w14:textId="77777777" w:rsidR="009B1C92" w:rsidRDefault="00000000">
            <w:r>
              <w:rPr>
                <w:b/>
                <w:bCs/>
              </w:rPr>
              <w:t>Risk ID</w:t>
            </w:r>
          </w:p>
        </w:tc>
        <w:tc>
          <w:tcPr>
            <w:tcW w:w="3600" w:type="pct"/>
          </w:tcPr>
          <w:p w14:paraId="150E1D2B" w14:textId="77777777" w:rsidR="009B1C92" w:rsidRDefault="00000000">
            <w:r>
              <w:t>RA-001</w:t>
            </w:r>
          </w:p>
        </w:tc>
      </w:tr>
      <w:tr w:rsidR="009B1C92" w14:paraId="15757142" w14:textId="77777777">
        <w:tblPrEx>
          <w:tblCellMar>
            <w:top w:w="0" w:type="dxa"/>
            <w:bottom w:w="0" w:type="dxa"/>
          </w:tblCellMar>
        </w:tblPrEx>
        <w:tc>
          <w:tcPr>
            <w:tcW w:w="1400" w:type="pct"/>
            <w:shd w:val="clear" w:color="auto" w:fill="F2F2F2"/>
          </w:tcPr>
          <w:p w14:paraId="60FD33E3" w14:textId="77777777" w:rsidR="009B1C92" w:rsidRDefault="00000000">
            <w:r>
              <w:rPr>
                <w:b/>
                <w:bCs/>
              </w:rPr>
              <w:t>Date Raised</w:t>
            </w:r>
          </w:p>
        </w:tc>
        <w:tc>
          <w:tcPr>
            <w:tcW w:w="3600" w:type="pct"/>
          </w:tcPr>
          <w:p w14:paraId="6CBC78DC" w14:textId="77777777" w:rsidR="009B1C92" w:rsidRDefault="00000000">
            <w:r>
              <w:t>2026-08-14</w:t>
            </w:r>
          </w:p>
        </w:tc>
      </w:tr>
      <w:tr w:rsidR="009B1C92" w14:paraId="03E76294" w14:textId="77777777">
        <w:tblPrEx>
          <w:tblCellMar>
            <w:top w:w="0" w:type="dxa"/>
            <w:bottom w:w="0" w:type="dxa"/>
          </w:tblCellMar>
        </w:tblPrEx>
        <w:tc>
          <w:tcPr>
            <w:tcW w:w="1400" w:type="pct"/>
            <w:shd w:val="clear" w:color="auto" w:fill="F2F2F2"/>
          </w:tcPr>
          <w:p w14:paraId="5586A2A7" w14:textId="77777777" w:rsidR="009B1C92" w:rsidRDefault="00000000">
            <w:r>
              <w:rPr>
                <w:b/>
                <w:bCs/>
              </w:rPr>
              <w:t>Raised By</w:t>
            </w:r>
          </w:p>
        </w:tc>
        <w:tc>
          <w:tcPr>
            <w:tcW w:w="3600" w:type="pct"/>
          </w:tcPr>
          <w:p w14:paraId="291ACAEB" w14:textId="77777777" w:rsidR="009B1C92" w:rsidRDefault="00000000">
            <w:r>
              <w:t>GRC Analyst — CloudNative Security Team</w:t>
            </w:r>
          </w:p>
        </w:tc>
      </w:tr>
      <w:tr w:rsidR="009B1C92" w14:paraId="5D091EA4" w14:textId="77777777">
        <w:tblPrEx>
          <w:tblCellMar>
            <w:top w:w="0" w:type="dxa"/>
            <w:bottom w:w="0" w:type="dxa"/>
          </w:tblCellMar>
        </w:tblPrEx>
        <w:tc>
          <w:tcPr>
            <w:tcW w:w="1400" w:type="pct"/>
            <w:shd w:val="clear" w:color="auto" w:fill="F2F2F2"/>
          </w:tcPr>
          <w:p w14:paraId="5EBD8CFF" w14:textId="77777777" w:rsidR="009B1C92" w:rsidRDefault="00000000">
            <w:r>
              <w:rPr>
                <w:b/>
                <w:bCs/>
              </w:rPr>
              <w:t>Risk Owner (Accepting)</w:t>
            </w:r>
          </w:p>
        </w:tc>
        <w:tc>
          <w:tcPr>
            <w:tcW w:w="3600" w:type="pct"/>
          </w:tcPr>
          <w:p w14:paraId="28D70C8C" w14:textId="77777777" w:rsidR="009B1C92" w:rsidRDefault="00000000">
            <w:r>
              <w:t>Head of Finance Operations</w:t>
            </w:r>
          </w:p>
        </w:tc>
      </w:tr>
      <w:tr w:rsidR="009B1C92" w14:paraId="4218863B" w14:textId="77777777">
        <w:tblPrEx>
          <w:tblCellMar>
            <w:top w:w="0" w:type="dxa"/>
            <w:bottom w:w="0" w:type="dxa"/>
          </w:tblCellMar>
        </w:tblPrEx>
        <w:tc>
          <w:tcPr>
            <w:tcW w:w="1400" w:type="pct"/>
            <w:shd w:val="clear" w:color="auto" w:fill="F2F2F2"/>
          </w:tcPr>
          <w:p w14:paraId="41E953DE" w14:textId="77777777" w:rsidR="009B1C92" w:rsidRDefault="00000000">
            <w:r>
              <w:rPr>
                <w:b/>
                <w:bCs/>
              </w:rPr>
              <w:t>Status</w:t>
            </w:r>
          </w:p>
        </w:tc>
        <w:tc>
          <w:tcPr>
            <w:tcW w:w="3600" w:type="pct"/>
          </w:tcPr>
          <w:p w14:paraId="2F4340C5" w14:textId="77777777" w:rsidR="009B1C92" w:rsidRDefault="00000000">
            <w:r>
              <w:t>Approved</w:t>
            </w:r>
          </w:p>
        </w:tc>
      </w:tr>
      <w:tr w:rsidR="009B1C92" w14:paraId="4BC05480" w14:textId="77777777">
        <w:tblPrEx>
          <w:tblCellMar>
            <w:top w:w="0" w:type="dxa"/>
            <w:bottom w:w="0" w:type="dxa"/>
          </w:tblCellMar>
        </w:tblPrEx>
        <w:tc>
          <w:tcPr>
            <w:tcW w:w="1400" w:type="pct"/>
            <w:shd w:val="clear" w:color="auto" w:fill="F2F2F2"/>
          </w:tcPr>
          <w:p w14:paraId="41E255E8" w14:textId="77777777" w:rsidR="009B1C92" w:rsidRDefault="00000000">
            <w:r>
              <w:rPr>
                <w:b/>
                <w:bCs/>
              </w:rPr>
              <w:t>Review / Expiry Date</w:t>
            </w:r>
          </w:p>
        </w:tc>
        <w:tc>
          <w:tcPr>
            <w:tcW w:w="3600" w:type="pct"/>
          </w:tcPr>
          <w:p w14:paraId="23068245" w14:textId="77777777" w:rsidR="009B1C92" w:rsidRDefault="00000000">
            <w:r>
              <w:t>2026-09-30, or upon vendor MFA release — whichever is sooner</w:t>
            </w:r>
          </w:p>
        </w:tc>
      </w:tr>
    </w:tbl>
    <w:p w14:paraId="2C769E9F" w14:textId="77777777" w:rsidR="009B1C92" w:rsidRDefault="00000000">
      <w:pPr>
        <w:pBdr>
          <w:bottom w:val="single" w:sz="6" w:space="2" w:color="1F3864"/>
        </w:pBdr>
        <w:spacing w:before="260" w:after="100"/>
      </w:pPr>
      <w:r>
        <w:rPr>
          <w:b/>
          <w:bCs/>
          <w:color w:val="1F3864"/>
          <w:sz w:val="24"/>
          <w:szCs w:val="24"/>
        </w:rPr>
        <w:t>1. Executive Summary</w:t>
      </w:r>
    </w:p>
    <w:p w14:paraId="5DB017B8" w14:textId="77777777" w:rsidR="009B1C92" w:rsidRDefault="00000000">
      <w:pPr>
        <w:spacing w:after="120"/>
      </w:pPr>
      <w:r>
        <w:rPr>
          <w:sz w:val="21"/>
          <w:szCs w:val="21"/>
        </w:rPr>
        <w:t>A finance system used by three people in Finance Operations does not support modern login security (multi-factor authentication). The vendor is adding this capability later this year. Until then, we are accepting the risk and relying on network-level protections — only accessible over the company VPN, from approved locations — rather than replacing the system early at a cost that isn't justified by how few people use it.</w:t>
      </w:r>
    </w:p>
    <w:p w14:paraId="478AE581" w14:textId="77777777" w:rsidR="009B1C92" w:rsidRDefault="00000000">
      <w:pPr>
        <w:pBdr>
          <w:bottom w:val="single" w:sz="6" w:space="2" w:color="1F3864"/>
        </w:pBdr>
        <w:spacing w:before="260" w:after="100"/>
      </w:pPr>
      <w:r>
        <w:rPr>
          <w:b/>
          <w:bCs/>
          <w:color w:val="1F3864"/>
          <w:sz w:val="24"/>
          <w:szCs w:val="24"/>
        </w:rPr>
        <w:t>2. Risk Description</w:t>
      </w:r>
    </w:p>
    <w:p w14:paraId="369362C6" w14:textId="2FA169F2" w:rsidR="009B1C92" w:rsidRDefault="00000000">
      <w:pPr>
        <w:spacing w:after="120"/>
      </w:pPr>
      <w:r>
        <w:rPr>
          <w:sz w:val="21"/>
          <w:szCs w:val="21"/>
        </w:rPr>
        <w:t>The finance admin panel provided by</w:t>
      </w:r>
      <w:r w:rsidR="001C4A56">
        <w:rPr>
          <w:sz w:val="21"/>
          <w:szCs w:val="21"/>
          <w:lang w:val="en-US"/>
        </w:rPr>
        <w:t xml:space="preserve"> vender</w:t>
      </w:r>
      <w:r>
        <w:rPr>
          <w:sz w:val="21"/>
          <w:szCs w:val="21"/>
        </w:rPr>
        <w:t>, used by Finance Operations for reconciliation and reporting, authenticates users with a password only — it does not currently support multi-factor authentication (MFA). If a user's password were compromised (e.g. phishing, credential reuse), an attacker could gain access to financial reconciliation data and reporting functions without a second authentication factor to stop them.</w:t>
      </w:r>
    </w:p>
    <w:p w14:paraId="4F4128C2" w14:textId="77777777" w:rsidR="009B1C92" w:rsidRDefault="00000000">
      <w:pPr>
        <w:pBdr>
          <w:bottom w:val="single" w:sz="6" w:space="2" w:color="1F3864"/>
        </w:pBdr>
        <w:spacing w:before="260" w:after="100"/>
      </w:pPr>
      <w:r>
        <w:rPr>
          <w:b/>
          <w:bCs/>
          <w:color w:val="1F3864"/>
          <w:sz w:val="24"/>
          <w:szCs w:val="24"/>
        </w:rPr>
        <w:t>3. Business Justification for Acceptance</w:t>
      </w:r>
    </w:p>
    <w:p w14:paraId="11C58AB9" w14:textId="77777777" w:rsidR="009B1C92" w:rsidRDefault="00000000">
      <w:pPr>
        <w:spacing w:after="120"/>
      </w:pPr>
      <w:r>
        <w:rPr>
          <w:sz w:val="21"/>
          <w:szCs w:val="21"/>
        </w:rPr>
        <w:t>The vendor has confirmed MFA support is on their public roadmap for Q3 2026 but is not available today. Two alternatives were considered and rejected:</w:t>
      </w:r>
    </w:p>
    <w:p w14:paraId="6267926D" w14:textId="77777777" w:rsidR="009B1C92" w:rsidRDefault="00000000">
      <w:pPr>
        <w:spacing w:after="120"/>
      </w:pPr>
      <w:r>
        <w:t>• Migrate to a different finance platform ahead of schedule — estimated 3-4 months of implementation effort and a licensing cost increase, for a tool used by only 3 people.</w:t>
      </w:r>
    </w:p>
    <w:p w14:paraId="3A695AC8" w14:textId="77777777" w:rsidR="009B1C92" w:rsidRDefault="00000000">
      <w:pPr>
        <w:spacing w:after="120"/>
      </w:pPr>
      <w:r>
        <w:t>• Build a custom SSO/MFA wrapper in front of the vendor's login page — technically possible but adds a maintenance burden and a new point of failure for a system this small.</w:t>
      </w:r>
    </w:p>
    <w:p w14:paraId="76CC75CE" w14:textId="77777777" w:rsidR="009B1C92" w:rsidRDefault="00000000">
      <w:pPr>
        <w:spacing w:after="120"/>
      </w:pPr>
      <w:r>
        <w:rPr>
          <w:sz w:val="21"/>
          <w:szCs w:val="21"/>
        </w:rPr>
        <w:t>Given the limited user base and the compensating controls below, the cost of either alternative is disproportionate to the exposure. The recommendation is to accept the risk on an interim basis, not indefinitely.</w:t>
      </w:r>
    </w:p>
    <w:p w14:paraId="1CD06729" w14:textId="77777777" w:rsidR="009B1C92" w:rsidRDefault="00000000">
      <w:pPr>
        <w:pBdr>
          <w:bottom w:val="single" w:sz="6" w:space="2" w:color="1F3864"/>
        </w:pBdr>
        <w:spacing w:before="260" w:after="100"/>
      </w:pPr>
      <w:r>
        <w:rPr>
          <w:b/>
          <w:bCs/>
          <w:color w:val="1F3864"/>
          <w:sz w:val="24"/>
          <w:szCs w:val="24"/>
        </w:rPr>
        <w:t>4. Risk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3"/>
        <w:gridCol w:w="7413"/>
      </w:tblGrid>
      <w:tr w:rsidR="009B1C92" w14:paraId="676382D7" w14:textId="77777777">
        <w:tblPrEx>
          <w:tblCellMar>
            <w:top w:w="0" w:type="dxa"/>
            <w:bottom w:w="0" w:type="dxa"/>
          </w:tblCellMar>
        </w:tblPrEx>
        <w:tc>
          <w:tcPr>
            <w:tcW w:w="1400" w:type="pct"/>
            <w:shd w:val="clear" w:color="auto" w:fill="F2F2F2"/>
          </w:tcPr>
          <w:p w14:paraId="0212452C" w14:textId="77777777" w:rsidR="009B1C92" w:rsidRDefault="00000000">
            <w:r>
              <w:rPr>
                <w:b/>
                <w:bCs/>
              </w:rPr>
              <w:t>Likelihood (pre-controls)</w:t>
            </w:r>
          </w:p>
        </w:tc>
        <w:tc>
          <w:tcPr>
            <w:tcW w:w="3600" w:type="pct"/>
          </w:tcPr>
          <w:p w14:paraId="11F46215" w14:textId="77777777" w:rsidR="009B1C92" w:rsidRDefault="00000000">
            <w:r>
              <w:t>Medium — password-only auth is a known, common attack vector (phishing, credential stuffing).</w:t>
            </w:r>
          </w:p>
        </w:tc>
      </w:tr>
      <w:tr w:rsidR="009B1C92" w14:paraId="23575A4B" w14:textId="77777777">
        <w:tblPrEx>
          <w:tblCellMar>
            <w:top w:w="0" w:type="dxa"/>
            <w:bottom w:w="0" w:type="dxa"/>
          </w:tblCellMar>
        </w:tblPrEx>
        <w:tc>
          <w:tcPr>
            <w:tcW w:w="1400" w:type="pct"/>
            <w:shd w:val="clear" w:color="auto" w:fill="F2F2F2"/>
          </w:tcPr>
          <w:p w14:paraId="6F9F6053" w14:textId="77777777" w:rsidR="009B1C92" w:rsidRDefault="00000000">
            <w:r>
              <w:rPr>
                <w:b/>
                <w:bCs/>
              </w:rPr>
              <w:t>Impact if realized</w:t>
            </w:r>
          </w:p>
        </w:tc>
        <w:tc>
          <w:tcPr>
            <w:tcW w:w="3600" w:type="pct"/>
          </w:tcPr>
          <w:p w14:paraId="503F3169" w14:textId="77777777" w:rsidR="009B1C92" w:rsidRDefault="00000000">
            <w:r>
              <w:t>Medium — exposure limited to finance reconciliation/reporting data for one internal tool; no direct customer data or payment credentials held in this system.</w:t>
            </w:r>
          </w:p>
        </w:tc>
      </w:tr>
      <w:tr w:rsidR="009B1C92" w14:paraId="3356B301" w14:textId="77777777">
        <w:tblPrEx>
          <w:tblCellMar>
            <w:top w:w="0" w:type="dxa"/>
            <w:bottom w:w="0" w:type="dxa"/>
          </w:tblCellMar>
        </w:tblPrEx>
        <w:tc>
          <w:tcPr>
            <w:tcW w:w="1400" w:type="pct"/>
            <w:shd w:val="clear" w:color="auto" w:fill="F2F2F2"/>
          </w:tcPr>
          <w:p w14:paraId="692FBE38" w14:textId="77777777" w:rsidR="009B1C92" w:rsidRDefault="00000000">
            <w:r>
              <w:rPr>
                <w:b/>
                <w:bCs/>
              </w:rPr>
              <w:t>Residual Risk (post-controls)</w:t>
            </w:r>
          </w:p>
        </w:tc>
        <w:tc>
          <w:tcPr>
            <w:tcW w:w="3600" w:type="pct"/>
          </w:tcPr>
          <w:p w14:paraId="67A1556A" w14:textId="77777777" w:rsidR="009B1C92" w:rsidRDefault="00000000">
            <w:r>
              <w:t>Medium — compensating controls reduce likelihood significantly but do not eliminate the underlying gap.</w:t>
            </w:r>
          </w:p>
        </w:tc>
      </w:tr>
    </w:tbl>
    <w:p w14:paraId="201DEBA2" w14:textId="77777777" w:rsidR="009B1C92" w:rsidRDefault="00000000">
      <w:pPr>
        <w:pBdr>
          <w:bottom w:val="single" w:sz="6" w:space="2" w:color="1F3864"/>
        </w:pBdr>
        <w:spacing w:before="260" w:after="100"/>
      </w:pPr>
      <w:r>
        <w:rPr>
          <w:b/>
          <w:bCs/>
          <w:color w:val="1F3864"/>
          <w:sz w:val="24"/>
          <w:szCs w:val="24"/>
        </w:rPr>
        <w:t>5. Compensating Controls</w:t>
      </w:r>
    </w:p>
    <w:p w14:paraId="36E55728" w14:textId="77777777" w:rsidR="009B1C92" w:rsidRDefault="00000000">
      <w:pPr>
        <w:spacing w:after="120"/>
      </w:pPr>
      <w:r>
        <w:t>• Access restricted to the company VPN — the tool is not reachable from the open internet.</w:t>
      </w:r>
    </w:p>
    <w:p w14:paraId="174D60F1" w14:textId="77777777" w:rsidR="009B1C92" w:rsidRDefault="00000000">
      <w:pPr>
        <w:spacing w:after="120"/>
      </w:pPr>
      <w:r>
        <w:t>• IP allowlisting on the vendor side, limited to CloudNative's egress IP ranges.</w:t>
      </w:r>
    </w:p>
    <w:p w14:paraId="0E8CB500" w14:textId="77777777" w:rsidR="009B1C92" w:rsidRDefault="00000000">
      <w:pPr>
        <w:spacing w:after="120"/>
      </w:pPr>
      <w:r>
        <w:t>• All 3 users required to use unique, high-strength passwords generated and stored via the company password manager.</w:t>
      </w:r>
    </w:p>
    <w:p w14:paraId="4708845C" w14:textId="77777777" w:rsidR="009B1C92" w:rsidRDefault="00000000">
      <w:pPr>
        <w:spacing w:after="120"/>
      </w:pPr>
      <w:r>
        <w:t>• Quarterly access review to confirm only current Finance Operations staff retain access.</w:t>
      </w:r>
    </w:p>
    <w:p w14:paraId="2CCAA294" w14:textId="77777777" w:rsidR="009B1C92" w:rsidRDefault="00000000">
      <w:pPr>
        <w:pBdr>
          <w:bottom w:val="single" w:sz="6" w:space="2" w:color="1F3864"/>
        </w:pBdr>
        <w:spacing w:before="260" w:after="100"/>
      </w:pPr>
      <w:r>
        <w:rPr>
          <w:b/>
          <w:bCs/>
          <w:color w:val="1F3864"/>
          <w:sz w:val="24"/>
          <w:szCs w:val="24"/>
        </w:rPr>
        <w:t>6. Review Trigger</w:t>
      </w:r>
    </w:p>
    <w:p w14:paraId="74CBC37B" w14:textId="77777777" w:rsidR="009B1C92" w:rsidRDefault="00000000">
      <w:pPr>
        <w:spacing w:after="120"/>
      </w:pPr>
      <w:r>
        <w:rPr>
          <w:sz w:val="21"/>
          <w:szCs w:val="21"/>
        </w:rPr>
        <w:t>This acceptance is reviewed automatically if either condition is met, whichever comes first: (a) the vendor releases MFA support, at which point it must be enabled within 30 days, or (b) 2026-09-30 arrives without MFA support, at which point this form must be re-submitted with updated justification or the tool must be replaced.</w:t>
      </w:r>
    </w:p>
    <w:p w14:paraId="48173CF8" w14:textId="77777777" w:rsidR="009B1C92" w:rsidRDefault="00000000">
      <w:pPr>
        <w:pBdr>
          <w:bottom w:val="single" w:sz="6" w:space="2" w:color="1F3864"/>
        </w:pBdr>
        <w:spacing w:before="260" w:after="100"/>
      </w:pPr>
      <w:r>
        <w:rPr>
          <w:b/>
          <w:bCs/>
          <w:color w:val="1F3864"/>
          <w:sz w:val="24"/>
          <w:szCs w:val="24"/>
        </w:rPr>
        <w:t>7.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3"/>
        <w:gridCol w:w="7413"/>
      </w:tblGrid>
      <w:tr w:rsidR="009B1C92" w14:paraId="22DAA8E8" w14:textId="77777777">
        <w:tblPrEx>
          <w:tblCellMar>
            <w:top w:w="0" w:type="dxa"/>
            <w:bottom w:w="0" w:type="dxa"/>
          </w:tblCellMar>
        </w:tblPrEx>
        <w:tc>
          <w:tcPr>
            <w:tcW w:w="1400" w:type="pct"/>
            <w:shd w:val="clear" w:color="auto" w:fill="F2F2F2"/>
          </w:tcPr>
          <w:p w14:paraId="3E8AD687" w14:textId="77777777" w:rsidR="009B1C92" w:rsidRDefault="00000000">
            <w:r>
              <w:rPr>
                <w:b/>
                <w:bCs/>
              </w:rPr>
              <w:t>Risk Owner Sign-off</w:t>
            </w:r>
          </w:p>
        </w:tc>
        <w:tc>
          <w:tcPr>
            <w:tcW w:w="3600" w:type="pct"/>
          </w:tcPr>
          <w:p w14:paraId="6F54CA1D" w14:textId="77777777" w:rsidR="009B1C92" w:rsidRDefault="00000000">
            <w:r>
              <w:t>Head of Finance Operations — accepts residual risk on behalf of the business function</w:t>
            </w:r>
          </w:p>
        </w:tc>
      </w:tr>
      <w:tr w:rsidR="009B1C92" w14:paraId="097162ED" w14:textId="77777777">
        <w:tblPrEx>
          <w:tblCellMar>
            <w:top w:w="0" w:type="dxa"/>
            <w:bottom w:w="0" w:type="dxa"/>
          </w:tblCellMar>
        </w:tblPrEx>
        <w:tc>
          <w:tcPr>
            <w:tcW w:w="1400" w:type="pct"/>
            <w:shd w:val="clear" w:color="auto" w:fill="F2F2F2"/>
          </w:tcPr>
          <w:p w14:paraId="398E9530" w14:textId="77777777" w:rsidR="009B1C92" w:rsidRDefault="00000000">
            <w:r>
              <w:rPr>
                <w:b/>
                <w:bCs/>
              </w:rPr>
              <w:t>GRC / Security Countersign</w:t>
            </w:r>
          </w:p>
        </w:tc>
        <w:tc>
          <w:tcPr>
            <w:tcW w:w="3600" w:type="pct"/>
          </w:tcPr>
          <w:p w14:paraId="2DFE222A" w14:textId="77777777" w:rsidR="009B1C92" w:rsidRDefault="00000000">
            <w:r>
              <w:t>GRC Analyst — confirms compensating controls are documented and in place</w:t>
            </w:r>
          </w:p>
        </w:tc>
      </w:tr>
      <w:tr w:rsidR="009B1C92" w14:paraId="463572D9" w14:textId="77777777">
        <w:tblPrEx>
          <w:tblCellMar>
            <w:top w:w="0" w:type="dxa"/>
            <w:bottom w:w="0" w:type="dxa"/>
          </w:tblCellMar>
        </w:tblPrEx>
        <w:tc>
          <w:tcPr>
            <w:tcW w:w="1400" w:type="pct"/>
            <w:shd w:val="clear" w:color="auto" w:fill="F2F2F2"/>
          </w:tcPr>
          <w:p w14:paraId="5DECE461" w14:textId="77777777" w:rsidR="009B1C92" w:rsidRDefault="00000000">
            <w:r>
              <w:rPr>
                <w:b/>
                <w:bCs/>
              </w:rPr>
              <w:lastRenderedPageBreak/>
              <w:t>Escalation</w:t>
            </w:r>
          </w:p>
        </w:tc>
        <w:tc>
          <w:tcPr>
            <w:tcW w:w="3600" w:type="pct"/>
          </w:tcPr>
          <w:p w14:paraId="6402459D" w14:textId="77777777" w:rsidR="009B1C92" w:rsidRDefault="00000000">
            <w:r>
              <w:t>If residual risk is later assessed as High, this acceptance requires CISO sign-off, not Risk Owner sign-off alone.</w:t>
            </w:r>
          </w:p>
        </w:tc>
      </w:tr>
    </w:tbl>
    <w:p w14:paraId="0B83CE5E" w14:textId="77777777" w:rsidR="00716AF9" w:rsidRDefault="00716AF9"/>
    <w:sectPr w:rsidR="00716AF9">
      <w:pgSz w:w="11906" w:h="16838"/>
      <w:pgMar w:top="700" w:right="800" w:bottom="7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B4F3B"/>
    <w:multiLevelType w:val="hybridMultilevel"/>
    <w:tmpl w:val="ADF8A568"/>
    <w:lvl w:ilvl="0" w:tplc="25AA76BE">
      <w:start w:val="1"/>
      <w:numFmt w:val="bullet"/>
      <w:lvlText w:val="●"/>
      <w:lvlJc w:val="left"/>
      <w:pPr>
        <w:ind w:left="720" w:hanging="360"/>
      </w:pPr>
    </w:lvl>
    <w:lvl w:ilvl="1" w:tplc="F71CA888">
      <w:start w:val="1"/>
      <w:numFmt w:val="bullet"/>
      <w:lvlText w:val="○"/>
      <w:lvlJc w:val="left"/>
      <w:pPr>
        <w:ind w:left="1440" w:hanging="360"/>
      </w:pPr>
    </w:lvl>
    <w:lvl w:ilvl="2" w:tplc="0060ACB4">
      <w:start w:val="1"/>
      <w:numFmt w:val="bullet"/>
      <w:lvlText w:val="■"/>
      <w:lvlJc w:val="left"/>
      <w:pPr>
        <w:ind w:left="2160" w:hanging="360"/>
      </w:pPr>
    </w:lvl>
    <w:lvl w:ilvl="3" w:tplc="22A443DA">
      <w:start w:val="1"/>
      <w:numFmt w:val="bullet"/>
      <w:lvlText w:val="●"/>
      <w:lvlJc w:val="left"/>
      <w:pPr>
        <w:ind w:left="2880" w:hanging="360"/>
      </w:pPr>
    </w:lvl>
    <w:lvl w:ilvl="4" w:tplc="61C88AE4">
      <w:start w:val="1"/>
      <w:numFmt w:val="bullet"/>
      <w:lvlText w:val="○"/>
      <w:lvlJc w:val="left"/>
      <w:pPr>
        <w:ind w:left="3600" w:hanging="360"/>
      </w:pPr>
    </w:lvl>
    <w:lvl w:ilvl="5" w:tplc="EC96CDFE">
      <w:start w:val="1"/>
      <w:numFmt w:val="bullet"/>
      <w:lvlText w:val="■"/>
      <w:lvlJc w:val="left"/>
      <w:pPr>
        <w:ind w:left="4320" w:hanging="360"/>
      </w:pPr>
    </w:lvl>
    <w:lvl w:ilvl="6" w:tplc="23F6DCFE">
      <w:start w:val="1"/>
      <w:numFmt w:val="bullet"/>
      <w:lvlText w:val="●"/>
      <w:lvlJc w:val="left"/>
      <w:pPr>
        <w:ind w:left="5040" w:hanging="360"/>
      </w:pPr>
    </w:lvl>
    <w:lvl w:ilvl="7" w:tplc="7F94E054">
      <w:start w:val="1"/>
      <w:numFmt w:val="bullet"/>
      <w:lvlText w:val="●"/>
      <w:lvlJc w:val="left"/>
      <w:pPr>
        <w:ind w:left="5760" w:hanging="360"/>
      </w:pPr>
    </w:lvl>
    <w:lvl w:ilvl="8" w:tplc="7E502B3C">
      <w:start w:val="1"/>
      <w:numFmt w:val="bullet"/>
      <w:lvlText w:val="●"/>
      <w:lvlJc w:val="left"/>
      <w:pPr>
        <w:ind w:left="6480" w:hanging="360"/>
      </w:pPr>
    </w:lvl>
  </w:abstractNum>
  <w:num w:numId="1" w16cid:durableId="842209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C92"/>
    <w:rsid w:val="001C4A56"/>
    <w:rsid w:val="00716AF9"/>
    <w:rsid w:val="00831643"/>
    <w:rsid w:val="009B1C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4CA7"/>
  <w15:docId w15:val="{3F426753-FE0D-4E00-AF49-436A8E15A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Maimoona Iqbal</cp:lastModifiedBy>
  <cp:revision>2</cp:revision>
  <dcterms:created xsi:type="dcterms:W3CDTF">2026-09-04T18:12:00Z</dcterms:created>
  <dcterms:modified xsi:type="dcterms:W3CDTF">2026-09-04T18:44:00Z</dcterms:modified>
</cp:coreProperties>
</file>