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ITGC WALKTHROUGH &amp; TEST CONCLUSION</w:t>
      </w:r>
    </w:p>
    <w:p>
      <w:pPr>
        <w:spacing w:after="240"/>
        <w:jc w:val="center"/>
      </w:pPr>
      <w:r>
        <w:rPr>
          <w:i/>
          <w:iCs/>
          <w:color w:val="595959"/>
          <w:sz w:val="20"/>
          <w:szCs w:val="20"/>
        </w:rPr>
        <w:t xml:space="preserve">CloudNative — Change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2F2F2" w:val="clear"/>
          </w:tcPr>
          <w:p>
            <w:r>
              <w:rPr>
                <w:b/>
                <w:bCs/>
                <w:sz w:val="20"/>
                <w:szCs w:val="20"/>
              </w:rPr>
              <w:t xml:space="preserve">Control Area</w:t>
            </w:r>
          </w:p>
        </w:tc>
        <w:tc>
          <w:tcPr>
            <w:tcW w:type="pct" w:w="70%"/>
          </w:tcPr>
          <w:p>
            <w:r>
              <w:rPr>
                <w:sz w:val="20"/>
                <w:szCs w:val="20"/>
              </w:rPr>
              <w:t xml:space="preserve">IT General Controls — Change Management</w:t>
            </w:r>
          </w:p>
        </w:tc>
      </w:tr>
      <w:tr>
        <w:tc>
          <w:tcPr>
            <w:tcW w:type="pct" w:w="30%"/>
            <w:shd w:fill="F2F2F2" w:val="clear"/>
          </w:tcPr>
          <w:p>
            <w:r>
              <w:rPr>
                <w:b/>
                <w:bCs/>
                <w:sz w:val="20"/>
                <w:szCs w:val="20"/>
              </w:rPr>
              <w:t xml:space="preserve">Period Tested</w:t>
            </w:r>
          </w:p>
        </w:tc>
        <w:tc>
          <w:tcPr>
            <w:tcW w:type="pct" w:w="70%"/>
          </w:tcPr>
          <w:p>
            <w:r>
              <w:rPr>
                <w:sz w:val="20"/>
                <w:szCs w:val="20"/>
              </w:rPr>
              <w:t xml:space="preserve">Q2 2026 (April 1 – June 30)</w:t>
            </w:r>
          </w:p>
        </w:tc>
      </w:tr>
      <w:tr>
        <w:tc>
          <w:tcPr>
            <w:tcW w:type="pct" w:w="30%"/>
            <w:shd w:fill="F2F2F2" w:val="clear"/>
          </w:tcPr>
          <w:p>
            <w:r>
              <w:rPr>
                <w:b/>
                <w:bCs/>
                <w:sz w:val="20"/>
                <w:szCs w:val="20"/>
              </w:rPr>
              <w:t xml:space="preserve">Population</w:t>
            </w:r>
          </w:p>
        </w:tc>
        <w:tc>
          <w:tcPr>
            <w:tcW w:type="pct" w:w="70%"/>
          </w:tcPr>
          <w:p>
            <w:r>
              <w:rPr>
                <w:sz w:val="20"/>
                <w:szCs w:val="20"/>
              </w:rPr>
              <w:t xml:space="preserve">260 production deployments via CI/CD pipeline</w:t>
            </w:r>
          </w:p>
        </w:tc>
      </w:tr>
      <w:tr>
        <w:tc>
          <w:tcPr>
            <w:tcW w:type="pct" w:w="30%"/>
            <w:shd w:fill="F2F2F2" w:val="clear"/>
          </w:tcPr>
          <w:p>
            <w:r>
              <w:rPr>
                <w:b/>
                <w:bCs/>
                <w:sz w:val="20"/>
                <w:szCs w:val="20"/>
              </w:rPr>
              <w:t xml:space="preserve">Sample Size</w:t>
            </w:r>
          </w:p>
        </w:tc>
        <w:tc>
          <w:tcPr>
            <w:tcW w:type="pct" w:w="70%"/>
          </w:tcPr>
          <w:p>
            <w:r>
              <w:rPr>
                <w:sz w:val="20"/>
                <w:szCs w:val="20"/>
              </w:rPr>
              <w:t xml:space="preserve">25 (random, stratified for standard + emergency changes)</w:t>
            </w:r>
          </w:p>
        </w:tc>
      </w:tr>
      <w:tr>
        <w:tc>
          <w:tcPr>
            <w:tcW w:type="pct" w:w="30%"/>
            <w:shd w:fill="F2F2F2" w:val="clear"/>
          </w:tcPr>
          <w:p>
            <w:r>
              <w:rPr>
                <w:b/>
                <w:bCs/>
                <w:sz w:val="20"/>
                <w:szCs w:val="20"/>
              </w:rPr>
              <w:t xml:space="preserve">Tested By</w:t>
            </w:r>
          </w:p>
        </w:tc>
        <w:tc>
          <w:tcPr>
            <w:tcW w:type="pct" w:w="70%"/>
          </w:tcPr>
          <w:p>
            <w:r>
              <w:rPr>
                <w:sz w:val="20"/>
                <w:szCs w:val="20"/>
              </w:rPr>
              <w:t xml:space="preserve">GRC Analyst — CloudNative</w:t>
            </w:r>
          </w:p>
        </w:tc>
      </w:tr>
      <w:tr>
        <w:tc>
          <w:tcPr>
            <w:tcW w:type="pct" w:w="30%"/>
            <w:shd w:fill="F2F2F2" w:val="clear"/>
          </w:tcPr>
          <w:p>
            <w:r>
              <w:rPr>
                <w:b/>
                <w:bCs/>
                <w:sz w:val="20"/>
                <w:szCs w:val="20"/>
              </w:rPr>
              <w:t xml:space="preserve">Conclusion</w:t>
            </w:r>
          </w:p>
        </w:tc>
        <w:tc>
          <w:tcPr>
            <w:tcW w:type="pct" w:w="70%"/>
          </w:tcPr>
          <w:p>
            <w:r>
              <w:rPr>
                <w:sz w:val="20"/>
                <w:szCs w:val="20"/>
              </w:rPr>
              <w:t xml:space="preserve">Operating effectively, with 2 exceptions noted — see Section 5</w:t>
            </w:r>
          </w:p>
        </w:tc>
      </w:tr>
    </w:tbl>
    <w:p>
      <w:pPr>
        <w:pBdr>
          <w:bottom w:val="single" w:color="1F3864" w:sz="6" w:space="2"/>
        </w:pBdr>
        <w:spacing w:after="100" w:before="260"/>
      </w:pPr>
      <w:r>
        <w:rPr>
          <w:b/>
          <w:bCs/>
          <w:color w:val="1F3864"/>
          <w:sz w:val="24"/>
          <w:szCs w:val="24"/>
        </w:rPr>
        <w:t xml:space="preserve">1. Control Objective</w:t>
      </w:r>
    </w:p>
    <w:p>
      <w:pPr>
        <w:spacing w:after="120"/>
      </w:pPr>
      <w:r>
        <w:rPr>
          <w:sz w:val="21"/>
          <w:szCs w:val="21"/>
        </w:rPr>
        <w:t xml:space="preserve">Changes to production systems are reviewed, approved by someone other than the requester prior to deployment, and tested before release — so that unauthorized, unreviewed, or untested changes cannot reach production and affect system availability, data integrity, or security.</w:t>
      </w:r>
    </w:p>
    <w:p>
      <w:pPr>
        <w:pBdr>
          <w:bottom w:val="single" w:color="1F3864" w:sz="6" w:space="2"/>
        </w:pBdr>
        <w:spacing w:after="100" w:before="260"/>
      </w:pPr>
      <w:r>
        <w:rPr>
          <w:b/>
          <w:bCs/>
          <w:color w:val="1F3864"/>
          <w:sz w:val="24"/>
          <w:szCs w:val="24"/>
        </w:rPr>
        <w:t xml:space="preserve">2. Walkthrough</w:t>
      </w:r>
    </w:p>
    <w:p>
      <w:pPr>
        <w:spacing w:after="120"/>
      </w:pPr>
      <w:r>
        <w:rPr>
          <w:sz w:val="21"/>
          <w:szCs w:val="21"/>
        </w:rPr>
        <w:t xml:space="preserve">I traced one standard change end to end to confirm the control is designed the way the Change Management Standard describes, before testing a sample against it:</w:t>
      </w:r>
    </w:p>
    <w:p>
      <w:pPr>
        <w:pStyle w:val="ListParagraph"/>
        <w:numPr>
          <w:ilvl w:val="0"/>
          <w:numId w:val="1"/>
        </w:numPr>
        <w:spacing w:after="60"/>
      </w:pPr>
      <w:r>
        <w:rPr>
          <w:sz w:val="21"/>
          <w:szCs w:val="21"/>
        </w:rPr>
        <w:t xml:space="preserve">An engineer opens a change ticket describing the change and links it to the relevant code branch.</w:t>
      </w:r>
    </w:p>
    <w:p>
      <w:pPr>
        <w:pStyle w:val="ListParagraph"/>
        <w:numPr>
          <w:ilvl w:val="0"/>
          <w:numId w:val="1"/>
        </w:numPr>
        <w:spacing w:after="60"/>
      </w:pPr>
      <w:r>
        <w:rPr>
          <w:sz w:val="21"/>
          <w:szCs w:val="21"/>
        </w:rPr>
        <w:t xml:space="preserve">A pull request is opened; CloudNative's CI pipeline automatically runs the test suite against it.</w:t>
      </w:r>
    </w:p>
    <w:p>
      <w:pPr>
        <w:pStyle w:val="ListParagraph"/>
        <w:numPr>
          <w:ilvl w:val="0"/>
          <w:numId w:val="1"/>
        </w:numPr>
        <w:spacing w:after="60"/>
      </w:pPr>
      <w:r>
        <w:rPr>
          <w:sz w:val="21"/>
          <w:szCs w:val="21"/>
        </w:rPr>
        <w:t xml:space="preserve">A second engineer (never the requester) reviews the code and the test results, and approves the pull request — this approval is the control's core requirement.</w:t>
      </w:r>
    </w:p>
    <w:p>
      <w:pPr>
        <w:pStyle w:val="ListParagraph"/>
        <w:numPr>
          <w:ilvl w:val="0"/>
          <w:numId w:val="1"/>
        </w:numPr>
        <w:spacing w:after="60"/>
      </w:pPr>
      <w:r>
        <w:rPr>
          <w:sz w:val="21"/>
          <w:szCs w:val="21"/>
        </w:rPr>
        <w:t xml:space="preserve">Only after approval does the CI/CD pipeline permit a merge to the main branch, which triggers deployment. The pipeline itself is configured to block merges without an approving review, so the sequencing (approve, then deploy) is enforced by tooling, not just by policy.</w:t>
      </w:r>
    </w:p>
    <w:p>
      <w:pPr>
        <w:spacing w:after="120"/>
      </w:pPr>
      <w:r>
        <w:rPr>
          <w:sz w:val="21"/>
          <w:szCs w:val="21"/>
        </w:rPr>
        <w:t xml:space="preserve">For emergency changes, the Change Management Standard allows deployment ahead of approval when a production incident requires an immediate fix, provided approval is obtained retroactively within 24 hours and documented in the same ticket.</w:t>
      </w:r>
    </w:p>
    <w:p>
      <w:pPr>
        <w:spacing w:after="120"/>
      </w:pPr>
      <w:r>
        <w:rPr>
          <w:sz w:val="21"/>
          <w:szCs w:val="21"/>
        </w:rPr>
        <w:t xml:space="preserve">The design of the control is sound: the CI/CD pipeline's branch-protection rules make it structurally difficult to deploy without an approving review under the standard path. The walkthrough did not identify a design gap. Testing was performed to confirm the control operated as designed across the period, not just in the one transaction walked through.</w:t>
      </w:r>
    </w:p>
    <w:p>
      <w:pPr>
        <w:pBdr>
          <w:bottom w:val="single" w:color="1F3864" w:sz="6" w:space="2"/>
        </w:pBdr>
        <w:spacing w:after="100" w:before="260"/>
      </w:pPr>
      <w:r>
        <w:rPr>
          <w:b/>
          <w:bCs/>
          <w:color w:val="1F3864"/>
          <w:sz w:val="24"/>
          <w:szCs w:val="24"/>
        </w:rPr>
        <w:t xml:space="preserve">3. Sample Selection</w:t>
      </w:r>
    </w:p>
    <w:p>
      <w:pPr>
        <w:spacing w:after="120"/>
      </w:pPr>
      <w:r>
        <w:rPr>
          <w:sz w:val="21"/>
          <w:szCs w:val="21"/>
        </w:rPr>
        <w:t xml:space="preserve">This is a high-frequency control — deployments occur multiple times per week — so a sample of 25 was selected, consistent with standard sampling guidance for controls operating more than weekly. The sample was randomly selected from the full population of 260 Q2 deployments, with the selection stratified to ensure at least one emergency-path change was included, since emergency changes follow a different approval sequence and are more likely to surface a control weakness than routine changes.</w:t>
      </w:r>
    </w:p>
    <w:p>
      <w:pPr>
        <w:pBdr>
          <w:bottom w:val="single" w:color="1F3864" w:sz="6" w:space="2"/>
        </w:pBdr>
        <w:spacing w:after="100" w:before="260"/>
      </w:pPr>
      <w:r>
        <w:rPr>
          <w:b/>
          <w:bCs/>
          <w:color w:val="1F3864"/>
          <w:sz w:val="24"/>
          <w:szCs w:val="24"/>
        </w:rPr>
        <w:t xml:space="preserve">4. Testing Performed</w:t>
      </w:r>
    </w:p>
    <w:p>
      <w:pPr>
        <w:spacing w:after="120"/>
      </w:pPr>
      <w:r>
        <w:rPr>
          <w:sz w:val="21"/>
          <w:szCs w:val="21"/>
        </w:rPr>
        <w:t xml:space="preserve">For each of the 25 sampled changes, four attributes were tested: (1) a change request was documented with a reference number, (2) approval was obtained from someone other than the requester prior to deployment — or, for emergency changes, within the 24-hour retroactive window, (3) CI pipeline test evidence exists and is retained, and (4) the deployed change matches the scope described in the approved request. Full sample-by-sample results are in CloudNative_ITGC_Change_Management_Test_Sample.xlsx.</w:t>
      </w:r>
    </w:p>
    <w:p>
      <w:pPr>
        <w:pBdr>
          <w:bottom w:val="single" w:color="1F3864" w:sz="6" w:space="2"/>
        </w:pBdr>
        <w:spacing w:after="100" w:before="260"/>
      </w:pPr>
      <w:r>
        <w:rPr>
          <w:b/>
          <w:bCs/>
          <w:color w:val="1F3864"/>
          <w:sz w:val="24"/>
          <w:szCs w:val="24"/>
        </w:rPr>
        <w:t xml:space="preserve">5. Exceptions and Conclusion</w:t>
      </w:r>
    </w:p>
    <w:p>
      <w:pPr>
        <w:spacing w:after="120"/>
      </w:pPr>
      <w:r>
        <w:rPr>
          <w:sz w:val="21"/>
          <w:szCs w:val="21"/>
        </w:rPr>
        <w:t xml:space="preserve">23 of 25 sample items passed all four attributes without exception. Two exceptions were identified:</w:t>
      </w:r>
    </w:p>
    <w:p>
      <w:pPr>
        <w:pStyle w:val="ListParagraph"/>
        <w:numPr>
          <w:ilvl w:val="0"/>
          <w:numId w:val="1"/>
        </w:numPr>
        <w:spacing w:after="60"/>
      </w:pPr>
      <w:r>
        <w:rPr>
          <w:sz w:val="21"/>
          <w:szCs w:val="21"/>
        </w:rPr>
        <w:t xml:space="preserve">Sample #14: CI pipeline test evidence could not be produced — the link to the test run had expired and no archived log was retained. The approval itself was properly documented and obtained prior to deployment; the gap is specifically in evidence retention, not in whether testing actually occurred. This points to a retention-policy gap on CI logs rather than a control-design failure.</w:t>
      </w:r>
    </w:p>
    <w:p>
      <w:pPr>
        <w:pStyle w:val="ListParagraph"/>
        <w:numPr>
          <w:ilvl w:val="0"/>
          <w:numId w:val="1"/>
        </w:numPr>
        <w:spacing w:after="60"/>
      </w:pPr>
      <w:r>
        <w:rPr>
          <w:sz w:val="21"/>
          <w:szCs w:val="21"/>
        </w:rPr>
        <w:t xml:space="preserve">Sample #25 (the emergency hotfix): deployed correctly under the emergency-change path, but approval was not obtained until 40 hours after deployment — 16 hours past the Standard's 24-hour retroactive-approval window. This is a genuine timeliness exception against the documented control, not a documentation-formatting issue.</w:t>
      </w:r>
    </w:p>
    <w:p>
      <w:pPr>
        <w:spacing w:after="120"/>
      </w:pPr>
      <w:r>
        <w:rPr>
          <w:sz w:val="21"/>
          <w:szCs w:val="21"/>
        </w:rPr>
        <w:t xml:space="preserve">Neither exception indicates an unauthorized or unreviewed change reached production — both changes were, in substance, reviewed and approved. But an ITGC test has to report what the evidence actually shows, not what most likely happened. Both are reported as exceptions because the control, as documented, was not fully met in these two instances, even though the underlying risk (an unvetted change reaching production) did not materialize.</w:t>
      </w:r>
    </w:p>
    <w:p>
      <w:pPr>
        <w:spacing w:after="120"/>
      </w:pPr>
      <w:r>
        <w:rPr>
          <w:sz w:val="21"/>
          <w:szCs w:val="21"/>
        </w:rPr>
        <w:t xml:space="preserve">Overall conclusion: the Change Management control is operating effectively. A 2-of-25 exception rate (8%) is not sufficiently pervasive to conclude the control failed, but both exceptions point to specific, fixable gaps: CI log retention needs a defined minimum retention period, and the emergency-change SLA needs either stricter enforcement or a review of whether 24 hours is realistic for the team's actual incident-response pace.</w:t>
      </w:r>
    </w:p>
    <w:p>
      <w:pPr>
        <w:pBdr>
          <w:bottom w:val="single" w:color="1F3864" w:sz="6" w:space="2"/>
        </w:pBdr>
        <w:spacing w:after="100" w:before="260"/>
      </w:pPr>
      <w:r>
        <w:rPr>
          <w:b/>
          <w:bCs/>
          <w:color w:val="1F3864"/>
          <w:sz w:val="24"/>
          <w:szCs w:val="24"/>
        </w:rPr>
        <w:t xml:space="preserve">6. Recommended Remediation</w:t>
      </w:r>
    </w:p>
    <w:p>
      <w:pPr>
        <w:pStyle w:val="ListParagraph"/>
        <w:numPr>
          <w:ilvl w:val="0"/>
          <w:numId w:val="1"/>
        </w:numPr>
        <w:spacing w:after="60"/>
      </w:pPr>
      <w:r>
        <w:rPr>
          <w:sz w:val="21"/>
          <w:szCs w:val="21"/>
        </w:rPr>
        <w:t xml:space="preserve">Configure the CI/CD platform to retain test-run logs for a minimum of 12 months, rather than relying on default expiration.</w:t>
      </w:r>
    </w:p>
    <w:p>
      <w:pPr>
        <w:pStyle w:val="ListParagraph"/>
        <w:numPr>
          <w:ilvl w:val="0"/>
          <w:numId w:val="1"/>
        </w:numPr>
        <w:spacing w:after="60"/>
      </w:pPr>
      <w:r>
        <w:rPr>
          <w:sz w:val="21"/>
          <w:szCs w:val="21"/>
        </w:rPr>
        <w:t xml:space="preserve">Add an automated reminder/escalation when an emergency change has not received retroactive approval within 20 hours — ahead of the 24-hour SLA, not after it's already breached.</w:t>
      </w:r>
    </w:p>
    <w:p>
      <w:pPr>
        <w:pBdr>
          <w:bottom w:val="single" w:color="1F3864" w:sz="6" w:space="2"/>
        </w:pBdr>
        <w:spacing w:after="100" w:before="260"/>
      </w:pPr>
      <w:r>
        <w:rPr>
          <w:b/>
          <w:bCs/>
          <w:color w:val="1F3864"/>
          <w:sz w:val="24"/>
          <w:szCs w:val="24"/>
        </w:rPr>
        <w:t xml:space="preserve">7. What This Test Does Not Cover</w:t>
      </w:r>
    </w:p>
    <w:p>
      <w:pPr>
        <w:spacing w:after="120"/>
      </w:pPr>
      <w:r>
        <w:rPr>
          <w:sz w:val="21"/>
          <w:szCs w:val="21"/>
        </w:rPr>
        <w:t xml:space="preserve">This test addresses the Change Management control only, for one control period. It does not constitute a full ITGC assessment (which would also cover Access Management, Computer Operations, and Program Development controls) and is a portfolio exercise for a fictional company, not a real audit engagement.</w:t>
      </w:r>
    </w:p>
    <w:sectPr>
      <w:pgSz w:w="11906" w:h="16838" w:orient="portrait"/>
      <w:pgMar w:top="700" w:right="800" w:bottom="7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2026-09-11T11:07:09.670Z</dcterms:created>
  <dcterms:modified xsi:type="dcterms:W3CDTF">2026-09-11T11:07:09.679Z</dcterms:modified>
</cp:coreProperties>
</file>

<file path=docProps/custom.xml><?xml version="1.0" encoding="utf-8"?>
<Properties xmlns="http://schemas.openxmlformats.org/officeDocument/2006/custom-properties" xmlns:vt="http://schemas.openxmlformats.org/officeDocument/2006/docPropsVTypes"/>
</file>