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0A9DE">
      <w:pPr>
        <w:ind w:firstLine="0" w:firstLineChars="0"/>
        <w:jc w:val="center"/>
        <w:rPr>
          <w:rFonts w:ascii="黑体" w:hAnsi="黑体" w:eastAsia="黑体"/>
          <w:b/>
          <w:bCs/>
          <w:sz w:val="36"/>
          <w:szCs w:val="36"/>
        </w:rPr>
      </w:pPr>
      <w:bookmarkStart w:id="0" w:name="_GoBack"/>
      <w:bookmarkEnd w:id="0"/>
      <w:r>
        <w:rPr>
          <w:rFonts w:hint="eastAsia" w:ascii="Heiti SC" w:hAnsi="Heiti SC" w:eastAsia="Heiti SC"/>
          <w:b/>
          <w:bCs/>
          <w:sz w:val="36"/>
          <w:szCs w:val="36"/>
        </w:rPr>
        <w:t>《面向商业银行非法行为识别的知识模型构建技术方案》（初稿）</w:t>
      </w:r>
    </w:p>
    <w:p>
      <w:pPr>
        <w:pStyle w:val="TOC"/>
        <w:pageBreakBefore/>
        <w:spacing w:before="120" w:after="400"/>
        <w:ind w:firstLine="0"/>
        <w:jc w:val="center"/>
      </w:pPr>
      <w:r>
        <w:rPr>
          <w:rFonts w:ascii="Heiti SC" w:hAnsi="Heiti SC" w:eastAsia="Heiti SC"/>
          <w:b w:val="1"/>
          <w:sz w:val="36"/>
          <w:szCs w:val="36"/>
          <w:bCs w:val="1"/>
        </w:rPr>
        <w:t>目  录</w:t>
      </w:r>
    </w:p>
    <w:p>
      <w:pPr>
        <w:pStyle w:val="TOC1"/>
        <w:keepLines/>
        <w:widowControl/>
        <w:tabs>
          <w:tab w:pos="8296" w:val="right" w:leader="dot"/>
        </w:tabs>
        <w:ind w:firstLine="0"/>
      </w:pPr>
      <w:r>
        <w:rPr>
          <w:rFonts w:ascii="Heiti SC" w:hAnsi="Heiti SC" w:eastAsia="Heiti SC"/>
          <w:sz w:val="28"/>
          <w:szCs w:val="28"/>
          <w:b w:val="1"/>
          <w:bCs w:val="1"/>
          <w:color w:val="000000"/>
          <w:u w:val="none"/>
        </w:rPr>
        <w:fldChar w:fldCharType="begin" w:dirty="true"/>
      </w:r>
      <w:r>
        <w:rPr>
          <w:rFonts w:ascii="Heiti SC" w:hAnsi="Heiti SC" w:eastAsia="Heiti SC"/>
          <w:sz w:val="28"/>
          <w:szCs w:val="28"/>
          <w:b w:val="1"/>
          <w:bCs w:val="1"/>
          <w:color w:val="000000"/>
          <w:u w:val="none"/>
        </w:rPr>
        <w:instrText xml:space="preserve"> TOC \o "1-3" \h \z \u </w:instrText>
      </w:r>
      <w:r>
        <w:rPr>
          <w:rFonts w:ascii="Heiti SC" w:hAnsi="Heiti SC" w:eastAsia="Heiti SC"/>
          <w:sz w:val="28"/>
          <w:szCs w:val="28"/>
          <w:b w:val="1"/>
          <w:bCs w:val="1"/>
          <w:color w:val="000000"/>
          <w:u w:val="none"/>
        </w:rPr>
        <w:fldChar w:fldCharType="separate"/>
      </w:r>
      <w:hyperlink w:anchor="_DatagraphToc001" w:history="1">
        <w:r>
          <w:rPr>
            <w:rFonts w:ascii="Heiti SC" w:hAnsi="Heiti SC" w:eastAsia="Heiti SC"/>
            <w:sz w:val="28"/>
            <w:szCs w:val="28"/>
            <w:b w:val="1"/>
            <w:bCs w:val="1"/>
            <w:color w:val="000000"/>
            <w:u w:val="none"/>
          </w:rPr>
          <w:t>一、面向商业银行非法行为识别的知识模型总体框架</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_DatagraphToc001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1</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02" w:history="1">
        <w:r>
          <w:rPr>
            <w:rFonts w:ascii="Songti SC" w:hAnsi="Songti SC" w:eastAsia="Songti SC"/>
            <w:sz w:val="28"/>
            <w:szCs w:val="28"/>
            <w:color w:val="000000"/>
            <w:u w:val="none"/>
          </w:rPr>
          <w:t>1.1 建设目标</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_DatagraphToc002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03" w:history="1">
        <w:r>
          <w:rPr>
            <w:rFonts w:ascii="Songti SC" w:hAnsi="Songti SC" w:eastAsia="Songti SC"/>
            <w:sz w:val="28"/>
            <w:szCs w:val="28"/>
            <w:color w:val="000000"/>
            <w:u w:val="none"/>
          </w:rPr>
          <w:t>1.2 知识模型总体结构</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_DatagraphToc003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04" w:history="1">
        <w:r>
          <w:rPr>
            <w:rFonts w:ascii="Songti SC" w:hAnsi="Songti SC" w:eastAsia="Songti SC"/>
            <w:sz w:val="28"/>
            <w:szCs w:val="28"/>
            <w:color w:val="000000"/>
            <w:u w:val="none"/>
          </w:rPr>
          <w:t>1.3 五层知识结构设计</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_DatagraphToc004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05" w:history="1">
        <w:r>
          <w:rPr>
            <w:rFonts w:ascii="Songti SC" w:hAnsi="Songti SC" w:eastAsia="Songti SC"/>
            <w:sz w:val="24"/>
            <w:szCs w:val="24"/>
            <w:color w:val="000000"/>
            <w:u w:val="none"/>
          </w:rPr>
          <w:t>1.3.1 案例基本信息层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6" w:history="1">
        <w:r>
          <w:rPr>
            <w:rFonts w:ascii="Songti SC" w:hAnsi="Songti SC" w:eastAsia="Songti SC"/>
            <w:sz w:val="24"/>
            <w:szCs w:val="24"/>
            <w:color w:val="000000"/>
            <w:u w:val="none"/>
          </w:rPr>
          <w:t>1.3.2 实体层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7" w:history="1">
        <w:r>
          <w:rPr>
            <w:rFonts w:ascii="Songti SC" w:hAnsi="Songti SC" w:eastAsia="Songti SC"/>
            <w:sz w:val="24"/>
            <w:szCs w:val="24"/>
            <w:color w:val="000000"/>
            <w:u w:val="none"/>
          </w:rPr>
          <w:t>1.3.3 事件层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8" w:history="1">
        <w:r>
          <w:rPr>
            <w:rFonts w:ascii="Songti SC" w:hAnsi="Songti SC" w:eastAsia="Songti SC"/>
            <w:sz w:val="24"/>
            <w:szCs w:val="24"/>
            <w:color w:val="000000"/>
            <w:u w:val="none"/>
          </w:rPr>
          <w:t>1.3.4 关系层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9" w:history="1">
        <w:r>
          <w:rPr>
            <w:rFonts w:ascii="Songti SC" w:hAnsi="Songti SC" w:eastAsia="Songti SC"/>
            <w:sz w:val="24"/>
            <w:szCs w:val="24"/>
            <w:color w:val="000000"/>
            <w:u w:val="none"/>
          </w:rPr>
          <w:t>1.3.5 证据层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8</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10" w:history="1">
        <w:r>
          <w:rPr>
            <w:rFonts w:ascii="Songti SC" w:hAnsi="Songti SC" w:eastAsia="Songti SC"/>
            <w:sz w:val="28"/>
            <w:szCs w:val="28"/>
            <w:color w:val="000000"/>
            <w:u w:val="none"/>
          </w:rPr>
          <w:t>1.4 五层模型的协同运行逻辑</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9</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11" w:history="1">
        <w:r>
          <w:rPr>
            <w:rFonts w:ascii="Heiti SC" w:hAnsi="Heiti SC" w:eastAsia="Heiti SC"/>
            <w:sz w:val="28"/>
            <w:szCs w:val="28"/>
            <w:b w:val="1"/>
            <w:bCs w:val="1"/>
            <w:color w:val="000000"/>
            <w:u w:val="none"/>
          </w:rPr>
          <w:t>二、非法行为知识本体设计</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_DatagraphToc011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11</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12" w:history="1">
        <w:r>
          <w:rPr>
            <w:rFonts w:ascii="Songti SC" w:hAnsi="Songti SC" w:eastAsia="Songti SC"/>
            <w:sz w:val="28"/>
            <w:szCs w:val="28"/>
            <w:color w:val="000000"/>
            <w:u w:val="none"/>
          </w:rPr>
          <w:t>2.1 本体设计目标与原则</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11</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13" w:history="1">
        <w:r>
          <w:rPr>
            <w:rFonts w:ascii="Songti SC" w:hAnsi="Songti SC" w:eastAsia="Songti SC"/>
            <w:sz w:val="28"/>
            <w:szCs w:val="28"/>
            <w:color w:val="000000"/>
            <w:u w:val="none"/>
          </w:rPr>
          <w:t>2.2 本体元模型与总体结构</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_DatagraphToc013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12</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14" w:history="1">
        <w:r>
          <w:rPr>
            <w:rFonts w:ascii="Songti SC" w:hAnsi="Songti SC" w:eastAsia="Songti SC"/>
            <w:sz w:val="28"/>
            <w:szCs w:val="28"/>
            <w:color w:val="000000"/>
            <w:u w:val="none"/>
          </w:rPr>
          <w:t>2.3 核心本体类定义</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15" w:history="1">
        <w:r>
          <w:rPr>
            <w:rFonts w:ascii="Songti SC" w:hAnsi="Songti SC" w:eastAsia="Songti SC"/>
            <w:sz w:val="24"/>
            <w:szCs w:val="24"/>
            <w:color w:val="000000"/>
            <w:u w:val="none"/>
          </w:rPr>
          <w:t>2.3.1 案例本体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16" w:history="1">
        <w:r>
          <w:rPr>
            <w:rFonts w:ascii="Songti SC" w:hAnsi="Songti SC" w:eastAsia="Songti SC"/>
            <w:sz w:val="24"/>
            <w:szCs w:val="24"/>
            <w:color w:val="000000"/>
            <w:u w:val="none"/>
          </w:rPr>
          <w:t>2.3.2 实体本体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17" w:history="1">
        <w:r>
          <w:rPr>
            <w:rFonts w:ascii="Songti SC" w:hAnsi="Songti SC" w:eastAsia="Songti SC"/>
            <w:sz w:val="24"/>
            <w:szCs w:val="24"/>
            <w:color w:val="000000"/>
            <w:u w:val="none"/>
          </w:rPr>
          <w:t>2.3.3 事件本体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18" w:history="1">
        <w:r>
          <w:rPr>
            <w:rFonts w:ascii="Songti SC" w:hAnsi="Songti SC" w:eastAsia="Songti SC"/>
            <w:sz w:val="24"/>
            <w:szCs w:val="24"/>
            <w:color w:val="000000"/>
            <w:u w:val="none"/>
          </w:rPr>
          <w:t>2.3.4 证据本体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16</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19" w:history="1">
        <w:r>
          <w:rPr>
            <w:rFonts w:ascii="Songti SC" w:hAnsi="Songti SC" w:eastAsia="Songti SC"/>
            <w:sz w:val="28"/>
            <w:szCs w:val="28"/>
            <w:color w:val="000000"/>
            <w:u w:val="none"/>
          </w:rPr>
          <w:t>2.4 关系类型与语义约束</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17</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0" w:history="1">
        <w:r>
          <w:rPr>
            <w:rFonts w:ascii="Songti SC" w:hAnsi="Songti SC" w:eastAsia="Songti SC"/>
            <w:sz w:val="28"/>
            <w:szCs w:val="28"/>
            <w:color w:val="000000"/>
            <w:u w:val="none"/>
          </w:rPr>
          <w:t>2.5 数据属性与约束设计</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19</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1" w:history="1">
        <w:r>
          <w:rPr>
            <w:rFonts w:ascii="Songti SC" w:hAnsi="Songti SC" w:eastAsia="Songti SC"/>
            <w:sz w:val="28"/>
            <w:szCs w:val="28"/>
            <w:color w:val="000000"/>
            <w:u w:val="none"/>
          </w:rPr>
          <w:t>2.6 本体实例化与数据映射</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_DatagraphToc021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20</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2" w:history="1">
        <w:r>
          <w:rPr>
            <w:rFonts w:ascii="Songti SC" w:hAnsi="Songti SC" w:eastAsia="Songti SC"/>
            <w:sz w:val="28"/>
            <w:szCs w:val="28"/>
            <w:color w:val="000000"/>
            <w:u w:val="none"/>
          </w:rPr>
          <w:t>2.7 图数据库Schema与索引设计</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21</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23" w:history="1">
        <w:r>
          <w:rPr>
            <w:rFonts w:ascii="Heiti SC" w:hAnsi="Heiti SC" w:eastAsia="Heiti SC"/>
            <w:sz w:val="28"/>
            <w:szCs w:val="28"/>
            <w:b w:val="1"/>
            <w:bCs w:val="1"/>
            <w:color w:val="000000"/>
            <w:u w:val="none"/>
          </w:rPr>
          <w:t>三、非法行为分类分级指标体系设计</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_DatagraphToc023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23</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24" w:history="1">
        <w:r>
          <w:rPr>
            <w:rFonts w:ascii="Songti SC" w:hAnsi="Songti SC" w:eastAsia="Songti SC"/>
            <w:sz w:val="28"/>
            <w:szCs w:val="28"/>
            <w:color w:val="000000"/>
            <w:u w:val="none"/>
          </w:rPr>
          <w:t>3.1 分类分级指标体系的建设目标与设计原则</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23</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5" w:history="1">
        <w:r>
          <w:rPr>
            <w:rFonts w:ascii="Songti SC" w:hAnsi="Songti SC" w:eastAsia="Songti SC"/>
            <w:sz w:val="28"/>
            <w:szCs w:val="28"/>
            <w:color w:val="000000"/>
            <w:u w:val="none"/>
          </w:rPr>
          <w:t>3.2 基于知识模型的风险指标体系</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24</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26" w:history="1">
        <w:r>
          <w:rPr>
            <w:rFonts w:ascii="Songti SC" w:hAnsi="Songti SC" w:eastAsia="Songti SC"/>
            <w:sz w:val="24"/>
            <w:szCs w:val="24"/>
            <w:color w:val="000000"/>
            <w:u w:val="none"/>
          </w:rPr>
          <w:t>3.2.1 实体风险指标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27" w:history="1">
        <w:r>
          <w:rPr>
            <w:rFonts w:ascii="Songti SC" w:hAnsi="Songti SC" w:eastAsia="Songti SC"/>
            <w:sz w:val="24"/>
            <w:szCs w:val="24"/>
            <w:color w:val="000000"/>
            <w:u w:val="none"/>
          </w:rPr>
          <w:t>3.2.2 事件风险指标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28" w:history="1">
        <w:r>
          <w:rPr>
            <w:rFonts w:ascii="Songti SC" w:hAnsi="Songti SC" w:eastAsia="Songti SC"/>
            <w:sz w:val="24"/>
            <w:szCs w:val="24"/>
            <w:color w:val="000000"/>
            <w:u w:val="none"/>
          </w:rPr>
          <w:t>3.2.3 关系网络指标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29" w:history="1">
        <w:r>
          <w:rPr>
            <w:rFonts w:ascii="Songti SC" w:hAnsi="Songti SC" w:eastAsia="Songti SC"/>
            <w:sz w:val="24"/>
            <w:szCs w:val="24"/>
            <w:color w:val="000000"/>
            <w:u w:val="none"/>
          </w:rPr>
          <w:t>3.2.4 证据质量指标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0" w:history="1">
        <w:r>
          <w:rPr>
            <w:rFonts w:ascii="Songti SC" w:hAnsi="Songti SC" w:eastAsia="Songti SC"/>
            <w:sz w:val="24"/>
            <w:szCs w:val="24"/>
            <w:color w:val="000000"/>
            <w:u w:val="none"/>
          </w:rPr>
          <w:t>3.2.5 案例综合指标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28</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31" w:history="1">
        <w:r>
          <w:rPr>
            <w:rFonts w:ascii="Songti SC" w:hAnsi="Songti SC" w:eastAsia="Songti SC"/>
            <w:sz w:val="28"/>
            <w:szCs w:val="28"/>
            <w:color w:val="000000"/>
            <w:u w:val="none"/>
          </w:rPr>
          <w:t>3.3 非法行为分类标准</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_DatagraphToc031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29</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32" w:history="1">
        <w:r>
          <w:rPr>
            <w:rFonts w:ascii="Songti SC" w:hAnsi="Songti SC" w:eastAsia="Songti SC"/>
            <w:sz w:val="28"/>
            <w:szCs w:val="28"/>
            <w:color w:val="000000"/>
            <w:u w:val="none"/>
          </w:rPr>
          <w:t>3.4 风险分级标准</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30</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33" w:history="1">
        <w:r>
          <w:rPr>
            <w:rFonts w:ascii="Songti SC" w:hAnsi="Songti SC" w:eastAsia="Songti SC"/>
            <w:sz w:val="28"/>
            <w:szCs w:val="28"/>
            <w:color w:val="000000"/>
            <w:u w:val="none"/>
          </w:rPr>
          <w:t>3.5 指标计算、综合评估与验证</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_DatagraphToc033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32</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34" w:history="1">
        <w:r>
          <w:rPr>
            <w:rFonts w:ascii="Heiti SC" w:hAnsi="Heiti SC" w:eastAsia="Heiti SC"/>
            <w:sz w:val="28"/>
            <w:szCs w:val="28"/>
            <w:b w:val="1"/>
            <w:bCs w:val="1"/>
            <w:color w:val="000000"/>
            <w:u w:val="none"/>
          </w:rPr>
          <w:t>四、多源数据流处理引擎与案例智能处理功能说明</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_DatagraphToc034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35</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35" w:history="1">
        <w:r>
          <w:rPr>
            <w:rFonts w:ascii="Songti SC" w:hAnsi="Songti SC" w:eastAsia="Songti SC"/>
            <w:sz w:val="28"/>
            <w:szCs w:val="28"/>
            <w:color w:val="000000"/>
            <w:u w:val="none"/>
          </w:rPr>
          <w:t>4.1 引擎总体架构与处理流程</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35</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36" w:history="1">
        <w:r>
          <w:rPr>
            <w:rFonts w:ascii="Songti SC" w:hAnsi="Songti SC" w:eastAsia="Songti SC"/>
            <w:sz w:val="24"/>
            <w:szCs w:val="24"/>
            <w:color w:val="000000"/>
            <w:u w:val="none"/>
          </w:rPr>
          <w:t>4.1.1 引擎定位与功能目标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7" w:history="1">
        <w:r>
          <w:rPr>
            <w:rFonts w:ascii="Songti SC" w:hAnsi="Songti SC" w:eastAsia="Songti SC"/>
            <w:sz w:val="24"/>
            <w:szCs w:val="24"/>
            <w:color w:val="000000"/>
            <w:u w:val="none"/>
          </w:rPr>
          <w:t>4.1.2 系统主要功能组成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8" w:history="1">
        <w:r>
          <w:rPr>
            <w:rFonts w:ascii="Songti SC" w:hAnsi="Songti SC" w:eastAsia="Songti SC"/>
            <w:sz w:val="24"/>
            <w:szCs w:val="24"/>
            <w:color w:val="000000"/>
            <w:u w:val="none"/>
          </w:rPr>
          <w:t>4.1.3 案例数据端到端处理流程</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9" w:history="1">
        <w:r>
          <w:rPr>
            <w:rFonts w:ascii="Songti SC" w:hAnsi="Songti SC" w:eastAsia="Songti SC"/>
            <w:sz w:val="24"/>
            <w:szCs w:val="24"/>
            <w:color w:val="000000"/>
            <w:u w:val="none"/>
          </w:rPr>
          <w:t>4.1.4 新增案例与历史案例分流机制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38</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40" w:history="1">
        <w:r>
          <w:rPr>
            <w:rFonts w:ascii="Songti SC" w:hAnsi="Songti SC" w:eastAsia="Songti SC"/>
            <w:sz w:val="28"/>
            <w:szCs w:val="28"/>
            <w:color w:val="000000"/>
            <w:u w:val="none"/>
          </w:rPr>
          <w:t>4.2 多源案例数据接入与预处理</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_DatagraphToc040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39</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41" w:history="1">
        <w:r>
          <w:rPr>
            <w:rFonts w:ascii="Songti SC" w:hAnsi="Songti SC" w:eastAsia="Songti SC"/>
            <w:sz w:val="24"/>
            <w:szCs w:val="24"/>
            <w:color w:val="000000"/>
            <w:u w:val="none"/>
          </w:rPr>
          <w:t>4.2.1 统一数据接入方式</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2" w:history="1">
        <w:r>
          <w:rPr>
            <w:rFonts w:ascii="Songti SC" w:hAnsi="Songti SC" w:eastAsia="Songti SC"/>
            <w:sz w:val="24"/>
            <w:szCs w:val="24"/>
            <w:color w:val="000000"/>
            <w:u w:val="none"/>
          </w:rPr>
          <w:t>4.2.2 单案例与批量案例上传</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3" w:history="1">
        <w:r>
          <w:rPr>
            <w:rFonts w:ascii="Songti SC" w:hAnsi="Songti SC" w:eastAsia="Songti SC"/>
            <w:sz w:val="24"/>
            <w:szCs w:val="24"/>
            <w:color w:val="000000"/>
            <w:u w:val="none"/>
          </w:rPr>
          <w:t>4.2.3 反洗钱与反欺诈数据要求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41</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4" w:history="1">
        <w:r>
          <w:rPr>
            <w:rFonts w:ascii="Songti SC" w:hAnsi="Songti SC" w:eastAsia="Songti SC"/>
            <w:sz w:val="24"/>
            <w:szCs w:val="24"/>
            <w:color w:val="000000"/>
            <w:u w:val="none"/>
          </w:rPr>
          <w:t>4.2.4 数据校验、清洗与标准化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5" w:history="1">
        <w:r>
          <w:rPr>
            <w:rFonts w:ascii="Songti SC" w:hAnsi="Songti SC" w:eastAsia="Songti SC"/>
            <w:sz w:val="24"/>
            <w:szCs w:val="24"/>
            <w:color w:val="000000"/>
            <w:u w:val="none"/>
          </w:rPr>
          <w:t>4.2.5 案例入库与处理任务创建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42</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46" w:history="1">
        <w:r>
          <w:rPr>
            <w:rFonts w:ascii="Songti SC" w:hAnsi="Songti SC" w:eastAsia="Songti SC"/>
            <w:sz w:val="28"/>
            <w:szCs w:val="28"/>
            <w:color w:val="000000"/>
            <w:u w:val="none"/>
          </w:rPr>
          <w:t>4.3 模块一：可疑报告智能生成</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_DatagraphToc046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43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47" w:history="1">
        <w:r>
          <w:rPr>
            <w:rFonts w:ascii="Songti SC" w:hAnsi="Songti SC" w:eastAsia="Songti SC"/>
            <w:sz w:val="24"/>
            <w:szCs w:val="24"/>
            <w:color w:val="000000"/>
            <w:u w:val="none"/>
          </w:rPr>
          <w:t>4.3.1 功能定位与输入数据</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8" w:history="1">
        <w:r>
          <w:rPr>
            <w:rFonts w:ascii="Songti SC" w:hAnsi="Songti SC" w:eastAsia="Songti SC"/>
            <w:sz w:val="24"/>
            <w:szCs w:val="24"/>
            <w:color w:val="000000"/>
            <w:u w:val="none"/>
          </w:rPr>
          <w:t>4.3.2 风险事件链生成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9" w:history="1">
        <w:r>
          <w:rPr>
            <w:rFonts w:ascii="Songti SC" w:hAnsi="Songti SC" w:eastAsia="Songti SC"/>
            <w:sz w:val="24"/>
            <w:szCs w:val="24"/>
            <w:color w:val="000000"/>
            <w:u w:val="none"/>
          </w:rPr>
          <w:t>4.3.3 案例分析与可疑报告生成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0" w:history="1">
        <w:r>
          <w:rPr>
            <w:rFonts w:ascii="Songti SC" w:hAnsi="Songti SC" w:eastAsia="Songti SC"/>
            <w:sz w:val="24"/>
            <w:szCs w:val="24"/>
            <w:color w:val="000000"/>
            <w:u w:val="none"/>
          </w:rPr>
          <w:t>4.3.4 报告查看、编辑与保存</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1" w:history="1">
        <w:r>
          <w:rPr>
            <w:rFonts w:ascii="Songti SC" w:hAnsi="Songti SC" w:eastAsia="Songti SC"/>
            <w:sz w:val="24"/>
            <w:szCs w:val="24"/>
            <w:color w:val="000000"/>
            <w:u w:val="none"/>
          </w:rPr>
          <w:t>4.3.5 处理结果与任务状态流转</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46</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52" w:history="1">
        <w:r>
          <w:rPr>
            <w:rFonts w:ascii="Songti SC" w:hAnsi="Songti SC" w:eastAsia="Songti SC"/>
            <w:sz w:val="28"/>
            <w:szCs w:val="28"/>
            <w:color w:val="000000"/>
            <w:u w:val="none"/>
          </w:rPr>
          <w:t>4.4 模块二：知识驱动的五层框架抽取</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_DatagraphToc052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46</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53" w:history="1">
        <w:r>
          <w:rPr>
            <w:rFonts w:ascii="Songti SC" w:hAnsi="Songti SC" w:eastAsia="Songti SC"/>
            <w:sz w:val="24"/>
            <w:szCs w:val="24"/>
            <w:color w:val="000000"/>
            <w:u w:val="none"/>
          </w:rPr>
          <w:t>4.4.1 功能定位与抽取流程</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4" w:history="1">
        <w:r>
          <w:rPr>
            <w:rFonts w:ascii="Songti SC" w:hAnsi="Songti SC" w:eastAsia="Songti SC"/>
            <w:sz w:val="24"/>
            <w:szCs w:val="24"/>
            <w:color w:val="000000"/>
            <w:u w:val="none"/>
          </w:rPr>
          <w:t>4.4.2 案例基本信息与实体抽取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5" w:history="1">
        <w:r>
          <w:rPr>
            <w:rFonts w:ascii="Songti SC" w:hAnsi="Songti SC" w:eastAsia="Songti SC"/>
            <w:sz w:val="24"/>
            <w:szCs w:val="24"/>
            <w:color w:val="000000"/>
            <w:u w:val="none"/>
          </w:rPr>
          <w:t>4.4.3 事件、关系与证据抽取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6" w:history="1">
        <w:r>
          <w:rPr>
            <w:rFonts w:ascii="Songti SC" w:hAnsi="Songti SC" w:eastAsia="Songti SC"/>
            <w:sz w:val="24"/>
            <w:szCs w:val="24"/>
            <w:color w:val="000000"/>
            <w:u w:val="none"/>
          </w:rPr>
          <w:t>4.4.4 实体归一与事件语义标准化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48</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7" w:history="1">
        <w:r>
          <w:rPr>
            <w:rFonts w:ascii="Songti SC" w:hAnsi="Songti SC" w:eastAsia="Songti SC"/>
            <w:sz w:val="24"/>
            <w:szCs w:val="24"/>
            <w:color w:val="000000"/>
            <w:u w:val="none"/>
          </w:rPr>
          <w:t>4.4.5 五层知识结果与图谱快照生成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49</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58" w:history="1">
        <w:r>
          <w:rPr>
            <w:rFonts w:ascii="Songti SC" w:hAnsi="Songti SC" w:eastAsia="Songti SC"/>
            <w:sz w:val="28"/>
            <w:szCs w:val="28"/>
            <w:color w:val="000000"/>
            <w:u w:val="none"/>
          </w:rPr>
          <w:t>4.5 模块三：语义增强的相似案例检索</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_DatagraphToc058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49</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59" w:history="1">
        <w:r>
          <w:rPr>
            <w:rFonts w:ascii="Songti SC" w:hAnsi="Songti SC" w:eastAsia="Songti SC"/>
            <w:sz w:val="24"/>
            <w:szCs w:val="24"/>
            <w:color w:val="000000"/>
            <w:u w:val="none"/>
          </w:rPr>
          <w:t>4.5.1 功能定位与历史案例库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0" w:history="1">
        <w:r>
          <w:rPr>
            <w:rFonts w:ascii="Songti SC" w:hAnsi="Songti SC" w:eastAsia="Songti SC"/>
            <w:sz w:val="24"/>
            <w:szCs w:val="24"/>
            <w:color w:val="000000"/>
            <w:u w:val="none"/>
          </w:rPr>
          <w:t>4.5.2 候选案例召回与语义匹配</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1" w:history="1">
        <w:r>
          <w:rPr>
            <w:rFonts w:ascii="Songti SC" w:hAnsi="Songti SC" w:eastAsia="Songti SC"/>
            <w:sz w:val="24"/>
            <w:szCs w:val="24"/>
            <w:color w:val="000000"/>
            <w:u w:val="none"/>
          </w:rPr>
          <w:t>4.5.3 案例图结构相似度计算</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2" w:history="1">
        <w:r>
          <w:rPr>
            <w:rFonts w:ascii="Songti SC" w:hAnsi="Songti SC" w:eastAsia="Songti SC"/>
            <w:sz w:val="24"/>
            <w:szCs w:val="24"/>
            <w:color w:val="000000"/>
            <w:u w:val="none"/>
          </w:rPr>
          <w:t>4.5.4 相似案例综合排序</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51</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3" w:history="1">
        <w:r>
          <w:rPr>
            <w:rFonts w:ascii="Songti SC" w:hAnsi="Songti SC" w:eastAsia="Songti SC"/>
            <w:sz w:val="24"/>
            <w:szCs w:val="24"/>
            <w:color w:val="000000"/>
            <w:u w:val="none"/>
          </w:rPr>
          <w:t>4.5.5 匹配结果对比与人工调整</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52</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64" w:history="1">
        <w:r>
          <w:rPr>
            <w:rFonts w:ascii="Songti SC" w:hAnsi="Songti SC" w:eastAsia="Songti SC"/>
            <w:sz w:val="28"/>
            <w:szCs w:val="28"/>
            <w:color w:val="000000"/>
            <w:u w:val="none"/>
          </w:rPr>
          <w:t>4.6 案例复核与风险定级</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_DatagraphToc064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52</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65" w:history="1">
        <w:r>
          <w:rPr>
            <w:rFonts w:ascii="Songti SC" w:hAnsi="Songti SC" w:eastAsia="Songti SC"/>
            <w:sz w:val="24"/>
            <w:szCs w:val="24"/>
            <w:color w:val="000000"/>
            <w:u w:val="none"/>
          </w:rPr>
          <w:t>4.6.1 复核材料汇总展示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6" w:history="1">
        <w:r>
          <w:rPr>
            <w:rFonts w:ascii="Songti SC" w:hAnsi="Songti SC" w:eastAsia="Songti SC"/>
            <w:sz w:val="24"/>
            <w:szCs w:val="24"/>
            <w:color w:val="000000"/>
            <w:u w:val="none"/>
          </w:rPr>
          <w:t>4.6.2 系统推荐风险等级</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7" w:history="1">
        <w:r>
          <w:rPr>
            <w:rFonts w:ascii="Songti SC" w:hAnsi="Songti SC" w:eastAsia="Songti SC"/>
            <w:sz w:val="24"/>
            <w:szCs w:val="24"/>
            <w:color w:val="000000"/>
            <w:u w:val="none"/>
          </w:rPr>
          <w:t>4.6.3 人工复核与等级核定</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8" w:history="1">
        <w:r>
          <w:rPr>
            <w:rFonts w:ascii="Songti SC" w:hAnsi="Songti SC" w:eastAsia="Songti SC"/>
            <w:sz w:val="24"/>
            <w:szCs w:val="24"/>
            <w:color w:val="000000"/>
            <w:u w:val="none"/>
          </w:rPr>
          <w:t>4.6.4 历史案例自动审核机制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9" w:history="1">
        <w:r>
          <w:rPr>
            <w:rFonts w:ascii="Songti SC" w:hAnsi="Songti SC" w:eastAsia="Songti SC"/>
            <w:sz w:val="24"/>
            <w:szCs w:val="24"/>
            <w:color w:val="000000"/>
            <w:u w:val="none"/>
          </w:rPr>
          <w:t>4.6.5 审核结果与案例库更新</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54</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70" w:history="1">
        <w:r>
          <w:rPr>
            <w:rFonts w:ascii="Songti SC" w:hAnsi="Songti SC" w:eastAsia="Songti SC"/>
            <w:sz w:val="28"/>
            <w:szCs w:val="28"/>
            <w:color w:val="000000"/>
            <w:u w:val="none"/>
          </w:rPr>
          <w:t>4.7 非法行为关系图谱构建与展示</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_DatagraphToc070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54</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71" w:history="1">
        <w:r>
          <w:rPr>
            <w:rFonts w:ascii="Songti SC" w:hAnsi="Songti SC" w:eastAsia="Songti SC"/>
            <w:sz w:val="24"/>
            <w:szCs w:val="24"/>
            <w:color w:val="000000"/>
            <w:u w:val="none"/>
          </w:rPr>
          <w:t>4.7.1 五层知识对象的图谱映射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2" w:history="1">
        <w:r>
          <w:rPr>
            <w:rFonts w:ascii="Songti SC" w:hAnsi="Songti SC" w:eastAsia="Songti SC"/>
            <w:sz w:val="24"/>
            <w:szCs w:val="24"/>
            <w:color w:val="000000"/>
            <w:u w:val="none"/>
          </w:rPr>
          <w:t>4.7.2 图谱数据写入与更新</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3" w:history="1">
        <w:r>
          <w:rPr>
            <w:rFonts w:ascii="Songti SC" w:hAnsi="Songti SC" w:eastAsia="Songti SC"/>
            <w:sz w:val="24"/>
            <w:szCs w:val="24"/>
            <w:color w:val="000000"/>
            <w:u w:val="none"/>
          </w:rPr>
          <w:t>4.7.3 全景图谱展示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4" w:history="1">
        <w:r>
          <w:rPr>
            <w:rFonts w:ascii="Songti SC" w:hAnsi="Songti SC" w:eastAsia="Songti SC"/>
            <w:sz w:val="24"/>
            <w:szCs w:val="24"/>
            <w:color w:val="000000"/>
            <w:u w:val="none"/>
          </w:rPr>
          <w:t>4.7.4 节点、关系与证据详情查看</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5" w:history="1">
        <w:r>
          <w:rPr>
            <w:rFonts w:ascii="Songti SC" w:hAnsi="Songti SC" w:eastAsia="Songti SC"/>
            <w:sz w:val="24"/>
            <w:szCs w:val="24"/>
            <w:color w:val="000000"/>
            <w:u w:val="none"/>
          </w:rPr>
          <w:t>4.7.5 相似案例与跨案例关联展示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6" w:history="1">
        <w:r>
          <w:rPr>
            <w:rFonts w:ascii="Songti SC" w:hAnsi="Songti SC" w:eastAsia="Songti SC"/>
            <w:sz w:val="24"/>
            <w:szCs w:val="24"/>
            <w:color w:val="000000"/>
            <w:u w:val="none"/>
          </w:rPr>
          <w:t>4.7.6 关联线索分析与隐蔽风险挖掘</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56</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77" w:history="1">
        <w:r>
          <w:rPr>
            <w:rFonts w:ascii="Songti SC" w:hAnsi="Songti SC" w:eastAsia="Songti SC"/>
            <w:sz w:val="28"/>
            <w:szCs w:val="28"/>
            <w:color w:val="000000"/>
            <w:u w:val="none"/>
          </w:rPr>
          <w:t>4.8 本章小结</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_DatagraphToc077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56</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78" w:history="1">
        <w:r>
          <w:rPr>
            <w:rFonts w:ascii="Heiti SC" w:hAnsi="Heiti SC" w:eastAsia="Heiti SC"/>
            <w:sz w:val="28"/>
            <w:szCs w:val="28"/>
            <w:b w:val="1"/>
            <w:bCs w:val="1"/>
            <w:color w:val="000000"/>
            <w:u w:val="none"/>
          </w:rPr>
          <w:t>五、案例智能处理系统技术框架与API手册</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_DatagraphToc078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58</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79" w:history="1">
        <w:r>
          <w:rPr>
            <w:rFonts w:ascii="Songti SC" w:hAnsi="Songti SC" w:eastAsia="Songti SC"/>
            <w:sz w:val="28"/>
            <w:szCs w:val="28"/>
            <w:color w:val="000000"/>
            <w:u w:val="none"/>
          </w:rPr>
          <w:t>5.1 系统架构与技术框架</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_DatagraphToc079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58</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80" w:history="1">
        <w:r>
          <w:rPr>
            <w:rFonts w:ascii="Songti SC" w:hAnsi="Songti SC" w:eastAsia="Songti SC"/>
            <w:sz w:val="24"/>
            <w:szCs w:val="24"/>
            <w:color w:val="000000"/>
            <w:u w:val="none"/>
          </w:rPr>
          <w:t>5.1.1 总体技术架构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58</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1" w:history="1">
        <w:r>
          <w:rPr>
            <w:rFonts w:ascii="Songti SC" w:hAnsi="Songti SC" w:eastAsia="Songti SC"/>
            <w:sz w:val="24"/>
            <w:szCs w:val="24"/>
            <w:color w:val="000000"/>
            <w:u w:val="none"/>
          </w:rPr>
          <w:t>5.1.2 前端技术框架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2" w:history="1">
        <w:r>
          <w:rPr>
            <w:rFonts w:ascii="Songti SC" w:hAnsi="Songti SC" w:eastAsia="Songti SC"/>
            <w:sz w:val="24"/>
            <w:szCs w:val="24"/>
            <w:color w:val="000000"/>
            <w:u w:val="none"/>
          </w:rPr>
          <w:t>5.1.3 后端技术框架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3" w:history="1">
        <w:r>
          <w:rPr>
            <w:rFonts w:ascii="Songti SC" w:hAnsi="Songti SC" w:eastAsia="Songti SC"/>
            <w:sz w:val="24"/>
            <w:szCs w:val="24"/>
            <w:color w:val="000000"/>
            <w:u w:val="none"/>
          </w:rPr>
          <w:t>5.1.4 算法与数据基础设施</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4" w:history="1">
        <w:r>
          <w:rPr>
            <w:rFonts w:ascii="Songti SC" w:hAnsi="Songti SC" w:eastAsia="Songti SC"/>
            <w:sz w:val="24"/>
            <w:szCs w:val="24"/>
            <w:color w:val="000000"/>
            <w:u w:val="none"/>
          </w:rPr>
          <w:t>5.1.5 部署与运行结构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61</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85" w:history="1">
        <w:r>
          <w:rPr>
            <w:rFonts w:ascii="Songti SC" w:hAnsi="Songti SC" w:eastAsia="Songti SC"/>
            <w:sz w:val="28"/>
            <w:szCs w:val="28"/>
            <w:color w:val="000000"/>
            <w:u w:val="none"/>
          </w:rPr>
          <w:t>5.2 API总览</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_DatagraphToc085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62</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86" w:history="1">
        <w:r>
          <w:rPr>
            <w:rFonts w:ascii="Songti SC" w:hAnsi="Songti SC" w:eastAsia="Songti SC"/>
            <w:sz w:val="24"/>
            <w:szCs w:val="24"/>
            <w:color w:val="000000"/>
            <w:u w:val="none"/>
          </w:rPr>
          <w:t>5.2.1 接口风格与基础约定</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7" w:history="1">
        <w:r>
          <w:rPr>
            <w:rFonts w:ascii="Songti SC" w:hAnsi="Songti SC" w:eastAsia="Songti SC"/>
            <w:sz w:val="24"/>
            <w:szCs w:val="24"/>
            <w:color w:val="000000"/>
            <w:u w:val="none"/>
          </w:rPr>
          <w:t>5.2.2 身份认证与权限控制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8" w:history="1">
        <w:r>
          <w:rPr>
            <w:rFonts w:ascii="Songti SC" w:hAnsi="Songti SC" w:eastAsia="Songti SC"/>
            <w:sz w:val="24"/>
            <w:szCs w:val="24"/>
            <w:color w:val="000000"/>
            <w:u w:val="none"/>
          </w:rPr>
          <w:t>5.2.3 统一响应与错误处理</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9" w:history="1">
        <w:r>
          <w:rPr>
            <w:rFonts w:ascii="Songti SC" w:hAnsi="Songti SC" w:eastAsia="Songti SC"/>
            <w:sz w:val="24"/>
            <w:szCs w:val="24"/>
            <w:color w:val="000000"/>
            <w:u w:val="none"/>
          </w:rPr>
          <w:t>5.2.4 接口分组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63</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90" w:history="1">
        <w:r>
          <w:rPr>
            <w:rFonts w:ascii="Songti SC" w:hAnsi="Songti SC" w:eastAsia="Songti SC"/>
            <w:sz w:val="28"/>
            <w:szCs w:val="28"/>
            <w:color w:val="000000"/>
            <w:u w:val="none"/>
          </w:rPr>
          <w:t>5.3 接口详细说明</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_DatagraphToc090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64</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91" w:history="1">
        <w:r>
          <w:rPr>
            <w:rFonts w:ascii="Songti SC" w:hAnsi="Songti SC" w:eastAsia="Songti SC"/>
            <w:sz w:val="24"/>
            <w:szCs w:val="24"/>
            <w:color w:val="000000"/>
            <w:u w:val="none"/>
          </w:rPr>
          <w:t>5.3.1 认证与用户接口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2" w:history="1">
        <w:r>
          <w:rPr>
            <w:rFonts w:ascii="Songti SC" w:hAnsi="Songti SC" w:eastAsia="Songti SC"/>
            <w:sz w:val="24"/>
            <w:szCs w:val="24"/>
            <w:color w:val="000000"/>
            <w:u w:val="none"/>
          </w:rPr>
          <w:t>5.3.2 案例上传与分析任务接口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3" w:history="1">
        <w:r>
          <w:rPr>
            <w:rFonts w:ascii="Songti SC" w:hAnsi="Songti SC" w:eastAsia="Songti SC"/>
            <w:sz w:val="24"/>
            <w:szCs w:val="24"/>
            <w:color w:val="000000"/>
            <w:u w:val="none"/>
          </w:rPr>
          <w:t>5.3.3 三项核心功能接口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4" w:history="1">
        <w:r>
          <w:rPr>
            <w:rFonts w:ascii="Songti SC" w:hAnsi="Songti SC" w:eastAsia="Songti SC"/>
            <w:sz w:val="24"/>
            <w:szCs w:val="24"/>
            <w:color w:val="000000"/>
            <w:u w:val="none"/>
          </w:rPr>
          <w:t>5.3.4 案例管理与复核审批接口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5" w:history="1">
        <w:r>
          <w:rPr>
            <w:rFonts w:ascii="Songti SC" w:hAnsi="Songti SC" w:eastAsia="Songti SC"/>
            <w:sz w:val="24"/>
            <w:szCs w:val="24"/>
            <w:color w:val="000000"/>
            <w:u w:val="none"/>
          </w:rPr>
          <w:t>5.3.5 图谱查询与维护接口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6" w:history="1">
        <w:r>
          <w:rPr>
            <w:rFonts w:ascii="Songti SC" w:hAnsi="Songti SC" w:eastAsia="Songti SC"/>
            <w:sz w:val="24"/>
            <w:szCs w:val="24"/>
            <w:color w:val="000000"/>
            <w:u w:val="none"/>
          </w:rPr>
          <w:t>5.3.6 案例知识解释接口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7" w:history="1">
        <w:r>
          <w:rPr>
            <w:rFonts w:ascii="Songti SC" w:hAnsi="Songti SC" w:eastAsia="Songti SC"/>
            <w:sz w:val="24"/>
            <w:szCs w:val="24"/>
            <w:color w:val="000000"/>
            <w:u w:val="none"/>
          </w:rPr>
          <w:t>5.3.7 线索与研究分析接口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71</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8" w:history="1">
        <w:r>
          <w:rPr>
            <w:rFonts w:ascii="Songti SC" w:hAnsi="Songti SC" w:eastAsia="Songti SC"/>
            <w:sz w:val="24"/>
            <w:szCs w:val="24"/>
            <w:color w:val="000000"/>
            <w:u w:val="none"/>
          </w:rPr>
          <w:t>5.3.8 平台总览与系统管理接口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72</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99" w:history="1">
        <w:r>
          <w:rPr>
            <w:rFonts w:ascii="Songti SC" w:hAnsi="Songti SC" w:eastAsia="Songti SC"/>
            <w:sz w:val="28"/>
            <w:szCs w:val="28"/>
            <w:color w:val="000000"/>
            <w:u w:val="none"/>
          </w:rPr>
          <w:t>5.4 系统内部组件接口</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_DatagraphToc099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100" w:history="1">
        <w:r>
          <w:rPr>
            <w:rFonts w:ascii="Songti SC" w:hAnsi="Songti SC" w:eastAsia="Songti SC"/>
            <w:sz w:val="24"/>
            <w:szCs w:val="24"/>
            <w:color w:val="000000"/>
            <w:u w:val="none"/>
          </w:rPr>
          <w:t>5.4.1 前端与后端接口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1" w:history="1">
        <w:r>
          <w:rPr>
            <w:rFonts w:ascii="Songti SC" w:hAnsi="Songti SC" w:eastAsia="Songti SC"/>
            <w:sz w:val="24"/>
            <w:szCs w:val="24"/>
            <w:color w:val="000000"/>
            <w:u w:val="none"/>
          </w:rPr>
          <w:t>5.4.2 后端与案例Worker接口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2" w:history="1">
        <w:r>
          <w:rPr>
            <w:rFonts w:ascii="Songti SC" w:hAnsi="Songti SC" w:eastAsia="Songti SC"/>
            <w:sz w:val="24"/>
            <w:szCs w:val="24"/>
            <w:color w:val="000000"/>
            <w:u w:val="none"/>
          </w:rPr>
          <w:t>5.4.3 后端与数据存储接口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3" w:history="1">
        <w:r>
          <w:rPr>
            <w:rFonts w:ascii="Songti SC" w:hAnsi="Songti SC" w:eastAsia="Songti SC"/>
            <w:sz w:val="24"/>
            <w:szCs w:val="24"/>
            <w:color w:val="000000"/>
            <w:u w:val="none"/>
          </w:rPr>
          <w:t>5.4.4 后端与图数据库接口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4" w:history="1">
        <w:r>
          <w:rPr>
            <w:rFonts w:ascii="Songti SC" w:hAnsi="Songti SC" w:eastAsia="Songti SC"/>
            <w:sz w:val="24"/>
            <w:szCs w:val="24"/>
            <w:color w:val="000000"/>
            <w:u w:val="none"/>
          </w:rPr>
          <w:t>5.4.5 Worker与语义服务接口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75</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105" w:history="1">
        <w:r>
          <w:rPr>
            <w:rFonts w:ascii="Songti SC" w:hAnsi="Songti SC" w:eastAsia="Songti SC"/>
            <w:sz w:val="28"/>
            <w:szCs w:val="28"/>
            <w:color w:val="000000"/>
            <w:u w:val="none"/>
          </w:rPr>
          <w:t>5.5 异常与错误码说明</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_DatagraphToc105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75</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106" w:history="1">
        <w:r>
          <w:rPr>
            <w:rFonts w:ascii="Songti SC" w:hAnsi="Songti SC" w:eastAsia="Songti SC"/>
            <w:sz w:val="24"/>
            <w:szCs w:val="24"/>
            <w:color w:val="000000"/>
            <w:u w:val="none"/>
          </w:rPr>
          <w:t>5.5.1 通用错误码</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7" w:history="1">
        <w:r>
          <w:rPr>
            <w:rFonts w:ascii="Songti SC" w:hAnsi="Songti SC" w:eastAsia="Songti SC"/>
            <w:sz w:val="24"/>
            <w:szCs w:val="24"/>
            <w:color w:val="000000"/>
            <w:u w:val="none"/>
          </w:rPr>
          <w:t>5.5.2 业务状态与重试原则</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8" w:history="1">
        <w:r>
          <w:rPr>
            <w:rFonts w:ascii="Songti SC" w:hAnsi="Songti SC" w:eastAsia="Songti SC"/>
            <w:sz w:val="24"/>
            <w:szCs w:val="24"/>
            <w:color w:val="000000"/>
            <w:u w:val="none"/>
          </w:rPr>
          <w:t>5.5.3 安全与运行异常</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77</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109" w:history="1">
        <w:r>
          <w:rPr>
            <w:rFonts w:ascii="Songti SC" w:hAnsi="Songti SC" w:eastAsia="Songti SC"/>
            <w:sz w:val="28"/>
            <w:szCs w:val="28"/>
            <w:color w:val="000000"/>
            <w:u w:val="none"/>
          </w:rPr>
          <w:t>5.6 API使用示例</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_DatagraphToc109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77</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110" w:history="1">
        <w:r>
          <w:rPr>
            <w:rFonts w:ascii="Songti SC" w:hAnsi="Songti SC" w:eastAsia="Songti SC"/>
            <w:sz w:val="24"/>
            <w:szCs w:val="24"/>
            <w:color w:val="000000"/>
            <w:u w:val="none"/>
          </w:rPr>
          <w:t>5.6.1 登录并取得JWT</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11" w:history="1">
        <w:r>
          <w:rPr>
            <w:rFonts w:ascii="Songti SC" w:hAnsi="Songti SC" w:eastAsia="Songti SC"/>
            <w:sz w:val="24"/>
            <w:szCs w:val="24"/>
            <w:color w:val="000000"/>
            <w:u w:val="none"/>
          </w:rPr>
          <w:t>5.6.2 上传案例并创建任务</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12" w:history="1">
        <w:r>
          <w:rPr>
            <w:rFonts w:ascii="Songti SC" w:hAnsi="Songti SC" w:eastAsia="Songti SC"/>
            <w:sz w:val="24"/>
            <w:szCs w:val="24"/>
            <w:color w:val="000000"/>
            <w:u w:val="none"/>
          </w:rPr>
          <w:t>5.6.3 执行三项核心功能</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78</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13" w:history="1">
        <w:r>
          <w:rPr>
            <w:rFonts w:ascii="Songti SC" w:hAnsi="Songti SC" w:eastAsia="Songti SC"/>
            <w:sz w:val="24"/>
            <w:szCs w:val="24"/>
            <w:color w:val="000000"/>
            <w:u w:val="none"/>
          </w:rPr>
          <w:t>5.6.4 审批并查询案例图谱</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79</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114" w:history="1">
        <w:r>
          <w:rPr>
            <w:rFonts w:ascii="Songti SC" w:hAnsi="Songti SC" w:eastAsia="Songti SC"/>
            <w:sz w:val="28"/>
            <w:szCs w:val="28"/>
            <w:color w:val="000000"/>
            <w:u w:val="none"/>
          </w:rPr>
          <w:t>5.7 本章小结</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_DatagraphToc114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79</w:t>
        </w:r>
        <w:r>
          <w:rPr>
            <w:rFonts w:ascii="Songti SC" w:hAnsi="Songti SC" w:eastAsia="Songti SC"/>
            <w:sz w:val="28"/>
            <w:szCs w:val="28"/>
            <w:color w:val="000000"/>
            <w:u w:val="none"/>
          </w:rPr>
          <w:fldChar w:fldCharType="end"/>
        </w:r>
      </w:hyperlink>
      <w:r>
        <w:rPr>
          <w:rFonts w:ascii="Songti SC" w:hAnsi="Songti SC" w:eastAsia="Songti SC"/>
          <w:sz w:val="28"/>
          <w:szCs w:val="28"/>
          <w:color w:val="000000"/>
          <w:u w:val="none"/>
        </w:rPr>
        <w:fldChar w:fldCharType="end"/>
      </w:r>
    </w:p>
    <w:p>
      <w:pPr>
        <w:sectPr>
          <w:footerReference w:type="default" r:id="rId8"/>
          <w:type w:val="nextPage"/>
          <w:pgSz w:w="11906" w:h="16838"/>
          <w:pgMar w:top="1440" w:right="1800" w:bottom="1440" w:left="1800" w:header="851" w:footer="992" w:gutter="0"/>
          <w:cols w:space="425" w:num="1"/>
          <w:docGrid w:type="lines" w:linePitch="312" w:charSpace="0"/>
          <w:pgNumType w:fmt="upperRoman" w:start="1"/>
        </w:sectPr>
      </w:pPr>
    </w:p>
    <w:p w14:paraId="0E9CD819">
      <w:pPr>
        <w:pStyle w:val="2"/>
        <w:pageBreakBefore w:val="0"/>
        <w:ind w:firstLine="643"/>
      </w:pPr>
      <w:bookmarkStart w:id="1" w:name="_DatagraphToc001"/>
      <w:r>
        <w:rPr>
          <w:rFonts w:hint="eastAsia"/>
        </w:rPr>
        <w:t>一、面向商业银行非法行为识别的知识模型总体框架</w:t>
      </w:r>
      <w:bookmarkEnd w:id="1"/>
    </w:p>
    <w:p w14:paraId="321AEB4F">
      <w:pPr>
        <w:ind w:firstLine="560"/>
      </w:pPr>
      <w:r>
        <w:rPr>
          <w:rFonts/>
        </w:rPr>
        <w:t>商业银行非法行为识别面对的数据来源广、参与主体多、行为过程复杂、证据形态多样。传统依赖单一规则、单一指标或单笔交易特征的识别方式，难以完整表达行为主体之间的关联关系，也难以将资金流、信息流、业务流与外部风险信息组织为能够持续推理的统一知识结构。为此，本方案构建面向商业银行非法行为识别的知识模型，将案例事实、参与主体、业务事件、主体关系和证据材料纳入同一语义框架，通过标准化建模形成可计算、可关联、可追溯的知识底座，为风险识别、线索研判、案例复核和模型迭代提供基础支撑。</w:t>
      </w:r>
    </w:p>
    <w:p w14:paraId="635D8984">
      <w:pPr>
        <w:pStyle w:val="3"/>
        <w:ind w:firstLine="0"/>
      </w:pPr>
      <w:bookmarkStart w:id="2" w:name="_DatagraphToc002"/>
      <w:r>
        <w:rPr>
          <w:rFonts/>
        </w:rPr>
        <w:t>1.1 建设目标</w:t>
      </w:r>
      <w:bookmarkEnd w:id="2"/>
    </w:p>
    <w:p w14:paraId="23E550D5">
      <w:pPr>
        <w:ind w:firstLine="560"/>
      </w:pPr>
      <w:r>
        <w:rPr>
          <w:rFonts/>
        </w:rPr>
        <w:t>知识模型建设的首要目标，是将分散在业务系统、交易系统、客户管理系统、外部数据源和人工调查材料中的信息转化为结构明确、语义一致的知识对象。模型需要对案例涉及的主体、账户、交易、业务活动、关系网络和证据来源进行统一描述，使不同来源的数据在进入识别流程后能够依据共同的数据口径进行汇聚和关联，减少因字段命名、业务口径和数据粒度不一致造成的信息割裂。</w:t>
      </w:r>
    </w:p>
    <w:p w14:paraId="25CA020A">
      <w:pPr>
        <w:ind w:firstLine="560"/>
      </w:pPr>
      <w:r>
        <w:rPr>
          <w:rFonts/>
        </w:rPr>
        <w:t>知识模型还应服务于非法行为的全过程识别。模型不仅需要记录已经确认的结果，还需要表达从异常线索出现、关联主体发现、行为链条还原、证据交叉验证到风险结论形成的完整过程。通过对行为发生时间、参与角色、作用对象、资金方向、业务场景及证据支撑程度的结构化描述，识别系统能够从孤立事实中提取具有业务含义的行为组合，并对潜在风险进行解释和追溯。</w:t>
      </w:r>
    </w:p>
    <w:p w14:paraId="7139B797">
      <w:pPr>
        <w:ind w:firstLine="560"/>
      </w:pPr>
      <w:r>
        <w:rPr>
          <w:rFonts/>
        </w:rPr>
        <w:t>知识模型应具备良好的扩展能力和治理能力。随着监管要求、业务产品、非法行为手法以及数据来源的变化，模型需要在保持核心语义稳定的前提下扩展新的实体类型、事件类型、关系类型和证据类型，同时对概念定义、属性口径、编码规则、版本变化和数据质量进行持续管理。通过稳定的上层结构与可扩展的领域词表相结合，保证知识模型能够适应不同业务场景和后续系统建设需要。</w:t>
      </w:r>
    </w:p>
    <w:p w14:paraId="26F78A0F">
      <w:pPr>
        <w:pStyle w:val="3"/>
        <w:ind w:firstLine="0"/>
      </w:pPr>
      <w:bookmarkStart w:id="3" w:name="_DatagraphToc003"/>
      <w:r>
        <w:rPr>
          <w:rFonts/>
        </w:rPr>
        <w:t>1.2 知识模型总体结构</w:t>
      </w:r>
      <w:bookmarkEnd w:id="3"/>
    </w:p>
    <w:p w14:paraId="38DF4BE6">
      <w:pPr>
        <w:ind w:firstLine="560"/>
      </w:pPr>
      <w:r>
        <w:rPr>
          <w:rFonts/>
        </w:rPr>
        <w:t>知识模型采用案例基本信息层、实体层、事件层、关系层和证据层组成的五层结构。五层结构以案例为组织边界，以实体为参与对象，以事件为行为载体，以关系为关联通道，以证据为事实支撑，共同形成对非法行为的完整表达。各层既承担相对独立的知识组织任务，又通过统一标识、时间约束、角色约束和来源约束建立连接，从而把分散的数据转化为可分析的案例知识网络。</w:t>
      </w:r>
    </w:p>
    <w:p w14:paraId="37B43B64">
      <w:pPr>
        <w:ind w:firstLine="560"/>
      </w:pPr>
      <w:r>
        <w:rPr>
          <w:rFonts/>
        </w:rPr>
        <w:t>案例基本信息层负责确定知识组织范围，记录案例的基本身份、来源、状态、涉及业务领域、风险类别、处置阶段及管理信息。实体层描述案例中可以被识别和关联的参与对象，并保存其稳定属性、识别标识与风险特征。事件层表达在特定时间和业务场景下发生的行为或状态变化，是串联主体活动和资金过程的核心。关系层用于刻画主体之间、主体与事件之间以及事件之间的语义联系。证据层记录支撑事实判断和风险结论的数据、材料及其来源，并对证据的可靠性、完整性和关联范围进行管理。</w:t>
      </w:r>
    </w:p>
    <w:p w14:paraId="509889B4">
      <w:pPr>
        <w:ind w:firstLine="560"/>
      </w:pPr>
      <w:r>
        <w:rPr>
          <w:rFonts/>
        </w:rPr>
        <w:t>五层结构以统一的案例标识和知识对象标识实现贯通。案例中的每个实体、事件、关系和证据对象均具有唯一标识，并通过明确的引用关系与所属案例建立联系。对于跨案例重复出现的主体，可通过标准化身份标识和实体消歧机制形成统一实体视图；对于跨系统重复记录的事件和证据，可依据业务流水号、时间、金额、参与主体和来源系统等要素完成去重与对齐。该结构既支持以单个案例为中心的纵向分析，也支持跨案例、跨主体和跨时间范围的横向关联分析。</w:t>
      </w:r>
    </w:p>
    <w:p w14:paraId="15345017">
      <w:pPr>
        <w:pStyle w:val="3"/>
        <w:ind w:firstLine="0"/>
      </w:pPr>
      <w:bookmarkStart w:id="4" w:name="_DatagraphToc004"/>
      <w:r>
        <w:rPr>
          <w:rFonts/>
        </w:rPr>
        <w:t>1.3 五层知识结构设计</w:t>
      </w:r>
      <w:bookmarkEnd w:id="4"/>
    </w:p>
    <w:p w14:paraId="3AFE2F7D">
      <w:pPr>
        <w:pStyle w:val="4"/>
        <w:ind w:firstLine="0"/>
      </w:pPr>
      <w:bookmarkStart w:id="5" w:name="_DatagraphToc005"/>
      <w:r>
        <w:rPr>
          <w:rFonts/>
        </w:rPr>
        <w:t>1.3.1 案例基本信息层</w:t>
      </w:r>
      <w:bookmarkEnd w:id="5"/>
    </w:p>
    <w:p w14:paraId="73C34644">
      <w:pPr>
        <w:ind w:firstLine="560"/>
      </w:pPr>
      <w:r>
        <w:rPr>
          <w:rFonts/>
        </w:rPr>
        <w:t>案例基本信息层是五层知识结构的组织入口，用于描述一个非法行为识别任务的基本范围和管理状态。该层围绕案例建立统一档案，记录案例编号、案例名称、线索来源、受理时间、涉及机构、业务领域、风险类型、当前状态、责任部门、处置阶段及保密等级等信息，并保存案例创建、更新、流转和关闭过程中的时间记录。通过案例级信息，可以明确后续实体、事件、关系和证据对象的归属范围，保证不同分析人员和不同系统对同一案例形成一致理解。</w:t>
      </w:r>
    </w:p>
    <w:p w14:paraId="44F67C74">
      <w:pPr>
        <w:ind w:firstLine="560"/>
      </w:pPr>
      <w:r>
        <w:rPr>
          <w:rFonts/>
        </w:rPr>
        <w:t>案例基本信息层还承担风险识别结果的汇总功能。模型可在案例对象上记录当前风险等级、主要风险标签、关键涉案主体、核心行为链条、证据充分程度和处置建议，但这些内容不是孤立填写的静态结论，而是由下层知识对象计算、关联或人工审核后形成。案例状态及风险结论需要保留版本和变更记录，使每次判断能够对应当时可用的数据和证据，满足复核、审计和责任追踪要求。</w:t>
      </w:r>
    </w:p>
    <w:p w14:paraId="6C66BF0D">
      <w:pPr>
        <w:pStyle w:val="4"/>
        <w:ind w:firstLine="0"/>
      </w:pPr>
      <w:bookmarkStart w:id="6" w:name="_DatagraphToc006"/>
      <w:r>
        <w:rPr>
          <w:rFonts/>
        </w:rPr>
        <w:t>1.3.2 实体层</w:t>
      </w:r>
      <w:bookmarkEnd w:id="6"/>
    </w:p>
    <w:p w14:paraId="58E8FC59">
      <w:pPr>
        <w:ind w:firstLine="560"/>
      </w:pPr>
      <w:r>
        <w:rPr>
          <w:rFonts/>
        </w:rPr>
        <w:t>实体层用于描述案例中具有独立身份、能够参与业务活动或承载风险的对象。核心实体包括自然人、法人及其他组织、银行账户、支付账户、银行卡、商户、设备、网络地址、联系方式、地址、金融产品和银行机构等。每类实体均应定义必要的身份属性、业务属性、状态属性和来源属性，并通过统一标识形成可持续更新的实体记录。实体建模既要保留原始数据中的业务编号，也要形成知识模型内部的对象编号，以支持多源数据合并和跨系统引用。</w:t>
      </w:r>
    </w:p>
    <w:p w14:paraId="23F5F659">
      <w:pPr>
        <w:ind w:firstLine="560"/>
      </w:pPr>
      <w:r>
        <w:rPr>
          <w:rFonts/>
        </w:rPr>
        <w:t>实体识别需要处理同名异体、异名同体、信息缺失和信息冲突等问题。模型应综合身份号码、统一社会信用代码、账户信息、联系方式、设备特征、地址信息和历史关联记录开展实体匹配，并为匹配结果记录置信度、匹配依据和审核状态。对于尚不能确认是否为同一对象的记录，应保留候选关联而不直接合并；对于已经完成消歧的实体，应维护其别名、历史标识和来源映射，确保原始记录仍可追溯。</w:t>
      </w:r>
    </w:p>
    <w:p w14:paraId="6DCB05B9">
      <w:pPr>
        <w:ind w:firstLine="560"/>
      </w:pPr>
      <w:r>
        <w:rPr>
          <w:rFonts/>
        </w:rPr>
        <w:t>实体层还应承载与风险识别有关的基础特征和动态标签。基础特征描述实体相对稳定的身份和经营状况，动态标签反映其在一定时间窗口内呈现的业务活动、异常状态和关联风险。标签必须具有生成时间、适用范围、计算口径和来源依据，避免将阶段性风险判断固化为永久属性。通过实体基础属性与动态特征的结合，可以为后续事件分析、关系网络分析和案例综合评估提供统一对象基础。</w:t>
      </w:r>
    </w:p>
    <w:p w14:paraId="527287DA">
      <w:pPr>
        <w:pStyle w:val="4"/>
        <w:ind w:firstLine="0"/>
      </w:pPr>
      <w:bookmarkStart w:id="7" w:name="_DatagraphToc007"/>
      <w:r>
        <w:rPr>
          <w:rFonts/>
        </w:rPr>
        <w:t>1.3.3 事件层</w:t>
      </w:r>
      <w:bookmarkEnd w:id="7"/>
    </w:p>
    <w:p w14:paraId="3348489B">
      <w:pPr>
        <w:ind w:firstLine="560"/>
      </w:pPr>
      <w:r>
        <w:rPr>
          <w:rFonts/>
        </w:rPr>
        <w:t>事件层用于表达主体在特定时间、地点或业务场景中发生的行为，是知识模型描述非法行为过程的核心。事件可分为交易事件、账户事件、客户行为事件、业务办理事件、身份变更事件、设备使用事件、司法监管事件和调查处置事件等类型。每个事件至少需要描述事件类型、发生时间、参与实体、参与角色、作用对象、业务渠道、地点或网络环境、结果状态、来源系统及原始记录标识，并根据事件类型补充金额、币种、产品、交易方向、业务用途等专有属性。</w:t>
      </w:r>
    </w:p>
    <w:p w14:paraId="291127FF">
      <w:pPr>
        <w:ind w:firstLine="560"/>
      </w:pPr>
      <w:r>
        <w:rPr>
          <w:rFonts/>
        </w:rPr>
        <w:t>事件建模应关注行为的过程性和上下文。单个事件可以反映局部事实，但非法行为通常表现为多个事件在时间、主体、资金和业务环节上的组合。因此，模型需要保存事件的先后顺序、因果候选、包含关系、触发关系和共同参与关系，使分析系统能够还原资金进入、流转和转出过程，识别业务申请、账户控制、交易执行和结果处置之间的联系。事件之间的组合规则应与时间窗口、金额口径和参与角色约束共同使用，防止仅因时间接近或主体相同而形成不准确的行为链条。</w:t>
      </w:r>
    </w:p>
    <w:p w14:paraId="486457E9">
      <w:pPr>
        <w:ind w:firstLine="560"/>
      </w:pPr>
      <w:r>
        <w:rPr>
          <w:rFonts/>
        </w:rPr>
        <w:t>事件层还需要区分原始事件、派生事件和分析事件。原始事件直接来源于业务系统或外部数据，派生事件由多条原始记录聚合形成，分析事件则用于表达通过规则、模型或人工研判识别出的行为模式。不同层次的事件应保留生成方式和依赖关系，使分析结论能够回溯到具体原始记录。对于事件属性发生修正或补充的情况，应采用版本化管理，保存修改前后的值及其依据。</w:t>
      </w:r>
    </w:p>
    <w:p w14:paraId="7B32FAEC">
      <w:pPr>
        <w:pStyle w:val="4"/>
        <w:ind w:firstLine="0"/>
      </w:pPr>
      <w:bookmarkStart w:id="8" w:name="_DatagraphToc008"/>
      <w:r>
        <w:rPr>
          <w:rFonts/>
        </w:rPr>
        <w:t>1.3.4 关系层</w:t>
      </w:r>
      <w:bookmarkEnd w:id="8"/>
    </w:p>
    <w:p w14:paraId="47364E25">
      <w:pPr>
        <w:ind w:firstLine="560"/>
      </w:pPr>
      <w:r>
        <w:rPr>
          <w:rFonts/>
        </w:rPr>
        <w:t>关系层用于描述知识对象之间具有业务含义的联系，是发现隐蔽控制、利益关联和协同行为的重要基础。关系既包括实体之间的身份、组织、控制、资金和业务联系，也包括实体与事件之间的参与关系、事件之间的时序和逻辑关系，以及证据与实体、事件、关系和结论之间的支撑关系。每条关系应明确起点对象、终点对象、关系类型、方向、有效时间、来源、置信度和确认状态，并根据需要记录比例、角色、金额、频次或强度等关系属性。</w:t>
      </w:r>
    </w:p>
    <w:p w14:paraId="0AB9E754">
      <w:pPr>
        <w:ind w:firstLine="560"/>
      </w:pPr>
      <w:r>
        <w:rPr>
          <w:rFonts/>
        </w:rPr>
        <w:t>关系建模需要区分事实关系、推断关系和统计关联。事实关系由合同、登记信息、业务记录或明确证据直接证明；推断关系由规则、模型或图分析结果生成；统计关联反映对象之间在一定时间窗口内的共同出现或行为相似程度。三类关系在可信程度和使用范围上不同，必须通过关系来源和证据等级加以区分。推断关系应记录推断规则、输入对象、计算时间和置信度，并在基础事实发生变化时能够重新计算或失效。</w:t>
      </w:r>
    </w:p>
    <w:p w14:paraId="5152DE04">
      <w:pPr>
        <w:ind w:firstLine="560"/>
      </w:pPr>
      <w:r>
        <w:rPr>
          <w:rFonts/>
        </w:rPr>
        <w:t>关系层应支持网络结构分析，但网络结果必须保持业务可解释性。模型可以计算关联主体数量、网络密度、中心性、控制路径、资金循环和跨案例复现情况等特征，用于识别关键节点和异常群体。计算结果应能够回到构成网络的具体实体、事件和事实关系，避免将纯粹的图结构相似性直接等同于非法行为。通过关系语义、时间范围和证据约束相结合，可以提高网络分析结果的准确性和可复核性。</w:t>
      </w:r>
    </w:p>
    <w:p w14:paraId="56672118">
      <w:pPr>
        <w:pStyle w:val="4"/>
        <w:ind w:firstLine="0"/>
      </w:pPr>
      <w:bookmarkStart w:id="9" w:name="_DatagraphToc009"/>
      <w:r>
        <w:rPr>
          <w:rFonts/>
        </w:rPr>
        <w:t>1.3.5 证据层</w:t>
      </w:r>
      <w:bookmarkEnd w:id="9"/>
    </w:p>
    <w:p w14:paraId="5E975261">
      <w:pPr>
        <w:ind w:firstLine="560"/>
      </w:pPr>
      <w:r>
        <w:rPr>
          <w:rFonts/>
        </w:rPr>
        <w:t>证据层用于记录支持案例事实、关系判断和风险结论的数据与材料。证据可以来源于银行内部业务记录、交易流水、客户资料、影像文件、合同凭证、系统日志、外部登记信息、监管及司法文书、公开信息和人工调查记录等。证据对象应描述证据名称、证据类型、来源机构、获取方式、形成时间、采集时间、保管位置、内容摘要、关联对象、数据范围、访问权限及完整性校验信息，使每项重要事实都能够定位到相应依据。</w:t>
      </w:r>
    </w:p>
    <w:p w14:paraId="1C364441">
      <w:pPr>
        <w:ind w:firstLine="560"/>
      </w:pPr>
      <w:r>
        <w:rPr>
          <w:rFonts/>
        </w:rPr>
        <w:t>证据层需要建立证据与知识对象之间的细粒度关联。证据可以支持或反驳某个实体身份、事件属性、关系事实或风险结论，也可以仅作为待核实线索。模型应记录证据的作用类型、适用范围、证明强度和审核状态，并允许同一事实由多项证据共同支持或由相互冲突的证据形成待决问题。对于来自规则计算或模型推断的结果，应同时保存输入数据、计算逻辑、模型版本和输出时间，使算法结果具备可追溯性。</w:t>
      </w:r>
    </w:p>
    <w:p w14:paraId="7937B057">
      <w:pPr>
        <w:ind w:firstLine="560"/>
      </w:pPr>
      <w:r>
        <w:rPr>
          <w:rFonts/>
        </w:rPr>
        <w:t>证据管理还应满足数据安全和合规要求。对于包含个人信息、账户信息和调查材料的证据，应依据数据敏感级别实施访问控制、脱敏展示、使用留痕和保留期限管理。证据原文与知识模型中的结构化摘要之间需要保持稳定引用，任何修改、替换或失效处理均应记录操作人员、操作时间和处理原因。通过完整的证据链管理，保证识别结果能够被解释、复核和审计。</w:t>
      </w:r>
    </w:p>
    <w:p w14:paraId="7DF750AD">
      <w:pPr>
        <w:pStyle w:val="3"/>
        <w:ind w:firstLine="0"/>
      </w:pPr>
      <w:bookmarkStart w:id="10" w:name="_DatagraphToc010"/>
      <w:r>
        <w:rPr>
          <w:rFonts/>
        </w:rPr>
        <w:t>1.4 五层模型的协同运行逻辑</w:t>
      </w:r>
      <w:bookmarkEnd w:id="10"/>
    </w:p>
    <w:p w14:paraId="5C765270">
      <w:pPr>
        <w:ind w:firstLine="560"/>
      </w:pPr>
      <w:r>
        <w:rPr>
          <w:rFonts/>
        </w:rPr>
        <w:t>五层模型按照“案例组织、实体归一、事件还原、关系连接、证据验证”的逻辑协同运行。系统接收风险线索后，首先建立或匹配案例对象，确定分析范围和任务状态；随后从多源数据中识别参与实体，完成身份对齐和实体消歧；在统一实体基础上抽取交易、业务办理、账户变更和外部处置等事件，并依据时间与参与角色形成事件序列；之后建立主体之间、主体与事件之间以及事件之间的关系，形成可分析的知识网络；最后将关键事实、关联判断和风险结论与相应证据绑定，形成可追溯的案例知识链条。</w:t>
      </w:r>
    </w:p>
    <w:p w14:paraId="1D25EE8E">
      <w:pPr>
        <w:ind w:firstLine="560"/>
      </w:pPr>
      <w:r>
        <w:rPr>
          <w:rFonts/>
        </w:rPr>
        <w:t>在识别过程中，各层信息并非一次生成后保持不变。新增数据可能补充实体属性、修正事件要素、确认关系性质或改变证据强度，模型应通过增量更新和版本控制将变化传递到相关知识对象。规则引擎、图计算和统计模型可以在五层知识结构上生成风险指标和候选结论，但结果需要与证据状态、数据质量和人工审核相结合。对于证据不足或关系置信度较低的结论，应标记为待核实并进入后续调查流程，而不是直接形成确定性判断。</w:t>
      </w:r>
    </w:p>
    <w:p w14:paraId="585A4681">
      <w:pPr>
        <w:ind w:firstLine="560"/>
      </w:pPr>
      <w:r>
        <w:rPr>
          <w:rFonts/>
        </w:rPr>
        <w:t>五层模型同时为系统间的数据交换和能力复用提供基础。上游系统可按照统一对象和字段规范提供数据，下游系统可依据案例、实体、事件、关系和证据接口获取所需知识。风险规则、分析模型和可视化应用均基于同一知识语义开展工作，从而减少重复建模和口径不一致。通过持续维护模型词表、映射规则、数据质量指标和版本信息，可以形成稳定演进的非法行为识别知识基础设施。</w:t>
      </w:r>
    </w:p>
    <w:p w14:paraId="54F0D6A6">
      <w:pPr>
        <w:pStyle w:val="2"/>
        <w:pageBreakBefore/>
        <w:ind w:firstLine="643"/>
      </w:pPr>
      <w:bookmarkStart w:id="11" w:name="_DatagraphToc011"/>
      <w:r>
        <w:rPr>
          <w:rFonts w:hint="eastAsia"/>
        </w:rPr>
        <w:t>二、非法行为知识本体设计</w:t>
      </w:r>
      <w:bookmarkEnd w:id="11"/>
    </w:p>
    <w:p w14:paraId="12DD751C">
      <w:pPr>
        <w:ind w:firstLine="560"/>
      </w:pPr>
      <w:r>
        <w:rPr>
          <w:rFonts/>
        </w:rPr>
        <w:t>非法行为知识本体是五层知识结构在语义层面的形式化表达，用于统一定义案例、实体、事件、关系和证据等知识对象的概念边界、属性约束及连接规则。本体设计需要兼顾银行业务事实表达、风险分析计算和证据追溯要求，使不同来源、不同粒度的数据能够按照一致语义完成映射，并为规则推理、图分析、统计建模和人工研判提供可共享的知识基础。</w:t>
      </w:r>
    </w:p>
    <w:p w14:paraId="4BAC0339">
      <w:pPr>
        <w:pStyle w:val="3"/>
        <w:ind w:firstLine="0"/>
      </w:pPr>
      <w:bookmarkStart w:id="12" w:name="_DatagraphToc012"/>
      <w:r>
        <w:rPr>
          <w:rFonts/>
        </w:rPr>
        <w:t>2.1 本体设计目标与原则</w:t>
      </w:r>
      <w:bookmarkEnd w:id="12"/>
    </w:p>
    <w:p w14:paraId="69BFFAD4">
      <w:pPr>
        <w:ind w:firstLine="560"/>
      </w:pPr>
      <w:r>
        <w:rPr>
          <w:rFonts/>
        </w:rPr>
        <w:t>本体设计的目标是形成覆盖非法行为识别主要业务对象的统一概念体系。该体系应能够准确描述谁以何种身份参与了什么行为，行为发生于何时、何地和何种业务环境，行为涉及哪些账户、产品和资金，以及相关判断由哪些证据支撑。通过对概念和关系进行形式化定义，模型可以消除同一业务对象在不同系统中的命名差异，也可以避免同一术语在不同分析场景中被赋予不一致含义。</w:t>
      </w:r>
    </w:p>
    <w:p w14:paraId="739A98B4">
      <w:pPr>
        <w:ind w:firstLine="560"/>
      </w:pPr>
      <w:r>
        <w:rPr>
          <w:rFonts/>
        </w:rPr>
        <w:t>本体设计遵循业务语义优先、层次清晰、约束明确、适度抽象和持续扩展的原则。业务语义优先要求概念定义能够对应真实业务对象和流程，不以技术存储结构替代业务含义；层次清晰要求上位概念保持稳定，下位概念反映业务差异；约束明确要求类、属性和关系具有可校验的适用范围、值域和基数；适度抽象要求既避免将所有字段直接固化为本体概念，也避免抽象程度过高而失去识别价值；持续扩展要求新增业务类型和风险手法能够通过扩展词表与子类实现，而不破坏既有模型。</w:t>
      </w:r>
    </w:p>
    <w:p w14:paraId="226D15E7">
      <w:pPr>
        <w:ind w:firstLine="560"/>
      </w:pPr>
      <w:r>
        <w:rPr>
          <w:rFonts/>
        </w:rPr>
        <w:t>本体还应遵循可追溯和可治理原则。任何由数据映射、规则计算或模型推断形成的本体实例，都应记录来源、生成时间、版本和置信度。概念、属性、关系和约束的变更需要纳入版本管理，明确生效范围及兼容关系。对于涉及个人信息、客户资料和调查材料的知识对象，应在本体层定义敏感级别、访问范围和脱敏要求，使安全控制能够与知识对象同步执行。</w:t>
      </w:r>
    </w:p>
    <w:p w14:paraId="14938790">
      <w:pPr>
        <w:pStyle w:val="3"/>
        <w:ind w:firstLine="0"/>
      </w:pPr>
      <w:bookmarkStart w:id="13" w:name="_DatagraphToc013"/>
      <w:r>
        <w:rPr>
          <w:rFonts/>
        </w:rPr>
        <w:t>2.2 本体元模型与总体结构</w:t>
      </w:r>
      <w:bookmarkEnd w:id="13"/>
    </w:p>
    <w:p w14:paraId="0F07CE0B">
      <w:pPr>
        <w:ind w:firstLine="560"/>
      </w:pPr>
      <w:r>
        <w:rPr>
          <w:rFonts/>
        </w:rPr>
        <w:t>本体元模型由类、对象属性、数据属性、约束、词表和实例组成。类用于定义具有共同语义和结构的知识对象；对象属性用于连接不同实例，表达参与、控制、交易、归属、支撑等关系；数据属性用于描述实例自身的标识、时间、金额、状态和文本特征；约束用于限定属性的适用类、取值类型、基数、方向和有效条件；词表提供受控的类型、状态、角色和代码集合；实例则是按照上述定义生成的具体案例知识对象。</w:t>
      </w:r>
    </w:p>
    <w:p w14:paraId="5EA23200">
      <w:pPr>
        <w:ind w:firstLine="560"/>
      </w:pPr>
      <w:r>
        <w:rPr>
          <w:rFonts/>
        </w:rPr>
        <w:t>总体结构以“知识对象”为顶层抽象类，下设案例、实体、事件、证据四类核心对象，并以关系对象连接各类实例。实体类进一步划分为主体类、账户与载体类、设备与环境类、机构与产品类等；事件类按照业务行为、交易活动、状态变化和外部处置进行组织；证据类按照数据记录、文件材料、系统日志、外部信息和分析结果进行划分。关系既可采用对象属性直接连接，也可在需要保存时间、来源、比例、金额、置信度和证据引用时建模为独立关系实例。</w:t>
      </w:r>
    </w:p>
    <w:p w14:paraId="7B0613A0">
      <w:pPr>
        <w:ind w:firstLine="560"/>
      </w:pPr>
      <w:r>
        <w:rPr>
          <w:rFonts/>
        </w:rPr>
        <w:t>本体结构与五层知识结构保持一致，但本体承担的是语义定义和约束职责。案例基本信息通过案例类及其属性表达，实体层通过实体类体系表达，事件层通过事件类体系表达，关系层通过对象属性和关系实例表达，证据层通过证据类及证明关系表达。风险标签、分类结果和分级结果作为分析属性或评估对象附着于相关知识对象，并通过生成规则和证据引用说明其来源，避免与基础事实混合。</w:t>
      </w:r>
    </w:p>
    <w:p w14:paraId="27C06350">
      <w:pPr>
        <w:pStyle w:val="3"/>
        <w:ind w:firstLine="0"/>
      </w:pPr>
      <w:bookmarkStart w:id="14" w:name="_DatagraphToc014"/>
      <w:r>
        <w:rPr>
          <w:rFonts/>
        </w:rPr>
        <w:t>2.3 核心本体类定义</w:t>
      </w:r>
      <w:bookmarkEnd w:id="14"/>
    </w:p>
    <w:p w14:paraId="49EAE4E7">
      <w:pPr>
        <w:pStyle w:val="4"/>
        <w:ind w:firstLine="0"/>
      </w:pPr>
      <w:bookmarkStart w:id="15" w:name="_DatagraphToc015"/>
      <w:r>
        <w:rPr>
          <w:rFonts/>
        </w:rPr>
        <w:t>2.3.1 案例本体</w:t>
      </w:r>
      <w:bookmarkEnd w:id="15"/>
    </w:p>
    <w:p w14:paraId="49F5CC54">
      <w:pPr>
        <w:ind w:firstLine="560"/>
      </w:pPr>
      <w:r>
        <w:rPr>
          <w:rFonts/>
        </w:rPr>
        <w:t>案例本体用于表示一次具有明确分析范围和管理生命周期的非法行为识别任务。案例类的核心属性包括案例标识、名称、线索来源、受理时间、涉及机构、业务领域、风险类别、案件状态、处置阶段、责任部门、风险等级、保密等级和版本信息。案例实例通过“包含实体”“包含事件”“包含关系”“引用证据”等对象属性组织下层知识对象，并可通过“关联案例”表达不同案例之间因共同主体、共同事件或相似行为而形成的联系。</w:t>
      </w:r>
    </w:p>
    <w:p w14:paraId="20F2EEF7">
      <w:pPr>
        <w:ind w:firstLine="560"/>
      </w:pPr>
      <w:r>
        <w:rPr>
          <w:rFonts/>
        </w:rPr>
        <w:t>案例本体需要区分事实性管理信息和分析性结论。线索来源、创建时间和责任部门等属于案例管理事实，风险类别、风险等级和处置建议属于随分析进展变化的结论信息。分析性属性应记录评估时间、评估方法、规则或模型版本、审核人员和生效状态。当案例被合并、拆分、转交或关闭时，应通过状态变化记录保留完整生命周期，并保持原有案例标识与相关知识对象的可追溯联系。</w:t>
      </w:r>
    </w:p>
    <w:p w14:paraId="6907AE17">
      <w:pPr>
        <w:pStyle w:val="4"/>
        <w:ind w:firstLine="0"/>
      </w:pPr>
      <w:bookmarkStart w:id="16" w:name="_DatagraphToc016"/>
      <w:r>
        <w:rPr>
          <w:rFonts/>
        </w:rPr>
        <w:t>2.3.2 实体本体</w:t>
      </w:r>
      <w:bookmarkEnd w:id="16"/>
    </w:p>
    <w:p w14:paraId="0FF46FB2">
      <w:pPr>
        <w:ind w:firstLine="560"/>
      </w:pPr>
      <w:r>
        <w:rPr>
          <w:rFonts/>
        </w:rPr>
        <w:t>实体本体用于定义非法行为识别过程中可以独立识别和持续关联的对象。自然人、法人及其他组织属于主体实体；银行账户、支付账户、银行卡和商户号属于账户与业务载体实体；设备、网络地址、联系方式和地址属于行为环境与识别线索实体；银行机构、金融产品和渠道属于业务资源实体。各子类继承实体标识、名称、状态、来源、创建时间、更新时间和数据质量等公共属性，同时拥有符合自身业务含义的专有属性。</w:t>
      </w:r>
    </w:p>
    <w:p w14:paraId="1817B8C9">
      <w:pPr>
        <w:ind w:firstLine="560"/>
      </w:pPr>
      <w:r>
        <w:rPr>
          <w:rFonts/>
        </w:rPr>
        <w:t>自然人实体应以身份识别信息、基础属性和客户状态为主要描述内容；法人及其他组织实体应关注登记信息、组织状态、经营范围、股权及受益所有权信息；账户及业务载体实体应描述开户主体、开户机构、账户类型、币种、状态和有效期间；设备与网络环境实体应描述设备标识、网络标识、使用时间和来源系统。敏感属性应通过访问级别和脱敏策略进行控制，原始值与标准化值之间应保留映射。</w:t>
      </w:r>
    </w:p>
    <w:p w14:paraId="039CFFAD">
      <w:pPr>
        <w:ind w:firstLine="560"/>
      </w:pPr>
      <w:r>
        <w:rPr>
          <w:rFonts/>
        </w:rPr>
        <w:t>实体本体应支持实体解析与身份合并。模型可设置“等同于”“可能等同于”“曾用标识”和“来源记录”等语义，用于表达不同数据记录之间的身份判断。确认等同的实体可以形成主实体及来源实体集合，但不得丢失原始记录；尚未确认的候选匹配应单独保存置信度和匹配依据。实体状态、标签和风险特征应带有时间范围，以反映其随业务活动和调查进展发生的变化。</w:t>
      </w:r>
    </w:p>
    <w:p w14:paraId="11801B20">
      <w:pPr>
        <w:pStyle w:val="4"/>
        <w:ind w:firstLine="0"/>
      </w:pPr>
      <w:bookmarkStart w:id="17" w:name="_DatagraphToc017"/>
      <w:r>
        <w:rPr>
          <w:rFonts/>
        </w:rPr>
        <w:t>2.3.3 事件本体</w:t>
      </w:r>
      <w:bookmarkEnd w:id="17"/>
    </w:p>
    <w:p w14:paraId="169E7CE9">
      <w:pPr>
        <w:ind w:firstLine="560"/>
      </w:pPr>
      <w:r>
        <w:rPr>
          <w:rFonts/>
        </w:rPr>
        <w:t>事件本体用于表示在一定时间和业务场景下发生、能够改变对象状态或反映对象行为的事实。事件类具有事件标识、事件类型、发生时间、记录时间、业务场景、渠道、地点、结果状态、来源系统、原始记录标识和数据质量等公共属性。参与实体通过带有角色语义的关系与事件连接，使同一实体在不同事件中可以分别承担发起方、接收方、经办方、控制方、受益方或其他业务角色。</w:t>
      </w:r>
    </w:p>
    <w:p w14:paraId="385A5CC0">
      <w:pPr>
        <w:ind w:firstLine="560"/>
      </w:pPr>
      <w:r>
        <w:rPr>
          <w:rFonts/>
        </w:rPr>
        <w:t>交易事件用于描述资金或资产在参与对象之间的转移，除公共属性外，还包括金额、币种、借贷方向、交易渠道、交易用途、对手信息和业务流水等属性。账户事件用于描述开户、销户、冻结、解冻、信息变更和权限调整等账户生命周期行为。客户行为事件用于描述登录、认证、设备使用、资料提交和业务申请等活动。外部处置事件用于表达监管措施、司法措施、名单变化和调查处理等外部事实。各类事件的专有属性通过子类继承和约束进行管理，避免在所有事件上设置大量无效字段。</w:t>
      </w:r>
    </w:p>
    <w:p w14:paraId="5071E856">
      <w:pPr>
        <w:ind w:firstLine="560"/>
      </w:pPr>
      <w:r>
        <w:rPr>
          <w:rFonts/>
        </w:rPr>
        <w:t>事件本体应支持复合事件与事件链表达。复合事件由多个具有共同主体、时间范围或业务目标的基础事件聚合形成，事件链则通过先于、后于、触发、导致、包含和共同组成等关系表达过程结构。复合和分析事件必须记录其构成事件、生成条件、时间窗口和计算版本。事件之间的因果关系只有在业务规则或证据能够支持时才可确认，单纯的时间先后应表示为时序关系而非确定因果。</w:t>
      </w:r>
    </w:p>
    <w:p w14:paraId="46546C74">
      <w:pPr>
        <w:pStyle w:val="4"/>
        <w:ind w:firstLine="0"/>
      </w:pPr>
      <w:bookmarkStart w:id="18" w:name="_DatagraphToc018"/>
      <w:r>
        <w:rPr>
          <w:rFonts/>
        </w:rPr>
        <w:t>2.3.4 证据本体</w:t>
      </w:r>
      <w:bookmarkEnd w:id="18"/>
    </w:p>
    <w:p w14:paraId="7D57AF7C">
      <w:pPr>
        <w:ind w:firstLine="560"/>
      </w:pPr>
      <w:r>
        <w:rPr>
          <w:rFonts/>
        </w:rPr>
        <w:t>证据本体用于描述能够支持或反驳知识事实和风险结论的数据与材料。证据类具有证据标识、证据名称、证据类型、来源机构、形成时间、获取时间、获取方式、存储位置、内容摘要、校验值、敏感级别、审核状态和有效状态等属性。根据载体和来源，可划分为结构化业务记录、交易流水、文件影像、合同凭证、系统日志、外部登记信息、监管司法文书、公开信息、人工调查记录和分析结果等子类。</w:t>
      </w:r>
    </w:p>
    <w:p w14:paraId="1F10D9CB">
      <w:pPr>
        <w:ind w:firstLine="560"/>
      </w:pPr>
      <w:r>
        <w:rPr>
          <w:rFonts/>
        </w:rPr>
        <w:t>证据本体通过“支持”“反驳”“佐证”“来源于”和“由……生成”等关系连接实体、事件、关系及评估结论。证明关系需要记录证明对象、作用范围、证明强度、审核人员和确认时间。同一知识事实可以由多项证据共同支持，一项证据也可以同时关联多个事实；存在冲突时，不应简单覆盖其中一方，而应保存冲突状态和待核实事项。分析结果类证据还需记录输入数据范围、算法或规则版本、参数配置和运行时间，以保证计算过程可复现。</w:t>
      </w:r>
    </w:p>
    <w:p w14:paraId="0CAB788F">
      <w:pPr>
        <w:pStyle w:val="3"/>
        <w:ind w:firstLine="0"/>
      </w:pPr>
      <w:bookmarkStart w:id="19" w:name="_DatagraphToc019"/>
      <w:r>
        <w:rPr>
          <w:rFonts/>
        </w:rPr>
        <w:t>2.4 关系类型与语义约束</w:t>
      </w:r>
      <w:bookmarkEnd w:id="19"/>
    </w:p>
    <w:p w14:paraId="5853BF4B">
      <w:pPr>
        <w:ind w:firstLine="560"/>
      </w:pPr>
      <w:r>
        <w:rPr>
          <w:rFonts/>
        </w:rPr>
        <w:t>关系类型按照身份与组织关系、控制与受益关系、账户与资源关系、业务参与关系、交易与资金关系、事件逻辑关系、证据证明关系和案例组织关系进行设计。关系名称应采用稳定、明确的业务动词或动词短语，并为每类关系定义起点类、终点类、方向、是否对称、是否可传递、有效时间和允许的关系属性。具有重要业务语义的反向关系应显式定义，例如“控制”与“受控制于”，以便查询和推理保持一致。</w:t>
      </w:r>
    </w:p>
    <w:p w14:paraId="2F41F08D">
      <w:pPr>
        <w:ind w:firstLine="560"/>
      </w:pPr>
      <w:r>
        <w:rPr>
          <w:rFonts/>
        </w:rPr>
        <w:t>实体之间的关系用于表达身份、亲属、任职、雇佣、股权、最终受益、控制、担保、借贷、合作、服务、账户归属和交易对手等联系。关系是否成立不能仅依赖名称相似或共同出现，需要结合业务记录、时间重合、证据来源和识别置信度进行判断。对于股权比例、控制比例、任职期间、账户使用期间等具有时间和数值属性的关系，应建模为独立关系实例，以便保存属性变化和证据引用。</w:t>
      </w:r>
    </w:p>
    <w:p w14:paraId="2F2E8EA1">
      <w:pPr>
        <w:ind w:firstLine="560"/>
      </w:pPr>
      <w:r>
        <w:rPr>
          <w:rFonts/>
        </w:rPr>
        <w:t>实体与事件之间的关系以参与角色为核心。每个事件类型应规定允许的参与实体类型、必需角色和角色基数，例如交易事件至少需要存在资金方向相关的参与对象，账户变更事件需要关联目标账户和办理主体。事件之间的关系应区分时序、组成、触发、派生和因果关系，并设置相应约束。证据关系则应明确证据支持的是对象本身、某个属性值、某条关系还是某项评估结论，避免证据只与整个案例粗粒度关联。</w:t>
      </w:r>
    </w:p>
    <w:p w14:paraId="360F83B7">
      <w:pPr>
        <w:ind w:firstLine="560"/>
      </w:pPr>
      <w:r>
        <w:rPr>
          <w:rFonts/>
        </w:rPr>
        <w:t>本体约束可以采用域和值域约束、基数约束、数据类型约束、枚举约束、唯一性约束、时间约束和条件约束实现。约束校验结果应区分错误、警告和待确认三种状态：违反身份唯一性或关键字段类型的记录应阻止入库，缺少非关键属性的记录可进入待完善状态，涉及推断或业务例外的记录则交由人工审核。约束规则需要版本化，并与数据接入时间和本体版本共同保存。</w:t>
      </w:r>
    </w:p>
    <w:p w14:paraId="24232C8D">
      <w:pPr>
        <w:pStyle w:val="3"/>
        <w:ind w:firstLine="0"/>
      </w:pPr>
      <w:bookmarkStart w:id="20" w:name="_DatagraphToc020"/>
      <w:r>
        <w:rPr>
          <w:rFonts/>
        </w:rPr>
        <w:t>2.5 数据属性与约束设计</w:t>
      </w:r>
      <w:bookmarkEnd w:id="20"/>
    </w:p>
    <w:p w14:paraId="45CCBD26">
      <w:pPr>
        <w:ind w:firstLine="560"/>
      </w:pPr>
      <w:r>
        <w:rPr>
          <w:rFonts/>
        </w:rPr>
        <w:t>数据属性分为标识属性、描述属性、时间属性、数值属性、状态属性、来源属性、质量属性和治理属性。标识属性用于唯一定位对象及映射原始系统记录；描述属性记录名称、类别和文本摘要；时间属性记录发生、形成、采集、生效和失效时间；数值属性记录金额、比例、频次和评分；状态属性反映对象所处业务状态；来源属性说明数据来自何处以及通过何种方式获得；质量属性记录完整性、准确性和置信度；治理属性用于访问控制、版本管理和保留期限管理。</w:t>
      </w:r>
    </w:p>
    <w:p w14:paraId="105639C6">
      <w:pPr>
        <w:ind w:firstLine="560"/>
      </w:pPr>
      <w:r>
        <w:rPr>
          <w:rFonts/>
        </w:rPr>
        <w:t>属性设计应明确名称、定义、所属类、数据类型、格式、单位、是否必填、是否多值、允许值范围、缺失值处理和校验规则。金额属性需要同时记录数值和币种，比例属性应明确取值范围和计量单位，时间属性应统一时区和精度，代码属性应引用受控词表。对于地址、名称、证件号码等需要标准化的字段，应同时保留原始值、标准化值和标准化方法，使数据治理过程可追踪。</w:t>
      </w:r>
    </w:p>
    <w:p w14:paraId="63B8CB72">
      <w:pPr>
        <w:ind w:firstLine="560"/>
      </w:pPr>
      <w:r>
        <w:rPr>
          <w:rFonts/>
        </w:rPr>
        <w:t>属性不应重复表达已经由关系承载的语义。例如，账户所有人适合通过账户与主体之间的归属关系表示，而不是仅在账户对象中保存一个无法追踪变化的文本字段。对于为检索性能而冗余保存的关系摘要，应标识其派生来源和同步规则。风险评分、网络指标和行为标签等计算属性必须记录计算周期、输入范围、算法版本和更新时间，并在基础数据变化后按规则重新计算。</w:t>
      </w:r>
    </w:p>
    <w:p w14:paraId="42FB89F9">
      <w:pPr>
        <w:pStyle w:val="3"/>
        <w:ind w:firstLine="0"/>
      </w:pPr>
      <w:bookmarkStart w:id="21" w:name="_DatagraphToc021"/>
      <w:r>
        <w:rPr>
          <w:rFonts/>
        </w:rPr>
        <w:t>2.6 本体实例化与数据映射</w:t>
      </w:r>
      <w:bookmarkEnd w:id="21"/>
    </w:p>
    <w:p w14:paraId="3417BEA4">
      <w:pPr>
        <w:ind w:firstLine="560"/>
      </w:pPr>
      <w:r>
        <w:rPr>
          <w:rFonts/>
        </w:rPr>
        <w:t>本体实例化是将源系统记录转换为知识对象的过程，主要包括数据接入、字段标准化、对象识别、实体消歧、事件生成、关系生成、证据绑定和质量校验。每个源系统需要建立独立的数据映射配置，明确源表、源字段、业务含义、目标类、目标属性、转换规则、主键规则和更新方式。映射配置应与本体版本对应，避免在概念或字段调整后出现无法解释的历史数据。</w:t>
      </w:r>
    </w:p>
    <w:p w14:paraId="13EC53FA">
      <w:pPr>
        <w:ind w:firstLine="560"/>
      </w:pPr>
      <w:r>
        <w:rPr>
          <w:rFonts/>
        </w:rPr>
        <w:t>实体实例化首先依据权威身份标识或业务主键生成候选对象，再通过多字段匹配和历史关系进行消歧。事件实例化依据业务流水、记录类型和时间要素生成事件，并将源记录中的参与方映射为相应角色。关系实例可以由明确字段直接生成，也可以由多条记录聚合或规则推断生成；后者必须标记为派生关系并记录生成依据。证据实例应保留对原始数据、文件或日志位置的稳定引用，同时把与识别相关的摘要和校验信息写入知识库。</w:t>
      </w:r>
    </w:p>
    <w:p w14:paraId="611BBA98">
      <w:pPr>
        <w:ind w:firstLine="560"/>
      </w:pPr>
      <w:r>
        <w:rPr>
          <w:rFonts/>
        </w:rPr>
        <w:t>数据更新采用增量处理与版本控制相结合的方式。新增记录生成新的实例或补充既有对象，变更记录根据业务主键和时间信息更新属性或关系有效期，删除或失效记录原则上不进行物理删除，而是设置失效状态并保留历史版本。发生实体合并或拆分时，应维护旧标识到新标识的映射以及受影响的事件、关系和证据引用，确保历史查询和审计结果稳定。</w:t>
      </w:r>
    </w:p>
    <w:p w14:paraId="3008BE97">
      <w:pPr>
        <w:ind w:firstLine="560"/>
      </w:pPr>
      <w:r>
        <w:rPr>
          <w:rFonts/>
        </w:rPr>
        <w:t>实例化质量校验覆盖结构完整性、语义一致性、身份唯一性、时间合理性、关系合法性和来源可追溯性。校验失败记录进入异常队列并保留错误原因，关键错误经修正后方可进入正式知识库。对于数据缺失但仍具分析价值的对象，可在标记质量等级后入库，并在后续数据补充时更新。人工修订需要记录修订人员、修订内容、依据和时间，形成机器处理与人工治理相结合的闭环。</w:t>
      </w:r>
    </w:p>
    <w:p w14:paraId="7F7D3225">
      <w:pPr>
        <w:pStyle w:val="3"/>
        <w:ind w:firstLine="0"/>
      </w:pPr>
      <w:bookmarkStart w:id="22" w:name="_DatagraphToc022"/>
      <w:r>
        <w:rPr>
          <w:rFonts/>
        </w:rPr>
        <w:t>2.7 图数据库Schema与索引设计</w:t>
      </w:r>
      <w:bookmarkEnd w:id="22"/>
    </w:p>
    <w:p w14:paraId="778A81CE">
      <w:pPr>
        <w:ind w:firstLine="560"/>
      </w:pPr>
      <w:r>
        <w:rPr>
          <w:rFonts/>
        </w:rPr>
        <w:t>图数据库中的节点类型与本体核心类保持对应，主要包括案例节点、各类实体节点、事件节点和证据节点；边类型对应身份、组织、控制、参与、交易、时序、组成、证明和案例归属等关系。需要保存较多属性或具有独立生命周期的关系，可采用关系节点或带属性边表达。物理Schema应以本体定义为依据，但可根据查询性能对高频类型进行适度拆分，并通过类型标签保持与上层概念的一致映射。</w:t>
      </w:r>
    </w:p>
    <w:p w14:paraId="20C091BC">
      <w:pPr>
        <w:ind w:firstLine="560"/>
      </w:pPr>
      <w:r>
        <w:rPr>
          <w:rFonts/>
        </w:rPr>
        <w:t>节点必须具有知识库内部唯一标识，并根据对象类型设置业务唯一键或组合唯一键。自然人、组织、账户、业务流水和案例等对象应根据数据质量和业务规则设置唯一性约束；无法可靠唯一识别的对象使用内部标识并保留候选匹配关系。所有节点和边均应保存来源、创建时间、更新时间、本体版本和有效状态，派生对象还应保存生成规则或模型版本。</w:t>
      </w:r>
    </w:p>
    <w:p w14:paraId="344CDB88">
      <w:pPr>
        <w:ind w:firstLine="560"/>
      </w:pPr>
      <w:r>
        <w:rPr>
          <w:rFonts/>
        </w:rPr>
        <w:t>索引设计围绕实体定位、案例查询、事件检索、时间范围分析和关系遍历展开。对案例编号、客户标识、组织标识、账户标识、业务流水号和证据标识建立精确索引，对名称和地址等文本属性建立适合模糊检索的全文索引，对事件时间和金额等高频过滤字段建立范围索引。复合索引应依据实际查询条件设计，避免对低选择性字段建立大量无效索引。对于跨案例主体检索和时间窗口内事件链查询，应结合标签、分区和查询路径进行性能优化。</w:t>
      </w:r>
    </w:p>
    <w:p w14:paraId="3D127CAE">
      <w:pPr>
        <w:ind w:firstLine="560"/>
      </w:pPr>
      <w:r>
        <w:rPr>
          <w:rFonts/>
        </w:rPr>
        <w:t>图Schema需要与本体版本共同演进。新增节点或关系类型应先完成概念定义、字段说明、约束和映射配置，再部署到数据库；属性废弃应经历兼容期，并提供历史数据迁移或读取策略。Schema变更需要执行数据校验、查询回归和性能测试，确保既有规则、模型和分析应用能够继续运行。通过语义本体与物理Schema之间的映射表，可以在数据库实现调整时保持上层业务接口稳定。</w:t>
      </w:r>
    </w:p>
    <w:p w14:paraId="5D7FEAA7">
      <w:pPr>
        <w:pStyle w:val="2"/>
        <w:pageBreakBefore/>
        <w:ind w:firstLine="643"/>
      </w:pPr>
      <w:bookmarkStart w:id="23" w:name="_DatagraphToc023"/>
      <w:r>
        <w:rPr>
          <w:rFonts w:hint="eastAsia"/>
        </w:rPr>
        <w:t>三、非法行为分类分级指标体系设计</w:t>
      </w:r>
      <w:bookmarkEnd w:id="23"/>
    </w:p>
    <w:p w14:paraId="7BFD6F59">
      <w:pPr>
        <w:ind w:firstLine="560"/>
      </w:pPr>
      <w:r>
        <w:rPr>
          <w:rFonts/>
        </w:rPr>
        <w:t>非法行为分类分级指标体系用于把知识模型中的案例、实体、事件、关系和证据信息转化为可以计算、比较和解释的风险判断。分类解决风险属于何种行为类型的问题，分级解决风险程度和处置优先级的问题。指标体系以五层知识结构为数据基础，以本体定义为统一口径，将单点异常、行为组合、关系网络和证据质量纳入综合评估，形成从事实识别到风险处置的量化支撑。</w:t>
      </w:r>
    </w:p>
    <w:p w14:paraId="7BE66677">
      <w:pPr>
        <w:pStyle w:val="3"/>
        <w:ind w:firstLine="0"/>
      </w:pPr>
      <w:bookmarkStart w:id="24" w:name="_DatagraphToc024"/>
      <w:r>
        <w:rPr>
          <w:rFonts/>
        </w:rPr>
        <w:t>3.1 分类分级指标体系的建设目标与设计原则</w:t>
      </w:r>
      <w:bookmarkEnd w:id="24"/>
    </w:p>
    <w:p w14:paraId="66F3E214">
      <w:pPr>
        <w:ind w:firstLine="560"/>
      </w:pPr>
      <w:r>
        <w:rPr>
          <w:rFonts/>
        </w:rPr>
        <w:t>指标体系的建设目标是形成覆盖风险发现、线索筛选、案例研判和处置决策的统一评估框架。指标应能够反映主体自身特征、行为过程特征、关系网络特征和证据支撑程度，并将不同来源、不同尺度的数据转换为可比较的评价结果。通过统一的指标定义、计算口径和阈值管理，可以减少不同业务部门和分析人员之间的判断差异，提高风险识别的一致性和可复核性。</w:t>
      </w:r>
    </w:p>
    <w:p w14:paraId="53C6CFD1">
      <w:pPr>
        <w:ind w:firstLine="560"/>
      </w:pPr>
      <w:r>
        <w:rPr>
          <w:rFonts/>
        </w:rPr>
        <w:t>指标设计遵循业务相关性、可计算性、可解释性、非重复性和可验证性原则。每项指标必须对应明确的风险含义，并能够从知识模型中的属性、事件或关系获得稳定数据；指标计算结果应可以回溯到构成它的知识事实和证据；高度相关或重复表达同一风险的指标应合并或降权，避免重复计分；指标阈值和权重应通过历史案例、业务经验和持续监测进行验证，而不是仅凭主观设定。</w:t>
      </w:r>
    </w:p>
    <w:p w14:paraId="5D134734">
      <w:pPr>
        <w:ind w:firstLine="560"/>
      </w:pPr>
      <w:r>
        <w:rPr>
          <w:rFonts/>
        </w:rPr>
        <w:t>指标体系同时遵循事实与判断分离、静态与动态结合、单项与组合并重的原则。身份信息、交易记录和关系事实属于基础数据，风险标签和等级属于评估结果，二者需要在模型中分别管理。相对稳定的主体属性与时间窗口内变化的行为特征应共同使用。单项指标可用于发现明显异常，组合指标则用于表达多个事实共同构成的行为模式，避免将一般业务活动因某一局部特征直接认定为高风险。</w:t>
      </w:r>
    </w:p>
    <w:p w14:paraId="1C632A4A">
      <w:pPr>
        <w:pStyle w:val="3"/>
        <w:ind w:firstLine="0"/>
      </w:pPr>
      <w:bookmarkStart w:id="25" w:name="_DatagraphToc025"/>
      <w:r>
        <w:rPr>
          <w:rFonts/>
        </w:rPr>
        <w:t>3.2 基于知识模型的风险指标体系</w:t>
      </w:r>
      <w:bookmarkEnd w:id="25"/>
    </w:p>
    <w:p w14:paraId="6393D8B4">
      <w:pPr>
        <w:ind w:firstLine="560"/>
      </w:pPr>
      <w:r>
        <w:rPr>
          <w:rFonts/>
        </w:rPr>
        <w:t>风险指标体系由实体风险指标、事件风险指标、关系网络指标、证据质量指标和案例综合指标构成。五类指标分别对应五层知识结构中的主要分析对象，并通过案例标识、实体标识和事件标识形成关联。指标计算应保存统计周期、数据范围、计算规则、阈值版本、结果值和更新时间，保证同一指标在不同时间和不同案例中的结果可比较。</w:t>
      </w:r>
    </w:p>
    <w:p w14:paraId="2E533392">
      <w:pPr>
        <w:pStyle w:val="4"/>
        <w:ind w:firstLine="0"/>
      </w:pPr>
      <w:bookmarkStart w:id="26" w:name="_DatagraphToc026"/>
      <w:r>
        <w:rPr>
          <w:rFonts/>
        </w:rPr>
        <w:t>3.2.1 实体风险指标</w:t>
      </w:r>
      <w:bookmarkEnd w:id="26"/>
    </w:p>
    <w:p w14:paraId="32AB3582">
      <w:pPr>
        <w:ind w:firstLine="560"/>
      </w:pPr>
      <w:r>
        <w:rPr>
          <w:rFonts/>
        </w:rPr>
        <w:t>实体风险指标用于衡量参与主体及相关账户、设备和业务载体的基础风险与动态状态。指标内容包括身份信息完整性与一致性、客户或组织状态、经营与资金规模匹配程度、账户活跃变化、异常业务关联、外部风险信息以及跨案例出现情况等。对于自然人、法人及其他组织、账户和设备等不同实体类型，应分别设置适用指标，避免以同一字段口径评价性质不同的对象。</w:t>
      </w:r>
    </w:p>
    <w:p w14:paraId="09290D11">
      <w:pPr>
        <w:ind w:firstLine="560"/>
      </w:pPr>
      <w:r>
        <w:rPr>
          <w:rFonts/>
        </w:rPr>
        <w:t>实体指标应区分固有风险和行为派生风险。固有风险来自主体类型、所在地区、业务类别和外部名单等相对稳定因素；行为派生风险来自一段时间内的交易、登录、账户变更和关联活动。固有风险可以作为基础权重，行为派生风险则应随时间窗口滚动更新。对于由模型或规则生成的实体风险标签，需要记录触发事件和证据来源，并设置失效或复核机制。</w:t>
      </w:r>
    </w:p>
    <w:p w14:paraId="6FB2727C">
      <w:pPr>
        <w:ind w:firstLine="560"/>
      </w:pPr>
      <w:r>
        <w:rPr>
          <w:rFonts/>
        </w:rPr>
        <w:t>实体风险不能脱离业务背景单独判断。指标计算应考虑客户类型、行业、经营规模、历史交易习惯和所使用产品，以同类主体或自身历史基线作为必要参照。身份信息缺失、经营状态异常或账户活动突变可以提高关注程度，但是否构成非法行为仍需结合事件、关系和证据进一步分析。</w:t>
      </w:r>
    </w:p>
    <w:p w14:paraId="59A202BB">
      <w:pPr>
        <w:pStyle w:val="4"/>
        <w:ind w:firstLine="0"/>
      </w:pPr>
      <w:bookmarkStart w:id="27" w:name="_DatagraphToc027"/>
      <w:r>
        <w:rPr>
          <w:rFonts/>
        </w:rPr>
        <w:t>3.2.2 事件风险指标</w:t>
      </w:r>
      <w:bookmarkEnd w:id="27"/>
    </w:p>
    <w:p w14:paraId="31FBB8FD">
      <w:pPr>
        <w:ind w:firstLine="560"/>
      </w:pPr>
      <w:r>
        <w:rPr>
          <w:rFonts/>
        </w:rPr>
        <w:t>事件风险指标用于衡量交易、账户操作、业务办理和其他行为在时间、金额、频率、渠道、对象和结果方面的异常程度。指标可以描述单个事件偏离正常模式的程度，也可以描述一组事件在特定时间窗口内形成的结构特征。计算时应区分金额型、频次型、时序型、渠道型、行为组合型和状态变化型指标，并根据事件类型设置相应统计口径。</w:t>
      </w:r>
    </w:p>
    <w:p w14:paraId="1CF16F2D">
      <w:pPr>
        <w:ind w:firstLine="560"/>
      </w:pPr>
      <w:r>
        <w:rPr>
          <w:rFonts/>
        </w:rPr>
        <w:t>单事件指标主要关注事件本身是否与主体身份、业务用途和历史行为相匹配。组合事件指标则关注多个事件之间的连续性、重复性、集中性、分散性和路径结构，例如资金在较短时间内连续流转，或账户操作与交易活动在时序上形成异常配合。组合指标必须保存构成事件集合和时间窗口，使分析人员能够查看具体行为链条，而不是仅获得一个汇总分值。</w:t>
      </w:r>
    </w:p>
    <w:p w14:paraId="50B930C5">
      <w:pPr>
        <w:ind w:firstLine="560"/>
      </w:pPr>
      <w:r>
        <w:rPr>
          <w:rFonts/>
        </w:rPr>
        <w:t>事件指标应建立业务基线和动态阈值。固定阈值适合表达监管规定或明确的业务规则，统计阈值适合识别相对异常，个体基线适合识别主体自身行为变化。三类阈值可结合使用，但需要明确优先级和适用条件。节假日、批量代发、集中结算等正常业务场景可能导致指标短期升高，模型应通过场景标签和业务解释进行校正。</w:t>
      </w:r>
    </w:p>
    <w:p w14:paraId="210BA26F">
      <w:pPr>
        <w:pStyle w:val="4"/>
        <w:ind w:firstLine="0"/>
      </w:pPr>
      <w:bookmarkStart w:id="28" w:name="_DatagraphToc028"/>
      <w:r>
        <w:rPr>
          <w:rFonts/>
        </w:rPr>
        <w:t>3.2.3 关系网络指标</w:t>
      </w:r>
      <w:bookmarkEnd w:id="28"/>
    </w:p>
    <w:p w14:paraId="5D257774">
      <w:pPr>
        <w:ind w:firstLine="560"/>
      </w:pPr>
      <w:r>
        <w:rPr>
          <w:rFonts/>
        </w:rPr>
        <w:t>关系网络指标用于衡量实体之间的关联强度、控制结构、资金联系和群体行为特征。基础指标包括关联对象数量、关系类型数量、关系持续时间、关系确认程度和跨案例复现情况；结构指标包括网络密度、中心性、聚集程度、控制层级、路径长度、资金回路和关键节点变化；行为协同指标则反映多个主体在时间、渠道、设备或交易对象上的一致性。</w:t>
      </w:r>
    </w:p>
    <w:p w14:paraId="320BD070">
      <w:pPr>
        <w:ind w:firstLine="560"/>
      </w:pPr>
      <w:r>
        <w:rPr>
          <w:rFonts/>
        </w:rPr>
        <w:t>网络指标的计算必须以明确的关系语义和时间范围为前提。身份、股权、控制、账户使用和交易关系具有不同含义，不宜在未区分关系类型的情况下直接合并计算。对于由共同设备、共同地址或相似行为推断的关系，应根据数据稳定性和业务背景设置置信度，并与有正式记录支撑的事实关系区别使用。关系已失效或仅在特定期间有效时，网络分析应使用相应时间切片。</w:t>
      </w:r>
    </w:p>
    <w:p w14:paraId="59BEC7ED">
      <w:pPr>
        <w:ind w:firstLine="560"/>
      </w:pPr>
      <w:r>
        <w:rPr>
          <w:rFonts/>
        </w:rPr>
        <w:t>网络指标主要用于发现关键主体、隐蔽联系和协同行为，不直接作为违法性质认定。高中心性可能来自正常的核心企业或平台型业务，高密度关系也可能来自具有真实经营联系的企业群体。因此，网络指标应与事件异常、主体背景和证据质量共同解释，并能够展示形成指标的关键路径、节点和关系依据。</w:t>
      </w:r>
    </w:p>
    <w:p w14:paraId="437BD474">
      <w:pPr>
        <w:pStyle w:val="4"/>
        <w:ind w:firstLine="0"/>
      </w:pPr>
      <w:bookmarkStart w:id="29" w:name="_DatagraphToc029"/>
      <w:r>
        <w:rPr>
          <w:rFonts/>
        </w:rPr>
        <w:t>3.2.4 证据质量指标</w:t>
      </w:r>
      <w:bookmarkEnd w:id="29"/>
    </w:p>
    <w:p w14:paraId="4DD29E4C">
      <w:pPr>
        <w:ind w:firstLine="560"/>
      </w:pPr>
      <w:r>
        <w:rPr>
          <w:rFonts/>
        </w:rPr>
        <w:t>证据质量指标用于评估风险事实和分析结论的支撑程度，主要包括证据来源可靠性、内容完整性、时间有效性、对象关联准确性、多源一致性、可验证性和审核状态。来自权威业务系统、监管司法材料或经校验的原始记录，其证明强度通常高于未经核实的公开信息或单一推断结果；多项独立来源相互印证时，可以提高结论置信度。</w:t>
      </w:r>
    </w:p>
    <w:p w14:paraId="6BB8E512">
      <w:pPr>
        <w:ind w:firstLine="560"/>
      </w:pPr>
      <w:r>
        <w:rPr>
          <w:rFonts/>
        </w:rPr>
        <w:t>证据质量评估应以具体证明对象为单位，而不是只对整个案例给出笼统评分。一项证据可能充分证明某次交易发生，但不足以证明账户实际控制关系；同一证据对不同事实的证明强度也可能不同。模型需要记录证据与实体、事件、关系或结论之间的作用类型和适用范围，并识别证据缺失、证据冲突和证据过期等情况。</w:t>
      </w:r>
    </w:p>
    <w:p w14:paraId="6113A8B4">
      <w:pPr>
        <w:ind w:firstLine="560"/>
      </w:pPr>
      <w:r>
        <w:rPr>
          <w:rFonts/>
        </w:rPr>
        <w:t>证据质量指标既参与综合风险评估，也用于控制结论输出方式。当行为风险较高但关键事实证据不足时，系统应输出高关注、待核实的线索，而不是形成确定性结论；当多源证据充分且行为链条完整时，可提高结论置信度并支持进一步处置。证据评分过程需要保留评价规则和人工调整记录，确保审核人员能够复核。</w:t>
      </w:r>
    </w:p>
    <w:p w14:paraId="42F7EC32">
      <w:pPr>
        <w:pStyle w:val="4"/>
        <w:ind w:firstLine="0"/>
      </w:pPr>
      <w:bookmarkStart w:id="30" w:name="_DatagraphToc030"/>
      <w:r>
        <w:rPr>
          <w:rFonts/>
        </w:rPr>
        <w:t>3.2.5 案例综合指标</w:t>
      </w:r>
      <w:bookmarkEnd w:id="30"/>
    </w:p>
    <w:p w14:paraId="1BDF8A70">
      <w:pPr>
        <w:ind w:firstLine="560"/>
      </w:pPr>
      <w:r>
        <w:rPr>
          <w:rFonts/>
        </w:rPr>
        <w:t>案例综合指标用于汇总案例范围内的实体风险、事件风险、关系网络风险和证据质量，反映整体风险程度、影响范围、行为持续性、组织化程度和处置紧迫性。综合指标不宜简单累加所有单项分值，而应根据指标之间的依赖关系、重复程度和业务重要性进行聚合。对构成核心行为链条的指标可以提高权重，对同一事实衍生出的多个高度相关指标应进行去重或折减。</w:t>
      </w:r>
    </w:p>
    <w:p w14:paraId="64385D6A">
      <w:pPr>
        <w:ind w:firstLine="560"/>
      </w:pPr>
      <w:r>
        <w:rPr>
          <w:rFonts/>
        </w:rPr>
        <w:t>案例综合指标包括总体风险得分、行为类型置信度、关键主体风险、核心事件链完整度、关系网络复杂度、证据充分度、潜在影响范围和处置优先级等。总体得分用于分级，行为类型置信度用于分类，证据充分度用于限定结论强度，处置优先级则结合风险程度、影响范围和时效要求确定。各综合指标应能够分解到相关实体、事件、关系和证据，支持从结果反向查看评分依据。</w:t>
      </w:r>
    </w:p>
    <w:p w14:paraId="4B2A1A88">
      <w:pPr>
        <w:ind w:firstLine="560"/>
      </w:pPr>
      <w:r>
        <w:rPr>
          <w:rFonts/>
        </w:rPr>
        <w:t>案例综合评估应支持随数据变化动态更新。新增证据、实体合并、事件修正或关系失效都可能改变指标结果，系统需要记录每次评估的输入快照、规则版本、结果和变化原因。对于人工确认的重要结论，可设置审核锁定或重新评估条件，避免基础数据轻微变化导致已处置案例的结论无序波动。</w:t>
      </w:r>
    </w:p>
    <w:p w14:paraId="67B1F104">
      <w:pPr>
        <w:pStyle w:val="3"/>
        <w:ind w:firstLine="0"/>
      </w:pPr>
      <w:bookmarkStart w:id="31" w:name="_DatagraphToc031"/>
      <w:r>
        <w:rPr>
          <w:rFonts/>
        </w:rPr>
        <w:t>3.3 非法行为分类标准</w:t>
      </w:r>
      <w:bookmarkEnd w:id="31"/>
    </w:p>
    <w:p w14:paraId="44B6F8AF">
      <w:pPr>
        <w:ind w:firstLine="560"/>
      </w:pPr>
      <w:r>
        <w:rPr>
          <w:rFonts/>
        </w:rPr>
        <w:t>非法行为分类采用层次化、多标签的分类方式。一级分类按照风险行为的主要业务性质和治理目标划分，形成相对稳定的类别框架；二级分类描述具体行为模式；必要时可设置三级标签表达业务渠道、主体角色、资金路径或手法特征。一个案例可以具有一个主要类别和若干辅助类别，以反映复杂案例中多种行为相互交织的情况，同时避免因强制单选而损失重要信息。</w:t>
      </w:r>
    </w:p>
    <w:p w14:paraId="2E1F6C7E">
      <w:pPr>
        <w:ind w:firstLine="560"/>
      </w:pPr>
      <w:r>
        <w:rPr>
          <w:rFonts/>
        </w:rPr>
        <w:t>分类判断以核心行为链和主要风险目的为依据。系统首先根据事件类型、参与角色和资金或业务过程识别候选行为模式，再结合关系网络、主体背景和证据状态计算类别置信度。若多个类别同时满足条件，应依据核心事件数量、行为持续时间、影响范围、证据充分度和业务主导性确定主要类别，其余作为关联类别保留。对事实不足、类别边界不清的案例，可设置待分类或复合风险状态，并进入人工研判。</w:t>
      </w:r>
    </w:p>
    <w:p w14:paraId="310D6564">
      <w:pPr>
        <w:ind w:firstLine="560"/>
      </w:pPr>
      <w:r>
        <w:rPr>
          <w:rFonts/>
        </w:rPr>
        <w:t>分类标准应为每个类别定义概念说明、适用范围、必要事实、辅助特征、排除条件、与其他类别的边界和所需证据。必要事实用于保证类别成立的基本语义，辅助特征用于提高判断置信度，排除条件用于识别正常业务和相邻风险类型。分类规则应引用本体中的实体、事件和关系类型，不以自由文本描述替代可计算条件，从而保证规则能够执行并可以被复核。</w:t>
      </w:r>
    </w:p>
    <w:p w14:paraId="26070948">
      <w:pPr>
        <w:ind w:firstLine="560"/>
      </w:pPr>
      <w:r>
        <w:rPr>
          <w:rFonts/>
        </w:rPr>
        <w:t>分类结果需要管理版本和有效期。监管口径、业务产品和行为手法变化时，可以扩展或调整类别及其规则，但历史案例应保留当时使用的分类版本。新版本发布前需要使用历史样本进行回放，检查类别覆盖率、混淆情况和边界变化；对影响较大的类别调整，应建立新旧映射，支持历史统计口径转换和连续分析。</w:t>
      </w:r>
    </w:p>
    <w:p w14:paraId="4499DFD6">
      <w:pPr>
        <w:pStyle w:val="3"/>
        <w:ind w:firstLine="0"/>
      </w:pPr>
      <w:bookmarkStart w:id="32" w:name="_DatagraphToc032"/>
      <w:r>
        <w:rPr>
          <w:rFonts/>
        </w:rPr>
        <w:t>3.4 风险分级标准</w:t>
      </w:r>
      <w:bookmarkEnd w:id="32"/>
    </w:p>
    <w:p w14:paraId="4FC6F430">
      <w:pPr>
        <w:ind w:firstLine="560"/>
      </w:pPr>
      <w:r>
        <w:rPr>
          <w:rFonts/>
        </w:rPr>
        <w:t>风险分级用于确定案例的关注程度、处置顺序和审核要求。分级可设置为低风险、中风险、较高风险和高风险四个等级，也可根据银行现行管理制度映射为相应等级。等级判断综合考虑行为异常程度、主体风险、关系网络复杂度、涉及金额或业务影响、行为持续性、跨区域或跨机构特征、证据充分程度以及潜在合规和声誉影响。</w:t>
      </w:r>
    </w:p>
    <w:p w14:paraId="27B7A0FE">
      <w:pPr>
        <w:ind w:firstLine="560"/>
      </w:pPr>
      <w:r>
        <w:rPr>
          <w:rFonts/>
        </w:rPr>
        <w:t>低风险通常表示单项指标轻微异常、行为可以由正常业务解释或证据不足，适合持续观察和补充信息；中风险表示多个指标出现一致性异常，已形成较明确线索，需要进一步核实；较高风险表示存在较完整的异常行为链或明显的关联网络，且具有一定证据支撑，应提高审核和处置优先级；高风险表示核心事实、行为链条和关联关系相互印证，潜在影响较大或具有较强紧迫性，需要按照制度及时升级处理。分级定义强调管理意义，不以风险等级替代法律性质认定。</w:t>
      </w:r>
    </w:p>
    <w:p w14:paraId="0F9A8CEC">
      <w:pPr>
        <w:ind w:firstLine="560"/>
      </w:pPr>
      <w:r>
        <w:rPr>
          <w:rFonts/>
        </w:rPr>
        <w:t>分级方法采用基础评分、调整因子和证据校正相结合的方式。基础评分由实体、事件和关系网络指标形成；调整因子用于反映影响范围、持续时间、重复发生、跨案例关联和处置时效；证据校正用于根据证据充分度和一致性限制结论强度。可以设置关键指标触发的最低等级或直接升级条件，但触发规则必须具有清晰业务依据，并经过历史验证。</w:t>
      </w:r>
    </w:p>
    <w:p w14:paraId="766C70A5">
      <w:pPr>
        <w:ind w:firstLine="560"/>
      </w:pPr>
      <w:r>
        <w:rPr>
          <w:rFonts/>
        </w:rPr>
        <w:t>阈值设计需要兼顾风险覆盖和运营承载能力。阈值过低会产生大量低价值线索，阈值过高则可能遗漏重要风险。银行应依据历史案例分布、人工审核结果、处置资源和风险偏好确定初始阈值，并按业务条线、客户类型和产品场景进行必要差异化。任何阈值调整都应记录原因、生效时间、影响范围和审批信息，并通过回放测试评估对预警数量与命中质量的影响。</w:t>
      </w:r>
    </w:p>
    <w:p w14:paraId="7F7FA0FF">
      <w:pPr>
        <w:pStyle w:val="3"/>
        <w:ind w:firstLine="0"/>
      </w:pPr>
      <w:bookmarkStart w:id="33" w:name="_DatagraphToc033"/>
      <w:r>
        <w:rPr>
          <w:rFonts/>
        </w:rPr>
        <w:t>3.5 指标计算、综合评估与验证</w:t>
      </w:r>
      <w:bookmarkEnd w:id="33"/>
    </w:p>
    <w:p w14:paraId="78169E75">
      <w:pPr>
        <w:ind w:firstLine="560"/>
      </w:pPr>
      <w:r>
        <w:rPr>
          <w:rFonts/>
        </w:rPr>
        <w:t>指标计算以知识图谱中的标准化实例为输入，按照统一的数据窗口、统计口径和规则版本执行。计算流程包括数据完整性检查、对象范围确定、基础指标计算、组合指标计算、指标标准化、权重聚合、分类判断、风险分级和证据校正。每次运行应生成唯一评估记录，保存输入对象、指标明细、规则参数、模型版本、计算时间和输出结果，使评估过程能够重复和审计。</w:t>
      </w:r>
    </w:p>
    <w:p w14:paraId="756D5CF6">
      <w:pPr>
        <w:ind w:firstLine="560"/>
      </w:pPr>
      <w:r>
        <w:rPr>
          <w:rFonts/>
        </w:rPr>
        <w:t>不同量纲的指标需要进行标准化处理。金额、频次、比例、网络结构和置信度等指标可根据业务分布采用分段映射、百分位、标准分或规则评分，但应避免因极端值导致结果失真。权重可以结合专家判断、历史样本统计和模型训练确定，并通过稳定性分析检查其合理性。对于数据缺失，应区分“不适用”“未采集”和“异常缺失”，分别采取排除、补充或风险提示措施，不能统一按零值处理。</w:t>
      </w:r>
    </w:p>
    <w:p w14:paraId="2ED82A3E">
      <w:pPr>
        <w:ind w:firstLine="560"/>
      </w:pPr>
      <w:r>
        <w:rPr>
          <w:rFonts/>
        </w:rPr>
        <w:t>综合评估需要处理指标之间的相关性和依赖关系。来自同一基础事实的多个指标不应重复放大风险，处于同一行为链上的互补指标则可以形成组合加权。规则引擎适合表达明确业务条件和强制阈值，统计或机器学习模型适合发现复杂模式，图算法适合识别网络结构。三类方法的输出可以共同进入综合评估，但必须保留各自贡献、适用范围和解释信息，并通过证据质量对最终结论进行校正。</w:t>
      </w:r>
    </w:p>
    <w:p w14:paraId="6FEEA6CC">
      <w:pPr>
        <w:ind w:firstLine="560"/>
      </w:pPr>
      <w:r>
        <w:rPr>
          <w:rFonts/>
        </w:rPr>
        <w:t>指标与模型验证应覆盖准确性、召回能力、稳定性、区分度、可解释性和运行效率。验证数据应包含已确认案例、排除案例、正常业务样本和具有代表性的边界样本，并按照时间或业务范围划分训练、验证和回测集合。除整体指标外，还应按客户类型、业务产品、机构和风险类别观察结果，识别局部偏差。对高风险误报、重要漏报和分类混淆案例，应回到具体知识对象和证据链分析原因。</w:t>
      </w:r>
    </w:p>
    <w:p w14:paraId="45D9C89E">
      <w:pPr>
        <w:ind w:firstLine="560"/>
      </w:pPr>
      <w:r>
        <w:rPr>
          <w:rFonts/>
        </w:rPr>
        <w:t>指标体系应建立持续监测和闭环优化机制。系统定期统计指标触发率、预警转化率、人工确认率、等级迁移、处置结果和数据质量变化，识别失效指标和阈值漂移。人工审核结论、补充证据和处置结果应回写知识模型，作为规则调整、权重优化和模型训练的依据。规则、权重、阈值或类别变更应经过审批、版本发布、回放验证和效果跟踪，确保结果稳定、可解释、可审计。</w:t>
      </w:r>
    </w:p>
    <w:p>
      <w:r>
        <w:br w:type="page"/>
      </w:r>
    </w:p>
    <w:p>
      <w:pPr>
        <w:pStyle w:val="2"/>
        <w:ind w:firstLine="0"/>
        <w:jc w:val="center"/>
      </w:pPr>
      <w:bookmarkStart w:id="34" w:name="_DatagraphToc034"/>
      <w:r>
        <w:rPr>
          <w:rFonts w:ascii="Heiti SC" w:hAnsi="Heiti SC" w:eastAsia="Heiti SC"/>
          <w:b/>
          <w:sz w:val="32"/>
        </w:rPr>
        <w:t>四、多源数据流处理引擎与案例智能处理功能说明</w:t>
      </w:r>
      <w:bookmarkEnd w:id="34"/>
    </w:p>
    <w:p>
      <w:pPr>
        <w:ind w:firstLine="560"/>
        <w:jc w:val="both"/>
      </w:pPr>
      <w:r>
        <w:rPr>
          <w:rFonts w:ascii="Songti SC" w:hAnsi="Songti SC" w:eastAsia="Songti SC"/>
          <w:b w:val="0"/>
          <w:sz w:val="28"/>
        </w:rPr>
        <w:t>本章面向系统使用和业务验收，说明案例数据从接入、校验、入库到智能处理、人工复核和图谱展示的完整流程。系统当前支持反洗钱与反欺诈两类监管场景，并针对新增案例和历史案例设置不同的处理路线。在新增案例路线中，可疑报告生成、五层框架抽取和相似案例检索构成三个连续的核心功能；在历史案例路线中，系统复用已有分析文本，优先完成框架抽取和图谱入库，以提高批量案例库建设效率。</w:t>
      </w:r>
    </w:p>
    <w:p>
      <w:pPr>
        <w:ind w:firstLine="560"/>
        <w:jc w:val="both"/>
      </w:pPr>
      <w:r>
        <w:rPr>
          <w:rFonts w:ascii="Songti SC" w:hAnsi="Songti SC" w:eastAsia="Songti SC"/>
          <w:b w:val="0"/>
          <w:sz w:val="28"/>
        </w:rPr>
        <w:t>功能实现以第一章定义的案例基本信息层、实体层、事件层、关系层和证据层为统一知识结构，以第二章本体和关系约束为语义边界，以第三章分类分级指标为风险解释基础。每一处理阶段都保存输入、输出、状态和操作记录，使自动分析结果能够被查询、复核和重放。</w:t>
      </w:r>
    </w:p>
    <w:p>
      <w:pPr>
        <w:pStyle w:val="3"/>
        <w:ind w:firstLine="0"/>
      </w:pPr>
      <w:bookmarkStart w:id="35" w:name="_DatagraphToc035"/>
      <w:r>
        <w:rPr>
          <w:rFonts w:ascii="Heiti SC" w:hAnsi="Heiti SC" w:eastAsia="Heiti SC"/>
          <w:b/>
          <w:sz w:val="30"/>
        </w:rPr>
        <w:t>4.1 引擎总体架构与处理流程</w:t>
      </w:r>
      <w:bookmarkEnd w:id="35"/>
    </w:p>
    <w:p>
      <w:pPr>
        <w:pStyle w:val="4"/>
        <w:ind w:firstLine="0"/>
      </w:pPr>
      <w:bookmarkStart w:id="36" w:name="_DatagraphToc036"/>
      <w:r>
        <w:rPr>
          <w:rFonts w:ascii="Heiti SC" w:hAnsi="Heiti SC" w:eastAsia="Heiti SC"/>
          <w:b/>
          <w:sz w:val="28"/>
        </w:rPr>
        <w:t>4.1.1 引擎定位与功能目标</w:t>
      </w:r>
      <w:bookmarkEnd w:id="36"/>
    </w:p>
    <w:p>
      <w:pPr>
        <w:ind w:firstLine="560"/>
        <w:jc w:val="both"/>
      </w:pPr>
      <w:r>
        <w:rPr>
          <w:rFonts w:ascii="Songti SC" w:hAnsi="Songti SC" w:eastAsia="Songti SC"/>
          <w:b w:val="0"/>
          <w:sz w:val="28"/>
        </w:rPr>
        <w:t>多源数据流处理引擎是案例识别系统的业务入口和流程编排中心。其主要目标不是对上传文件进行简单存储，而是把不同场景、不同来源和不同结构的案例材料转换为可以持续计算、比较和图谱化表达的标准案例知识。引擎统一组织文件校验、任务创建、分析Worker调用、阶段状态迁移、结果入库和异常反馈，避免各算法模块直接面对不一致的原始数据。</w:t>
      </w:r>
    </w:p>
    <w:p>
      <w:pPr>
        <w:ind w:firstLine="560"/>
        <w:jc w:val="both"/>
      </w:pPr>
      <w:r>
        <w:rPr>
          <w:rFonts w:ascii="Songti SC" w:hAnsi="Songti SC" w:eastAsia="Songti SC"/>
          <w:b w:val="0"/>
          <w:sz w:val="28"/>
        </w:rPr>
        <w:t>系统同时强调处理可控和结果可追溯。上传数据保留来源和内容指纹，案例处理池记录每个阶段的产物，分析任务记录运行进度和错误信息，人工修改和审批形成审计轨迹。由此，分析人员既能够按流程完成案例处理，也能够从最终结论反向查看所依据的数据、报告、知识对象和相似案例。</w:t>
      </w:r>
    </w:p>
    <w:p>
      <w:pPr>
        <w:pStyle w:val="4"/>
        <w:ind w:firstLine="0"/>
      </w:pPr>
      <w:bookmarkStart w:id="37" w:name="_DatagraphToc037"/>
      <w:r>
        <w:rPr>
          <w:rFonts w:ascii="Heiti SC" w:hAnsi="Heiti SC" w:eastAsia="Heiti SC"/>
          <w:b/>
          <w:sz w:val="28"/>
        </w:rPr>
        <w:t>4.1.2 系统主要功能组成</w:t>
      </w:r>
      <w:bookmarkEnd w:id="37"/>
    </w:p>
    <w:p>
      <w:pPr>
        <w:ind w:firstLine="560"/>
        <w:jc w:val="both"/>
      </w:pPr>
      <w:r>
        <w:rPr>
          <w:rFonts w:ascii="Songti SC" w:hAnsi="Songti SC" w:eastAsia="Songti SC"/>
          <w:b w:val="0"/>
          <w:sz w:val="28"/>
        </w:rPr>
        <w:t>系统功能由案例上传、数据预处理、案例智能处理、复核审批、案例管理和图谱分析六部分组成。案例上传负责接收单案例JSON文件或批量CSV/XLSX文件；数据预处理负责检查结构、字段、案例编号和场景一致性；案例智能处理依次完成可疑报告生成、五层框架抽取和相似案例检索；复核审批负责风险定级和结果确认；案例管理提供查询、详情和处理记录；图谱分析负责全景展示、关联线索分析和隐蔽风险挖掘。</w:t>
      </w:r>
    </w:p>
    <w:p>
      <w:pPr>
        <w:ind w:firstLine="560"/>
        <w:jc w:val="both"/>
      </w:pPr>
      <w:r>
        <w:rPr>
          <w:rFonts w:ascii="Songti SC" w:hAnsi="Songti SC" w:eastAsia="Songti SC"/>
          <w:b w:val="0"/>
          <w:sz w:val="28"/>
        </w:rPr>
        <w:t>上述功能通过统一案例编号、银行编码、场景编码和任务编号衔接。PostgreSQL保存业务状态、结构化知识成果和审计记录，TuGraph保存可遍历的案例图结构，Python Worker承载报告生成、框架抽取和相似度计算，前端工作台负责文件上传、任务控制、结果复核和图谱交互。</w:t>
      </w:r>
    </w:p>
    <w:p>
      <w:pPr>
        <w:pStyle w:val="4"/>
        <w:ind w:firstLine="0"/>
      </w:pPr>
      <w:bookmarkStart w:id="38" w:name="_DatagraphToc038"/>
      <w:r>
        <w:rPr>
          <w:rFonts w:ascii="Heiti SC" w:hAnsi="Heiti SC" w:eastAsia="Heiti SC"/>
          <w:b/>
          <w:sz w:val="28"/>
        </w:rPr>
        <w:t>4.1.3 案例数据端到端处理流程</w:t>
      </w:r>
      <w:bookmarkEnd w:id="38"/>
    </w:p>
    <w:p>
      <w:pPr>
        <w:ind w:firstLine="560"/>
        <w:jc w:val="both"/>
      </w:pPr>
      <w:r>
        <w:rPr>
          <w:rFonts w:ascii="Songti SC" w:hAnsi="Songti SC" w:eastAsia="Songti SC"/>
          <w:b w:val="0"/>
          <w:sz w:val="28"/>
        </w:rPr>
        <w:t>新增案例的主流程为：案例上传 -&gt; 数据校验 -&gt; 案例与任务入库 -&gt; 可疑报告生成 -&gt; 五层框架抽取 -&gt; 相似案例检索 -&gt; 风险等级推荐 -&gt; 人工复核审批 -&gt; 案例库激活 -&gt; 关系图谱展示。系统只允许案例在满足当前阶段前置条件时进入下一阶段，例如未生成可疑报告的新增案例不能直接执行框架抽取，未完成框架抽取的案例不能执行相似匹配。</w:t>
      </w:r>
    </w:p>
    <w:p>
      <w:pPr>
        <w:ind w:firstLine="560"/>
        <w:jc w:val="both"/>
      </w:pPr>
      <w:r>
        <w:rPr>
          <w:rFonts w:ascii="Songti SC" w:hAnsi="Songti SC" w:eastAsia="Songti SC"/>
          <w:b w:val="0"/>
          <w:sz w:val="28"/>
        </w:rPr>
        <w:t>处理状态同时写入案例表和案例处理池。页面按“待生成报告、待框架抽取、待相似匹配、待复核审批”展示不同队列，操作完成后由服务端原子更新阶段状态和阶段产物。失败案例保持在原业务队列并记录错误原因，可在修正输入或运行条件后重新执行。</w:t>
      </w:r>
    </w:p>
    <w:p>
      <w:pPr>
        <w:keepNext/>
        <w:spacing w:before="100" w:after="60"/>
        <w:jc w:val="center"/>
      </w:pPr>
      <w:r>
        <w:rPr>
          <w:rFonts w:ascii="Heiti SC" w:hAnsi="Heiti SC" w:eastAsia="Heiti SC"/>
          <w:b/>
          <w:sz w:val="22"/>
        </w:rPr>
        <w:t>表4-1 新增案例处理阶段及主要产物</w:t>
      </w:r>
    </w:p>
    <w:tbl>
      <w:tblPr>
        <w:tblStyle w:val="20"/>
        <w:tblW w:type="dxa" w:w="8186"/>
        <w:jc w:val="left"/>
        <w:tblLayout w:type="fixed"/>
        <w:tblLook w:firstColumn="1" w:firstRow="1" w:lastColumn="0" w:lastRow="0" w:noHBand="0" w:noVBand="1" w:val="04A0"/>
        <w:tblInd w:type="dxa" w:w="120"/>
      </w:tblPr>
      <w:tblGrid>
        <w:gridCol w:w="1116"/>
        <w:gridCol w:w="1302"/>
        <w:gridCol w:w="2791"/>
        <w:gridCol w:w="2977"/>
      </w:tblGrid>
      <w:tr>
        <w:trPr>
          <w:tblHeader w:val="true"/>
          <w:cantSplit/>
        </w:trPr>
        <w:tc>
          <w:tcPr>
            <w:tcW w:type="dxa" w:w="111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处理阶段</w:t>
            </w:r>
          </w:p>
        </w:tc>
        <w:tc>
          <w:tcPr>
            <w:tcW w:type="dxa" w:w="13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系统状态</w:t>
            </w:r>
          </w:p>
        </w:tc>
        <w:tc>
          <w:tcPr>
            <w:tcW w:type="dxa" w:w="27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主要输入</w:t>
            </w:r>
          </w:p>
        </w:tc>
        <w:tc>
          <w:tcPr>
            <w:tcW w:type="dxa" w:w="2977"/>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主要输出</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数据接入</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上传任务</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案例JSON或CSV/XLSX</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上传凭据、任务记录、原始载荷</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可疑报告</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PENDING_REPORT</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基础信息、客户及场景数据</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风险事件链、分析文本、可疑报告</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框架抽取</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PENDING_EXTRACTION</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原始载荷与可疑报告</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五层知识结果、图谱快照</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相似匹配</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PENDING_SIMILARITY</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五层知识结果与已审核案例库</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Top-5相似案例、得分及匹配子图</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复核审批</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PENDING_APPROVAL</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报告、框架、相似结果和推荐等级</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最终风险等级、人工排序、审批记录</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成果使用</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APPROVED</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已审核案例及图谱投影</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案例库条目、全景图谱与分析入口</w:t>
            </w:r>
          </w:p>
        </w:tc>
      </w:tr>
    </w:tbl>
    <w:p>
      <w:pPr>
        <w:spacing w:after="0"/>
        <w:ind w:firstLine="0"/>
      </w:pPr>
    </w:p>
    <w:p>
      <w:pPr>
        <w:pStyle w:val="4"/>
        <w:ind w:firstLine="0"/>
      </w:pPr>
      <w:bookmarkStart w:id="39" w:name="_DatagraphToc039"/>
      <w:r>
        <w:rPr>
          <w:rFonts w:ascii="Heiti SC" w:hAnsi="Heiti SC" w:eastAsia="Heiti SC"/>
          <w:b/>
          <w:sz w:val="28"/>
        </w:rPr>
        <w:t>4.1.4 新增案例与历史案例分流机制</w:t>
      </w:r>
      <w:bookmarkEnd w:id="39"/>
    </w:p>
    <w:p>
      <w:pPr>
        <w:ind w:firstLine="560"/>
        <w:jc w:val="both"/>
      </w:pPr>
      <w:r>
        <w:rPr>
          <w:rFonts w:ascii="Songti SC" w:hAnsi="Songti SC" w:eastAsia="Songti SC"/>
          <w:b w:val="0"/>
          <w:sz w:val="28"/>
        </w:rPr>
        <w:t>新增案例用于处理尚未形成完整分析结论的材料。上传阶段只保存基础事实，案例进入待生成报告队列，由系统生成或补充分析文本，再依次进入框架抽取、相似匹配和人工复核。该路线强调机器分析与人工确认的逐级收敛，任何报告修改都会使依赖它的框架、图谱快照和相似结果失效，防止旧结果继续参与审批。</w:t>
      </w:r>
    </w:p>
    <w:p>
      <w:pPr>
        <w:ind w:firstLine="560"/>
        <w:jc w:val="both"/>
      </w:pPr>
      <w:r>
        <w:rPr>
          <w:rFonts w:ascii="Songti SC" w:hAnsi="Songti SC" w:eastAsia="Songti SC"/>
          <w:b w:val="0"/>
          <w:sz w:val="28"/>
        </w:rPr>
        <w:t>历史案例用于建设可复用的已知案例库。历史反洗钱案例必须提供analysis_texts，历史反欺诈案例必须提供text_analysis；系统不重复生成报告，而是直接执行五层框架抽取。若基本信息中的风险等级可以映射为现行低、中、高三级，系统自动完成审核并进入图谱；风险等级缺失或无法识别时，案例转入人工复核队列。历史案例在本次接入中不执行相似度匹配，相似检索由后续新增案例显式触发。</w:t>
      </w:r>
    </w:p>
    <w:p>
      <w:pPr>
        <w:pStyle w:val="3"/>
        <w:ind w:firstLine="0"/>
      </w:pPr>
      <w:bookmarkStart w:id="40" w:name="_DatagraphToc040"/>
      <w:r>
        <w:rPr>
          <w:rFonts w:ascii="Heiti SC" w:hAnsi="Heiti SC" w:eastAsia="Heiti SC"/>
          <w:b/>
          <w:sz w:val="30"/>
        </w:rPr>
        <w:t>4.2 多源案例数据接入与预处理</w:t>
      </w:r>
      <w:bookmarkEnd w:id="40"/>
    </w:p>
    <w:p>
      <w:pPr>
        <w:pStyle w:val="4"/>
        <w:ind w:firstLine="0"/>
      </w:pPr>
      <w:bookmarkStart w:id="41" w:name="_DatagraphToc041"/>
      <w:r>
        <w:rPr>
          <w:rFonts w:ascii="Heiti SC" w:hAnsi="Heiti SC" w:eastAsia="Heiti SC"/>
          <w:b/>
          <w:sz w:val="28"/>
        </w:rPr>
        <w:t>4.2.1 统一数据接入方式</w:t>
      </w:r>
      <w:bookmarkEnd w:id="41"/>
    </w:p>
    <w:p>
      <w:pPr>
        <w:ind w:firstLine="560"/>
        <w:jc w:val="both"/>
      </w:pPr>
      <w:r>
        <w:rPr>
          <w:rFonts w:ascii="Songti SC" w:hAnsi="Songti SC" w:eastAsia="Songti SC"/>
          <w:b w:val="0"/>
          <w:sz w:val="28"/>
        </w:rPr>
        <w:t>系统通过统一案例上传工作台接收反洗钱和反欺诈案例。用户首先选择处理场景、案例来源和处理方式，再上传对应文件。上传接口只负责接收和校验材料并生成上传凭据，分析任务通过独立接口创建和启动，使大文件上传与长时间分析相互解耦。任务列表展示任务编号、任务名称、银行、场景、状态、进度和创建时间，并提供查看结果、停止、重试和删除等操作。</w:t>
      </w:r>
    </w:p>
    <w:p>
      <w:pPr>
        <w:ind w:firstLine="560"/>
        <w:jc w:val="both"/>
      </w:pPr>
      <w:r>
        <w:rPr>
          <w:rFonts w:ascii="Songti SC" w:hAnsi="Songti SC" w:eastAsia="Songti SC"/>
          <w:b w:val="0"/>
          <w:sz w:val="28"/>
        </w:rPr>
        <w:t>单案例模式适用于调试、补录和重点案例处理，以分角色JSON文件表达案例基本信息、客户、账户、设备或其他实体。批处理模式适用于历史库建设和批量新增案例识别，使用CSV或XLSX文件，一行对应一个案例，复杂字段以JSON字符串写入单元格。批处理文件最多包含500个案例，系统拒绝重复case_id、空文件、公式单元格和不符合场景的表头。</w:t>
      </w:r>
    </w:p>
    <w:p>
      <w:pPr>
        <w:pStyle w:val="4"/>
        <w:ind w:firstLine="0"/>
      </w:pPr>
      <w:bookmarkStart w:id="42" w:name="_DatagraphToc042"/>
      <w:r>
        <w:rPr>
          <w:rFonts w:ascii="Heiti SC" w:hAnsi="Heiti SC" w:eastAsia="Heiti SC"/>
          <w:b/>
          <w:sz w:val="28"/>
        </w:rPr>
        <w:t>4.2.2 单案例与批量案例上传</w:t>
      </w:r>
      <w:bookmarkEnd w:id="42"/>
    </w:p>
    <w:p>
      <w:pPr>
        <w:ind w:firstLine="560"/>
        <w:jc w:val="both"/>
      </w:pPr>
      <w:r>
        <w:rPr>
          <w:rFonts w:ascii="Songti SC" w:hAnsi="Songti SC" w:eastAsia="Songti SC"/>
          <w:b w:val="0"/>
          <w:sz w:val="28"/>
        </w:rPr>
        <w:t>单案例上传采用明确的角色文件边界。basic_info.json顶层必须为对象并包含非空case_id；customers.json顶层必须为非空数组，每个客户必须包含entity_id。反洗钱场景可选accounts.json和other_entities.json；反欺诈场景要求accounts.json和devices.json，并通过设备号或device_id识别设备。单案例文件及全部文件合计不得超过100MB。</w:t>
      </w:r>
    </w:p>
    <w:p>
      <w:pPr>
        <w:ind w:firstLine="560"/>
        <w:jc w:val="both"/>
      </w:pPr>
      <w:r>
        <w:rPr>
          <w:rFonts w:ascii="Songti SC" w:hAnsi="Songti SC" w:eastAsia="Songti SC"/>
          <w:b w:val="0"/>
          <w:sz w:val="28"/>
        </w:rPr>
        <w:t>批处理上传只接受一个CSV或XLSX文件。反洗钱新增案例表头为basic_info、customers、transaction_features，历史案例表头至少为basic_info、customers、analysis_texts；反欺诈新增案例增加accounts、devices和event_chain，历史案例以text_analysis替代event_chain。系统按行解析、验证和拆分案例，并为每个案例建立独立的结果和状态记录。</w:t>
      </w:r>
    </w:p>
    <w:p>
      <w:pPr>
        <w:keepNext/>
        <w:spacing w:before="100" w:after="60"/>
        <w:jc w:val="center"/>
      </w:pPr>
      <w:r>
        <w:rPr>
          <w:rFonts w:ascii="Heiti SC" w:hAnsi="Heiti SC" w:eastAsia="Heiti SC"/>
          <w:b/>
          <w:sz w:val="22"/>
        </w:rPr>
        <w:t>表4-2 主要案例输入模式</w:t>
      </w:r>
    </w:p>
    <w:tbl>
      <w:tblPr>
        <w:tblStyle w:val="20"/>
        <w:tblW w:type="dxa" w:w="8186"/>
        <w:jc w:val="left"/>
        <w:tblLayout w:type="fixed"/>
        <w:tblLook w:firstColumn="1" w:firstRow="1" w:lastColumn="0" w:lastRow="0" w:noHBand="0" w:noVBand="1" w:val="04A0"/>
        <w:tblInd w:type="dxa" w:w="120"/>
      </w:tblPr>
      <w:tblGrid>
        <w:gridCol w:w="1169"/>
        <w:gridCol w:w="2506"/>
        <w:gridCol w:w="2506"/>
        <w:gridCol w:w="2005"/>
      </w:tblGrid>
      <w:tr>
        <w:trPr>
          <w:tblHeader w:val="true"/>
          <w:cantSplit/>
        </w:trPr>
        <w:tc>
          <w:tcPr>
            <w:tcW w:type="dxa" w:w="116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场景与来源</w:t>
            </w:r>
          </w:p>
        </w:tc>
        <w:tc>
          <w:tcPr>
            <w:tcW w:type="dxa" w:w="250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单案例主要文件</w:t>
            </w:r>
          </w:p>
        </w:tc>
        <w:tc>
          <w:tcPr>
            <w:tcW w:type="dxa" w:w="250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批处理主要字段</w:t>
            </w:r>
          </w:p>
        </w:tc>
        <w:tc>
          <w:tcPr>
            <w:tcW w:type="dxa" w:w="200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后续路线</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反洗钱新增案例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basic_info、customers；accounts和other_entities可选</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basic_info、customers、transaction_features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生成报告后进行框架抽取和相似匹配</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反洗钱历史案例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basic_info、customers、analysis_texts；其他实体可选</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basic_info、customers、analysis_texts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复用报告并直接进行框架抽取</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反欺诈新增案例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basic_info、customers、accounts、devices、event_chain</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basic_info、customers、accounts、devices、event_chain</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规则生成风险事件链后生成报告</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反欺诈历史案例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basic_info、customers、accounts、devices、text_analysis</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basic_info、customers、accounts、devices、text_analysis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复用报告并直接进行框架抽取</w:t>
            </w:r>
          </w:p>
        </w:tc>
      </w:tr>
    </w:tbl>
    <w:p>
      <w:pPr>
        <w:spacing w:after="0"/>
        <w:ind w:firstLine="0"/>
      </w:pPr>
    </w:p>
    <w:p>
      <w:pPr>
        <w:pStyle w:val="4"/>
        <w:ind w:firstLine="0"/>
      </w:pPr>
      <w:bookmarkStart w:id="43" w:name="_DatagraphToc043"/>
      <w:r>
        <w:rPr>
          <w:rFonts w:ascii="Heiti SC" w:hAnsi="Heiti SC" w:eastAsia="Heiti SC"/>
          <w:b/>
          <w:sz w:val="28"/>
        </w:rPr>
        <w:t>4.2.3 反洗钱与反欺诈数据要求</w:t>
      </w:r>
      <w:bookmarkEnd w:id="43"/>
    </w:p>
    <w:p>
      <w:pPr>
        <w:ind w:firstLine="560"/>
        <w:jc w:val="both"/>
      </w:pPr>
      <w:r>
        <w:rPr>
          <w:rFonts w:ascii="Songti SC" w:hAnsi="Songti SC" w:eastAsia="Songti SC"/>
          <w:b w:val="0"/>
          <w:sz w:val="28"/>
        </w:rPr>
        <w:t>反洗钱与反欺诈使用相同的案例编号、银行范围和五层输出契约，但输入事实和规则库相互隔离。反洗钱重点使用客户、账户、交易特征和已有分析文本；反欺诈增加设备和渠道信息，并使用独立的分渠道风险规则库。系统在上传阶段识别明显的跨场景文件，例如选择反洗钱场景却上传反欺诈批处理表头时直接阻断，避免错误规则和提示词作用于不匹配的数据。</w:t>
      </w:r>
    </w:p>
    <w:p>
      <w:pPr>
        <w:ind w:firstLine="560"/>
        <w:jc w:val="both"/>
      </w:pPr>
      <w:r>
        <w:rPr>
          <w:rFonts w:ascii="Songti SC" w:hAnsi="Songti SC" w:eastAsia="Songti SC"/>
          <w:b w:val="0"/>
          <w:sz w:val="28"/>
        </w:rPr>
        <w:t>反欺诈的客户、账户、设备和案例基本信息采用确定性直映射，模型主要负责风险事件和关系的抽取与组织。规则命中表示待核验风险线索，不直接构成诈骗或违法认定；报告和框架结果仍需结合原始材料、事件证据和人工复核形成最终判断。</w:t>
      </w:r>
    </w:p>
    <w:p>
      <w:pPr>
        <w:pStyle w:val="4"/>
        <w:ind w:firstLine="0"/>
      </w:pPr>
      <w:bookmarkStart w:id="44" w:name="_DatagraphToc044"/>
      <w:r>
        <w:rPr>
          <w:rFonts w:ascii="Heiti SC" w:hAnsi="Heiti SC" w:eastAsia="Heiti SC"/>
          <w:b/>
          <w:sz w:val="28"/>
        </w:rPr>
        <w:t>4.2.4 数据校验、清洗与标准化</w:t>
      </w:r>
      <w:bookmarkEnd w:id="44"/>
    </w:p>
    <w:p>
      <w:pPr>
        <w:ind w:firstLine="560"/>
        <w:jc w:val="both"/>
      </w:pPr>
      <w:r>
        <w:rPr>
          <w:rFonts w:ascii="Songti SC" w:hAnsi="Songti SC" w:eastAsia="Songti SC"/>
          <w:b w:val="0"/>
          <w:sz w:val="28"/>
        </w:rPr>
        <w:t>预处理首先检查文件扩展名、文件大小、JSON顶层类型、必填文件和必填字段，再检查案例编号、客户编号和场景模式的一致性。CSV/XLSX解析采用固定表头，禁止额外字段和公式，避免在服务端执行不受控表达式。对文本采用UTF-8兼容读取，对空白值进行裁剪，对风险等级、模式代码和场景代码进行标准化。</w:t>
      </w:r>
    </w:p>
    <w:p>
      <w:pPr>
        <w:ind w:firstLine="560"/>
        <w:jc w:val="both"/>
      </w:pPr>
      <w:r>
        <w:rPr>
          <w:rFonts w:ascii="Songti SC" w:hAnsi="Songti SC" w:eastAsia="Songti SC"/>
          <w:b w:val="0"/>
          <w:sz w:val="28"/>
        </w:rPr>
        <w:t>案例编号是贯穿业务库、处理池、图谱和案例库的主标识。系统拒绝跨银行覆盖同一案例，批处理内部也不允许重复case_id。相同银行内的重复识别被视为对同一案例的权威重算，新的框架、事件、图谱快照和处理状态替换旧结果，同时保留任务关系和审计记录。</w:t>
      </w:r>
    </w:p>
    <w:p>
      <w:pPr>
        <w:ind w:firstLine="560"/>
        <w:jc w:val="both"/>
      </w:pPr>
      <w:r>
        <w:rPr>
          <w:rFonts w:ascii="Songti SC" w:hAnsi="Songti SC" w:eastAsia="Songti SC"/>
          <w:b w:val="0"/>
          <w:sz w:val="28"/>
        </w:rPr>
        <w:t>系统还生成源数据内容指纹和图谱快照哈希，用于判断输入或结果是否发生变化。字段清洗只改变可安全确定的格式，不凭空补充业务事实；无法判断的风险等级、时间、金额或身份信息保留为空或待核验状态，并在后续复核中提示。</w:t>
      </w:r>
    </w:p>
    <w:p>
      <w:pPr>
        <w:pStyle w:val="4"/>
        <w:ind w:firstLine="0"/>
      </w:pPr>
      <w:bookmarkStart w:id="45" w:name="_DatagraphToc045"/>
      <w:r>
        <w:rPr>
          <w:rFonts w:ascii="Heiti SC" w:hAnsi="Heiti SC" w:eastAsia="Heiti SC"/>
          <w:b/>
          <w:sz w:val="28"/>
        </w:rPr>
        <w:t>4.2.5 案例入库与处理任务创建</w:t>
      </w:r>
      <w:bookmarkEnd w:id="45"/>
    </w:p>
    <w:p>
      <w:pPr>
        <w:ind w:firstLine="560"/>
        <w:jc w:val="both"/>
      </w:pPr>
      <w:r>
        <w:rPr>
          <w:rFonts w:ascii="Songti SC" w:hAnsi="Songti SC" w:eastAsia="Songti SC"/>
          <w:b w:val="0"/>
          <w:sz w:val="28"/>
        </w:rPr>
        <w:t>上传校验通过后，服务端在受控上传目录保存文件并返回uploadToken。用户填写任务名称、银行和场景后创建分析任务，任务输入参数记录workflow、processingMode、recognitionMode、uploadToken和caseCount。任务由后端线程池异步执行，默认并发度为5，队列容量为1000；页面通过任务详情接口轮询进度，不需要保持长连接等待。</w:t>
      </w:r>
    </w:p>
    <w:p>
      <w:pPr>
        <w:ind w:firstLine="560"/>
        <w:jc w:val="both"/>
      </w:pPr>
      <w:r>
        <w:rPr>
          <w:rFonts w:ascii="Songti SC" w:hAnsi="Songti SC" w:eastAsia="Songti SC"/>
          <w:b w:val="0"/>
          <w:sz w:val="28"/>
        </w:rPr>
        <w:t>新增案例在初始入库时写入案例表和案例处理池，状态为PENDING_REPORT；历史案例由Worker直接产出框架结果，根据基础信息风险等级进入APPROVED或PENDING_APPROVAL。任务停止、失败和重试不会绕过阶段校验，删除任务时系统按任务与案例的归属关系清理独占成果，同时保留输入批次和原始文件。</w:t>
      </w:r>
    </w:p>
    <w:p>
      <w:pPr>
        <w:pStyle w:val="3"/>
        <w:ind w:firstLine="0"/>
      </w:pPr>
      <w:bookmarkStart w:id="46" w:name="_DatagraphToc046"/>
      <w:r>
        <w:rPr>
          <w:rFonts w:ascii="Heiti SC" w:hAnsi="Heiti SC" w:eastAsia="Heiti SC"/>
          <w:b/>
          <w:sz w:val="30"/>
        </w:rPr>
        <w:t>4.3 模块一：可疑报告智能生成</w:t>
      </w:r>
      <w:bookmarkEnd w:id="46"/>
    </w:p>
    <w:p>
      <w:pPr>
        <w:pStyle w:val="4"/>
        <w:ind w:firstLine="0"/>
      </w:pPr>
      <w:bookmarkStart w:id="47" w:name="_DatagraphToc047"/>
      <w:r>
        <w:rPr>
          <w:rFonts w:ascii="Heiti SC" w:hAnsi="Heiti SC" w:eastAsia="Heiti SC"/>
          <w:b/>
          <w:sz w:val="28"/>
        </w:rPr>
        <w:t>4.3.1 功能定位与输入数据</w:t>
      </w:r>
      <w:bookmarkEnd w:id="47"/>
    </w:p>
    <w:p>
      <w:pPr>
        <w:ind w:firstLine="560"/>
        <w:jc w:val="both"/>
      </w:pPr>
      <w:r>
        <w:rPr>
          <w:rFonts w:ascii="Songti SC" w:hAnsi="Songti SC" w:eastAsia="Songti SC"/>
          <w:b w:val="0"/>
          <w:sz w:val="28"/>
        </w:rPr>
        <w:t>可疑报告生成是新增案例进入知识抽取前的第一项核心功能，用于把分散的基础信息、客户信息、账户信息、交易特征、设备信息和事件链整理为可阅读、可复核的案例分析文本。该功能只处理PENDING_REPORT状态的新增案例；历史案例已有分析文本，不重复调用报告生成流程。</w:t>
      </w:r>
    </w:p>
    <w:p>
      <w:pPr>
        <w:ind w:firstLine="560"/>
        <w:jc w:val="both"/>
      </w:pPr>
      <w:r>
        <w:rPr>
          <w:rFonts w:ascii="Songti SC" w:hAnsi="Songti SC" w:eastAsia="Songti SC"/>
          <w:b w:val="0"/>
          <w:sz w:val="28"/>
        </w:rPr>
        <w:t>服务端从案例处理池读取source_payload，在受控临时目录恢复各角色JSON文件，并将场景代码、识别模式和目标阶段传给对应Worker。反洗钱与反欺诈使用平行Worker目录和独立提示词，避免业务规则交叉；共同的执行时限由后端统一控制，超时或Worker返回失败时保留原状态并记录last_error。</w:t>
      </w:r>
    </w:p>
    <w:p>
      <w:pPr>
        <w:pStyle w:val="4"/>
        <w:ind w:firstLine="0"/>
      </w:pPr>
      <w:bookmarkStart w:id="48" w:name="_DatagraphToc048"/>
      <w:r>
        <w:rPr>
          <w:rFonts w:ascii="Heiti SC" w:hAnsi="Heiti SC" w:eastAsia="Heiti SC"/>
          <w:b/>
          <w:sz w:val="28"/>
        </w:rPr>
        <w:t>4.3.2 风险事件链生成</w:t>
      </w:r>
      <w:bookmarkEnd w:id="48"/>
    </w:p>
    <w:p>
      <w:pPr>
        <w:ind w:firstLine="560"/>
        <w:jc w:val="both"/>
      </w:pPr>
      <w:r>
        <w:rPr>
          <w:rFonts w:ascii="Songti SC" w:hAnsi="Songti SC" w:eastAsia="Songti SC"/>
          <w:b w:val="0"/>
          <w:sz w:val="28"/>
        </w:rPr>
        <w:t>反欺诈新增案例首先依据basic_info中的渠道选择分渠道规则，对event_chain中的原始事件进行匹配，形成可审计的风险事件链。规则库只负责识别事件是否满足已登记的渠道特征，并记录规则编号、事件引用和命中依据；语义风险事件知识库则负责为事件提供统一名称、类别和说明，两类知识分开治理。</w:t>
      </w:r>
    </w:p>
    <w:p>
      <w:pPr>
        <w:ind w:firstLine="560"/>
        <w:jc w:val="both"/>
      </w:pPr>
      <w:r>
        <w:rPr>
          <w:rFonts w:ascii="Songti SC" w:hAnsi="Songti SC" w:eastAsia="Songti SC"/>
          <w:b w:val="0"/>
          <w:sz w:val="28"/>
        </w:rPr>
        <w:t>风险事件链按资金行为、交易对手、账户操作、设备与渠道、外部权威线索和时间顺序组织。每个进入报告的风险描述必须引用原始事件或确定性派生事实，无法获得证据的内容标记为不可评估。反洗钱场景不套用反欺诈渠道规则，而是直接依据客户、账户和交易特征构建报告分析上下文。</w:t>
      </w:r>
    </w:p>
    <w:p>
      <w:pPr>
        <w:pStyle w:val="4"/>
        <w:ind w:firstLine="0"/>
      </w:pPr>
      <w:bookmarkStart w:id="49" w:name="_DatagraphToc049"/>
      <w:r>
        <w:rPr>
          <w:rFonts w:ascii="Heiti SC" w:hAnsi="Heiti SC" w:eastAsia="Heiti SC"/>
          <w:b/>
          <w:sz w:val="28"/>
        </w:rPr>
        <w:t>4.3.3 案例分析与可疑报告生成</w:t>
      </w:r>
      <w:bookmarkEnd w:id="49"/>
    </w:p>
    <w:p>
      <w:pPr>
        <w:ind w:firstLine="560"/>
        <w:jc w:val="both"/>
      </w:pPr>
      <w:r>
        <w:rPr>
          <w:rFonts w:ascii="Songti SC" w:hAnsi="Songti SC" w:eastAsia="Songti SC"/>
          <w:b w:val="0"/>
          <w:sz w:val="28"/>
        </w:rPr>
        <w:t>报告生成采用分阶段、分角色的并行编排。反洗钱流程分别分析主体情况、客户画像与交易特征、发现过程、资金链路、案例主体、关联账户和交易对手等内容；反欺诈流程并行分析客户/账户/设备概览、资金链、案例主体、资金与操作、交易对手与外部线索，再生成客户主体综合分析和案例综合分析。独立节点只接收与本段相关的事实，降低长上下文中事实混用的风险。</w:t>
      </w:r>
    </w:p>
    <w:p>
      <w:pPr>
        <w:ind w:firstLine="560"/>
        <w:jc w:val="both"/>
      </w:pPr>
      <w:r>
        <w:rPr>
          <w:rFonts w:ascii="Songti SC" w:hAnsi="Songti SC" w:eastAsia="Songti SC"/>
          <w:b w:val="0"/>
          <w:sz w:val="28"/>
        </w:rPr>
        <w:t>各节点返回结构化段落及其事实引用，工作流检查段落编号、内容完整性、证据引用和长度约束。初稿完成后，统一复核节点检查事实矛盾、无依据判断、遗漏的重要风险和段落重复；仅对存在错误的目标段落执行定向重写，并设置最大重写轮次。若复核后仍存在关键错误，流程返回失败而不发布报告。</w:t>
      </w:r>
    </w:p>
    <w:p>
      <w:pPr>
        <w:ind w:firstLine="560"/>
        <w:jc w:val="both"/>
      </w:pPr>
      <w:r>
        <w:rPr>
          <w:rFonts w:ascii="Songti SC" w:hAnsi="Songti SC" w:eastAsia="Songti SC"/>
          <w:b w:val="0"/>
          <w:sz w:val="28"/>
        </w:rPr>
        <w:t>最终产物包含用于页面展示的analysisText、保留分段结构的analysisTexts、风险事件链、复核结果和必要的执行元数据。报告文字强调“异常事实、风险解释、待核验事项”的区分，不以模型生成内容替代法律性质认定或人工审核。</w:t>
      </w:r>
    </w:p>
    <w:p>
      <w:pPr>
        <w:pStyle w:val="4"/>
        <w:ind w:firstLine="0"/>
      </w:pPr>
      <w:bookmarkStart w:id="50" w:name="_DatagraphToc050"/>
      <w:r>
        <w:rPr>
          <w:rFonts w:ascii="Heiti SC" w:hAnsi="Heiti SC" w:eastAsia="Heiti SC"/>
          <w:b/>
          <w:sz w:val="28"/>
        </w:rPr>
        <w:t>4.3.4 报告查看、编辑与保存</w:t>
      </w:r>
      <w:bookmarkEnd w:id="50"/>
    </w:p>
    <w:p>
      <w:pPr>
        <w:ind w:firstLine="560"/>
        <w:jc w:val="both"/>
      </w:pPr>
      <w:r>
        <w:rPr>
          <w:rFonts w:ascii="Songti SC" w:hAnsi="Songti SC" w:eastAsia="Songti SC"/>
          <w:b w:val="0"/>
          <w:sz w:val="28"/>
        </w:rPr>
        <w:t>处理完成后，用户可在案例处理详情中同时查看原始材料、风险事件链和可疑报告。系统允许对analysisText进行人工修订，保存时将来源标记为USER_EDITED_ANALYSIS_TEXT，并保留既有风险事件链。修改后的报告重新进入PENDING_EXTRACTION，原框架结果、图谱快照、相似结果、推荐得分和旧相似排序被清空。</w:t>
      </w:r>
    </w:p>
    <w:p>
      <w:pPr>
        <w:ind w:firstLine="560"/>
        <w:jc w:val="both"/>
      </w:pPr>
      <w:r>
        <w:rPr>
          <w:rFonts w:ascii="Songti SC" w:hAnsi="Songti SC" w:eastAsia="Songti SC"/>
          <w:b w:val="0"/>
          <w:sz w:val="28"/>
        </w:rPr>
        <w:t>该设计保证下游结果始终基于当前有效报告。人工编辑不直接修改原始业务数据，也不改变风险事件链引用；若事实本身有误，应回到数据接入环节重新上传或重跑案例，而不是只修改结论性文字。</w:t>
      </w:r>
    </w:p>
    <w:p>
      <w:pPr>
        <w:pStyle w:val="4"/>
        <w:ind w:firstLine="0"/>
      </w:pPr>
      <w:bookmarkStart w:id="51" w:name="_DatagraphToc051"/>
      <w:r>
        <w:rPr>
          <w:rFonts w:ascii="Heiti SC" w:hAnsi="Heiti SC" w:eastAsia="Heiti SC"/>
          <w:b/>
          <w:sz w:val="28"/>
        </w:rPr>
        <w:t>4.3.5 处理结果与任务状态流转</w:t>
      </w:r>
      <w:bookmarkEnd w:id="51"/>
    </w:p>
    <w:p>
      <w:pPr>
        <w:ind w:firstLine="560"/>
        <w:jc w:val="both"/>
      </w:pPr>
      <w:r>
        <w:rPr>
          <w:rFonts w:ascii="Songti SC" w:hAnsi="Songti SC" w:eastAsia="Songti SC"/>
          <w:b w:val="0"/>
          <w:sz w:val="28"/>
        </w:rPr>
        <w:t>可疑报告生成成功后，案例由PENDING_REPORT迁移为PENDING_EXTRACTION，并在case_processing_audit中记录原状态、目标状态、动作、报告快照、操作人和时间。批量处理逐案执行并汇总成功、失败数量，单个案例失败不阻断其他案例。</w:t>
      </w:r>
    </w:p>
    <w:p>
      <w:pPr>
        <w:ind w:firstLine="560"/>
        <w:jc w:val="both"/>
      </w:pPr>
      <w:r>
        <w:rPr>
          <w:rFonts w:ascii="Songti SC" w:hAnsi="Songti SC" w:eastAsia="Songti SC"/>
          <w:b w:val="0"/>
          <w:sz w:val="28"/>
        </w:rPr>
        <w:t>失败通常来自输入缺失、模型服务不可用、响应格式错误、事实引用校验不通过或执行超时。页面展示错误信息并允许重试；在重试成功前，案例仍停留在待生成报告队列，不会进入框架抽取。</w:t>
      </w:r>
    </w:p>
    <w:p>
      <w:pPr>
        <w:pStyle w:val="3"/>
        <w:ind w:firstLine="0"/>
      </w:pPr>
      <w:bookmarkStart w:id="52" w:name="_DatagraphToc052"/>
      <w:r>
        <w:rPr>
          <w:rFonts w:ascii="Heiti SC" w:hAnsi="Heiti SC" w:eastAsia="Heiti SC"/>
          <w:b/>
          <w:sz w:val="30"/>
        </w:rPr>
        <w:t>4.4 模块二：知识驱动的五层框架抽取</w:t>
      </w:r>
      <w:bookmarkEnd w:id="52"/>
    </w:p>
    <w:p>
      <w:pPr>
        <w:pStyle w:val="4"/>
        <w:ind w:firstLine="0"/>
      </w:pPr>
      <w:bookmarkStart w:id="53" w:name="_DatagraphToc053"/>
      <w:r>
        <w:rPr>
          <w:rFonts w:ascii="Heiti SC" w:hAnsi="Heiti SC" w:eastAsia="Heiti SC"/>
          <w:b/>
          <w:sz w:val="28"/>
        </w:rPr>
        <w:t>4.4.1 功能定位与抽取流程</w:t>
      </w:r>
      <w:bookmarkEnd w:id="53"/>
    </w:p>
    <w:p>
      <w:pPr>
        <w:ind w:firstLine="560"/>
        <w:jc w:val="both"/>
      </w:pPr>
      <w:r>
        <w:rPr>
          <w:rFonts w:ascii="Songti SC" w:hAnsi="Songti SC" w:eastAsia="Songti SC"/>
          <w:b w:val="0"/>
          <w:sz w:val="28"/>
        </w:rPr>
        <w:t>五层框架抽取是将可疑报告和原始案例材料转换为标准知识对象的核心环节。新增案例以已确认的可疑报告作为语义输入，历史案例直接复用上传的分析文本。Worker在统一工作流中完成数据读取、实体和事件抽取、分层关系生成、证据绑定、语义校验和图谱快照组装，输出结构固定的final_case数据。</w:t>
      </w:r>
    </w:p>
    <w:p>
      <w:pPr>
        <w:ind w:firstLine="560"/>
        <w:jc w:val="both"/>
      </w:pPr>
      <w:r>
        <w:rPr>
          <w:rFonts w:ascii="Songti SC" w:hAnsi="Songti SC" w:eastAsia="Songti SC"/>
          <w:b w:val="0"/>
          <w:sz w:val="28"/>
        </w:rPr>
        <w:t>抽取遵循“确定性数据优先、模型抽取受约束、结果必须可验证”的原则。基础信息、客户、账户和设备等已有结构字段尽量直接映射；模型重点处理报告中的事件、关系和证据指向；所有关系必须满足允许的源类型、目标类型和方向语义，不符合契约的候选结果被过滤或进入重试。</w:t>
      </w:r>
    </w:p>
    <w:p>
      <w:pPr>
        <w:pStyle w:val="4"/>
        <w:ind w:firstLine="0"/>
      </w:pPr>
      <w:bookmarkStart w:id="54" w:name="_DatagraphToc054"/>
      <w:r>
        <w:rPr>
          <w:rFonts w:ascii="Heiti SC" w:hAnsi="Heiti SC" w:eastAsia="Heiti SC"/>
          <w:b/>
          <w:sz w:val="28"/>
        </w:rPr>
        <w:t>4.4.2 案例基本信息与实体抽取</w:t>
      </w:r>
      <w:bookmarkEnd w:id="54"/>
    </w:p>
    <w:p>
      <w:pPr>
        <w:ind w:firstLine="560"/>
        <w:jc w:val="both"/>
      </w:pPr>
      <w:r>
        <w:rPr>
          <w:rFonts w:ascii="Songti SC" w:hAnsi="Songti SC" w:eastAsia="Songti SC"/>
          <w:b w:val="0"/>
          <w:sz w:val="28"/>
        </w:rPr>
        <w:t>案例基本信息层从basic_info中读取案例编号、名称、来源编号、场景、业务领域、案例类型、触发点、报告时间、业务状态、风险等级、涉嫌类型和处置措施等信息。案例编号作为稳定主键，案例名称用于业务展示，两者分开管理。缺失字段不由模型随意补写，必要时保留为空并在案例详情中由人工维护。</w:t>
      </w:r>
    </w:p>
    <w:p>
      <w:pPr>
        <w:ind w:firstLine="560"/>
        <w:jc w:val="both"/>
      </w:pPr>
      <w:r>
        <w:rPr>
          <w:rFonts w:ascii="Songti SC" w:hAnsi="Songti SC" w:eastAsia="Songti SC"/>
          <w:b w:val="0"/>
          <w:sz w:val="28"/>
        </w:rPr>
        <w:t>实体层包括客户、账户、设备和其他实体。系统根据entity_id、账户标识、设备标识和案例范围生成稳定知识标识，对同名异体、异名同体和跨文件重复对象执行归一化。反欺诈场景的客户、账户和设备采用直映射，反洗钱场景可在原有客户基础上补充账户和其他实体。实体输出保留类型、名称、关键属性、来源和置信度。</w:t>
      </w:r>
    </w:p>
    <w:p>
      <w:pPr>
        <w:pStyle w:val="4"/>
        <w:ind w:firstLine="0"/>
      </w:pPr>
      <w:bookmarkStart w:id="55" w:name="_DatagraphToc055"/>
      <w:r>
        <w:rPr>
          <w:rFonts w:ascii="Heiti SC" w:hAnsi="Heiti SC" w:eastAsia="Heiti SC"/>
          <w:b/>
          <w:sz w:val="28"/>
        </w:rPr>
        <w:t>4.4.3 事件、关系与证据抽取</w:t>
      </w:r>
      <w:bookmarkEnd w:id="55"/>
    </w:p>
    <w:p>
      <w:pPr>
        <w:ind w:firstLine="560"/>
        <w:jc w:val="both"/>
      </w:pPr>
      <w:r>
        <w:rPr>
          <w:rFonts w:ascii="Songti SC" w:hAnsi="Songti SC" w:eastAsia="Songti SC"/>
          <w:b w:val="0"/>
          <w:sz w:val="28"/>
        </w:rPr>
        <w:t>事件层从报告和风险事件链中识别交易、账户操作、身份变化、外部处置及其他风险行为，记录事件编号、名称、类型、时间、参与主体、动作对象、金额、渠道和证据引用。事件名称与系统事件元数据进行匹配，优先使用已有标准事件；未完全匹配的结果保留原始表述和候选标准编码，供治理人员复核。</w:t>
      </w:r>
    </w:p>
    <w:p>
      <w:pPr>
        <w:ind w:firstLine="560"/>
        <w:jc w:val="both"/>
      </w:pPr>
      <w:r>
        <w:rPr>
          <w:rFonts w:ascii="Songti SC" w:hAnsi="Songti SC" w:eastAsia="Songti SC"/>
          <w:b w:val="0"/>
          <w:sz w:val="28"/>
        </w:rPr>
        <w:t>关系层按照确定性结构关系、实体与实体关系、实体与事件关系、事件与事件关系逐层生成。典型关系包括包含、来源、持有、参与、涉及、顺承、上下位和应对关系。每层只接受契约允许的节点组合，最终按“关系类型、源节点、目标节点”去重，并记录关系来源和确定性。</w:t>
      </w:r>
    </w:p>
    <w:p>
      <w:pPr>
        <w:ind w:firstLine="560"/>
        <w:jc w:val="both"/>
      </w:pPr>
      <w:r>
        <w:rPr>
          <w:rFonts w:ascii="Songti SC" w:hAnsi="Songti SC" w:eastAsia="Songti SC"/>
          <w:b w:val="0"/>
          <w:sz w:val="28"/>
        </w:rPr>
        <w:t>证据层把原始文件、事实片段、事件引用和模型结论连接起来。证据对象保存来源类型、来源标识、摘要、校验信息和证明对象；报告中的每个非不可评估判断应能回溯到一个或多个证据引用。对于仅由规则或模型推断的关系，系统标记为派生关系并保留生成依据，不与原始事实关系混淆。</w:t>
      </w:r>
    </w:p>
    <w:p>
      <w:pPr>
        <w:pStyle w:val="4"/>
        <w:ind w:firstLine="0"/>
      </w:pPr>
      <w:bookmarkStart w:id="56" w:name="_DatagraphToc056"/>
      <w:r>
        <w:rPr>
          <w:rFonts w:ascii="Heiti SC" w:hAnsi="Heiti SC" w:eastAsia="Heiti SC"/>
          <w:b/>
          <w:sz w:val="28"/>
        </w:rPr>
        <w:t>4.4.4 实体归一与事件语义标准化</w:t>
      </w:r>
      <w:bookmarkEnd w:id="56"/>
    </w:p>
    <w:p>
      <w:pPr>
        <w:ind w:firstLine="560"/>
        <w:jc w:val="both"/>
      </w:pPr>
      <w:r>
        <w:rPr>
          <w:rFonts w:ascii="Songti SC" w:hAnsi="Songti SC" w:eastAsia="Songti SC"/>
          <w:b w:val="0"/>
          <w:sz w:val="28"/>
        </w:rPr>
        <w:t>实体归一首先使用业务标识进行精确匹配，在标识不足时结合名称、证件、联系方式、地址、账户归属和设备特征形成候选匹配。系统不在证据不足时强制合并实体，而是保留候选关系和置信度，避免错误合并扩散到事件链和跨案例分析。</w:t>
      </w:r>
    </w:p>
    <w:p>
      <w:pPr>
        <w:ind w:firstLine="560"/>
        <w:jc w:val="both"/>
      </w:pPr>
      <w:r>
        <w:rPr>
          <w:rFonts w:ascii="Songti SC" w:hAnsi="Songti SC" w:eastAsia="Songti SC"/>
          <w:b w:val="0"/>
          <w:sz w:val="28"/>
        </w:rPr>
        <w:t>事件语义标准化由事件字典解析器和事件语义增强服务共同完成。系统按照AML或ANTI_FRAUD场景加载对应事件知识库，将事件候选与统一的id、name、category和rule定义对齐，并保存知识库版本。CoreNLP可用于中文指代消解，LLM用于受约束的语义提取；服务不可用时按配置进行重试或采用已有结构信息继续处理。</w:t>
      </w:r>
    </w:p>
    <w:p>
      <w:pPr>
        <w:pStyle w:val="4"/>
        <w:ind w:firstLine="0"/>
      </w:pPr>
      <w:bookmarkStart w:id="57" w:name="_DatagraphToc057"/>
      <w:r>
        <w:rPr>
          <w:rFonts w:ascii="Heiti SC" w:hAnsi="Heiti SC" w:eastAsia="Heiti SC"/>
          <w:b/>
          <w:sz w:val="28"/>
        </w:rPr>
        <w:t>4.4.5 五层知识结果与图谱快照生成</w:t>
      </w:r>
      <w:bookmarkEnd w:id="57"/>
    </w:p>
    <w:p>
      <w:pPr>
        <w:ind w:firstLine="560"/>
        <w:jc w:val="both"/>
      </w:pPr>
      <w:r>
        <w:rPr>
          <w:rFonts w:ascii="Songti SC" w:hAnsi="Songti SC" w:eastAsia="Songti SC"/>
          <w:b w:val="0"/>
          <w:sz w:val="28"/>
        </w:rPr>
        <w:t>五层结果组装完成后，系统执行结构完整性、节点引用、关系方向、重复对象、证据引用和案例范围校验。通过校验的结果写入案例库文档，并生成包含节点数、关系数和完整图数据的graphSnapshot。新增案例的案例库记录在复核通过前保持非活动状态，避免未经审核的内容参与相似检索；历史案例按照识别结果进入自动审核或人工复核。</w:t>
      </w:r>
    </w:p>
    <w:p>
      <w:pPr>
        <w:ind w:firstLine="560"/>
        <w:jc w:val="both"/>
      </w:pPr>
      <w:r>
        <w:rPr>
          <w:rFonts w:ascii="Songti SC" w:hAnsi="Songti SC" w:eastAsia="Songti SC"/>
          <w:b w:val="0"/>
          <w:sz w:val="28"/>
        </w:rPr>
        <w:t>框架抽取成功后，案例进入PENDING_SIMILARITY。与此同时，事件等关系型对象写入PostgreSQL，Java侧图谱写入服务在合同投影校验通过后将案例、客户、账户、交易、事件和证据投影到TuGraph。图谱快照用于结果展示和故障回退，TuGraph用于全景查询和关系遍历。</w:t>
      </w:r>
    </w:p>
    <w:p>
      <w:pPr>
        <w:pStyle w:val="3"/>
        <w:ind w:firstLine="0"/>
      </w:pPr>
      <w:bookmarkStart w:id="58" w:name="_DatagraphToc058"/>
      <w:r>
        <w:rPr>
          <w:rFonts w:ascii="Heiti SC" w:hAnsi="Heiti SC" w:eastAsia="Heiti SC"/>
          <w:b/>
          <w:sz w:val="30"/>
        </w:rPr>
        <w:t>4.5 模块三：语义增强的相似案例检索</w:t>
      </w:r>
      <w:bookmarkEnd w:id="58"/>
    </w:p>
    <w:p>
      <w:pPr>
        <w:pStyle w:val="4"/>
        <w:ind w:firstLine="0"/>
      </w:pPr>
      <w:bookmarkStart w:id="59" w:name="_DatagraphToc059"/>
      <w:r>
        <w:rPr>
          <w:rFonts w:ascii="Heiti SC" w:hAnsi="Heiti SC" w:eastAsia="Heiti SC"/>
          <w:b/>
          <w:sz w:val="28"/>
        </w:rPr>
        <w:t>4.5.1 功能定位与历史案例库</w:t>
      </w:r>
      <w:bookmarkEnd w:id="59"/>
    </w:p>
    <w:p>
      <w:pPr>
        <w:ind w:firstLine="560"/>
        <w:jc w:val="both"/>
      </w:pPr>
      <w:r>
        <w:rPr>
          <w:rFonts w:ascii="Songti SC" w:hAnsi="Songti SC" w:eastAsia="Songti SC"/>
          <w:b w:val="0"/>
          <w:sz w:val="28"/>
        </w:rPr>
        <w:t>相似案例检索用于回答“当前新增案例与哪些已审核案例在事件语义和关系结构上相近”。检索输入是当前案例的五层框架结果，候选集来自同一银行、同一监管场景、状态为APPROVED且案例库记录为ACTIVE的历史案例。系统根据案例库数量和更新时间生成缓存键，只在案例库发生变化时重建历史快照，降低重复读取成本。</w:t>
      </w:r>
    </w:p>
    <w:p>
      <w:pPr>
        <w:ind w:firstLine="560"/>
        <w:jc w:val="both"/>
      </w:pPr>
      <w:r>
        <w:rPr>
          <w:rFonts w:ascii="Songti SC" w:hAnsi="Songti SC" w:eastAsia="Songti SC"/>
          <w:b w:val="0"/>
          <w:sz w:val="28"/>
        </w:rPr>
        <w:t>待查询案例不会与自身比较，未审核、已删除或跨银行案例不会进入候选集。历史案例库为空时系统返回空结果并说明未执行配对，不制造虚假相似案例；该案例仍可进入复核，由人工依据报告和框架结果定级。</w:t>
      </w:r>
    </w:p>
    <w:p>
      <w:pPr>
        <w:pStyle w:val="4"/>
        <w:ind w:firstLine="0"/>
      </w:pPr>
      <w:bookmarkStart w:id="60" w:name="_DatagraphToc060"/>
      <w:r>
        <w:rPr>
          <w:rFonts w:ascii="Heiti SC" w:hAnsi="Heiti SC" w:eastAsia="Heiti SC"/>
          <w:b/>
          <w:sz w:val="28"/>
        </w:rPr>
        <w:t>4.5.2 候选案例召回与语义匹配</w:t>
      </w:r>
      <w:bookmarkEnd w:id="60"/>
    </w:p>
    <w:p>
      <w:pPr>
        <w:ind w:firstLine="560"/>
        <w:jc w:val="both"/>
      </w:pPr>
      <w:r>
        <w:rPr>
          <w:rFonts w:ascii="Songti SC" w:hAnsi="Songti SC" w:eastAsia="Songti SC"/>
          <w:b w:val="0"/>
          <w:sz w:val="28"/>
        </w:rPr>
        <w:t>算法首先根据事件类型向量进行粗召回，筛除在行为构成上明显无关的案例。对召回候选中的事件描述，使用bge-small-zh-v1.5生成中文句向量并计算余弦相似度；达到召回阈值的事件对再由bge-reranker-v2-m3进行交叉编码重排，为后续节点对齐提供更可靠的语义代价。</w:t>
      </w:r>
    </w:p>
    <w:p>
      <w:pPr>
        <w:ind w:firstLine="560"/>
        <w:jc w:val="both"/>
      </w:pPr>
      <w:r>
        <w:rPr>
          <w:rFonts w:ascii="Songti SC" w:hAnsi="Songti SC" w:eastAsia="Songti SC"/>
          <w:b w:val="0"/>
          <w:sz w:val="28"/>
        </w:rPr>
        <w:t>语义模型只用于候选召回和事件描述对齐，不直接决定最终案例排序。系统记录向量相似度、重排得分、模型来源和召回阈值，便于解释某一事件对为什么被视为候选匹配。</w:t>
      </w:r>
    </w:p>
    <w:p>
      <w:pPr>
        <w:pStyle w:val="4"/>
        <w:ind w:firstLine="0"/>
      </w:pPr>
      <w:bookmarkStart w:id="61" w:name="_DatagraphToc061"/>
      <w:r>
        <w:rPr>
          <w:rFonts w:ascii="Heiti SC" w:hAnsi="Heiti SC" w:eastAsia="Heiti SC"/>
          <w:b/>
          <w:sz w:val="28"/>
        </w:rPr>
        <w:t>4.5.3 案例图结构相似度计算</w:t>
      </w:r>
      <w:bookmarkEnd w:id="61"/>
    </w:p>
    <w:p>
      <w:pPr>
        <w:ind w:firstLine="560"/>
        <w:jc w:val="both"/>
      </w:pPr>
      <w:r>
        <w:rPr>
          <w:rFonts w:ascii="Songti SC" w:hAnsi="Songti SC" w:eastAsia="Songti SC"/>
          <w:b w:val="0"/>
          <w:sz w:val="28"/>
        </w:rPr>
        <w:t>候选召回后，系统把查询案例和历史案例表示为异构案例图，节点包含案例、实体和事件，边表示参与、持有、包含、时序及其他业务关系。近似图编辑距离算法计算从一张案例图转换为另一张案例图所需的节点插入、删除、替换以及边变化成本，并结合事件语义相似度优化节点对齐。</w:t>
      </w:r>
    </w:p>
    <w:p>
      <w:pPr>
        <w:ind w:firstLine="560"/>
        <w:jc w:val="both"/>
      </w:pPr>
      <w:r>
        <w:rPr>
          <w:rFonts w:ascii="Songti SC" w:hAnsi="Songti SC" w:eastAsia="Songti SC"/>
          <w:b w:val="0"/>
          <w:sz w:val="28"/>
        </w:rPr>
        <w:t>原始图编辑距离按查询图完整删除成本与候选图完整插入成本进行归一化，最终相似度为1减去归一化图编辑距离。该指标同时反映事件内容、参与主体和关系结构差异，避免仅凭关键词重合判断案例相似。系统保留匹配节点、匹配关系、事件相似点和差异说明，用于页面对比。</w:t>
      </w:r>
    </w:p>
    <w:p>
      <w:pPr>
        <w:pStyle w:val="4"/>
        <w:ind w:firstLine="0"/>
      </w:pPr>
      <w:bookmarkStart w:id="62" w:name="_DatagraphToc062"/>
      <w:r>
        <w:rPr>
          <w:rFonts w:ascii="Heiti SC" w:hAnsi="Heiti SC" w:eastAsia="Heiti SC"/>
          <w:b/>
          <w:sz w:val="28"/>
        </w:rPr>
        <w:t>4.5.4 相似案例综合排序</w:t>
      </w:r>
      <w:bookmarkEnd w:id="62"/>
    </w:p>
    <w:p>
      <w:pPr>
        <w:ind w:firstLine="560"/>
        <w:jc w:val="both"/>
      </w:pPr>
      <w:r>
        <w:rPr>
          <w:rFonts w:ascii="Songti SC" w:hAnsi="Songti SC" w:eastAsia="Songti SC"/>
          <w:b w:val="0"/>
          <w:sz w:val="28"/>
        </w:rPr>
        <w:t>系统按归一化图编辑距离从小到大排序，并将其转换为0至1范围的相似度，默认返回前5个历史案例。结果记录算法排序algorithmRank、最终排序finalRank、相似度similarity、归一化权重normalizedWeight和是否人工调整manuallyReordered。当前版本以归一化近似图编辑距离作为最终排序指标，语义模型用于提高召回和对齐质量。</w:t>
      </w:r>
    </w:p>
    <w:p>
      <w:pPr>
        <w:keepNext/>
        <w:spacing w:before="100" w:after="60"/>
        <w:jc w:val="center"/>
      </w:pPr>
      <w:r>
        <w:rPr>
          <w:rFonts w:ascii="Heiti SC" w:hAnsi="Heiti SC" w:eastAsia="Heiti SC"/>
          <w:b/>
          <w:sz w:val="22"/>
        </w:rPr>
        <w:t>表4-3 相似案例检索的主要处理环节</w:t>
      </w:r>
    </w:p>
    <w:tbl>
      <w:tblPr>
        <w:tblStyle w:val="20"/>
        <w:tblW w:type="dxa" w:w="8186"/>
        <w:jc w:val="left"/>
        <w:tblLayout w:type="fixed"/>
        <w:tblLook w:firstColumn="1" w:firstRow="1" w:lastColumn="0" w:lastRow="0" w:noHBand="0" w:noVBand="1" w:val="04A0"/>
        <w:tblInd w:type="dxa" w:w="120"/>
      </w:tblPr>
      <w:tblGrid>
        <w:gridCol w:w="1182"/>
        <w:gridCol w:w="2001"/>
        <w:gridCol w:w="2729"/>
        <w:gridCol w:w="2274"/>
      </w:tblGrid>
      <w:tr>
        <w:trPr>
          <w:tblHeader w:val="true"/>
          <w:cantSplit/>
        </w:trPr>
        <w:tc>
          <w:tcPr>
            <w:tcW w:type="dxa" w:w="118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处理环节</w:t>
            </w:r>
          </w:p>
        </w:tc>
        <w:tc>
          <w:tcPr>
            <w:tcW w:type="dxa" w:w="200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主要方法</w:t>
            </w:r>
          </w:p>
        </w:tc>
        <w:tc>
          <w:tcPr>
            <w:tcW w:type="dxa" w:w="272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作用</w:t>
            </w:r>
          </w:p>
        </w:tc>
        <w:tc>
          <w:tcPr>
            <w:tcW w:type="dxa" w:w="227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输出</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候选召回</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事件类型向量</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缩小历史案例搜索范围</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GED候选集合</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语义对齐</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BGE向量与交叉编码器</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识别描述不同但语义相近的事件</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事件对齐分数</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结构匹配</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异构图近似GED</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比较节点和关系结构差异</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归一化GED及匹配子图</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结果排序</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1 - normalized GED</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形成稳定、可解释的Top-5列表</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排名、相似度和权重</w:t>
            </w:r>
          </w:p>
        </w:tc>
      </w:tr>
    </w:tbl>
    <w:p>
      <w:pPr>
        <w:spacing w:after="0"/>
        <w:ind w:firstLine="0"/>
      </w:pPr>
    </w:p>
    <w:p>
      <w:pPr>
        <w:pStyle w:val="4"/>
        <w:ind w:firstLine="0"/>
      </w:pPr>
      <w:bookmarkStart w:id="63" w:name="_DatagraphToc063"/>
      <w:r>
        <w:rPr>
          <w:rFonts w:ascii="Heiti SC" w:hAnsi="Heiti SC" w:eastAsia="Heiti SC"/>
          <w:b/>
          <w:sz w:val="28"/>
        </w:rPr>
        <w:t>4.5.5 匹配结果对比与人工调整</w:t>
      </w:r>
      <w:bookmarkEnd w:id="63"/>
    </w:p>
    <w:p>
      <w:pPr>
        <w:ind w:firstLine="560"/>
        <w:jc w:val="both"/>
      </w:pPr>
      <w:r>
        <w:rPr>
          <w:rFonts w:ascii="Songti SC" w:hAnsi="Songti SC" w:eastAsia="Songti SC"/>
          <w:b w:val="0"/>
          <w:sz w:val="28"/>
        </w:rPr>
        <w:t>页面以排序列表和匹配图对比展示相似案例。复核人员可以查看双方基本信息、事件之间的相似点、匹配子图和主要差异，并在审批前调整相似案例顺序。人工排序必须包含算法返回的全部案例且不能重复，系统按调序后的名次重新计算调和归一化权重，同时保留算法原始名次。</w:t>
      </w:r>
    </w:p>
    <w:p>
      <w:pPr>
        <w:ind w:firstLine="560"/>
        <w:jc w:val="both"/>
      </w:pPr>
      <w:r>
        <w:rPr>
          <w:rFonts w:ascii="Songti SC" w:hAnsi="Songti SC" w:eastAsia="Songti SC"/>
          <w:b w:val="0"/>
          <w:sz w:val="28"/>
        </w:rPr>
        <w:t>当语义模型加载失败或超过独立时限时，系统自动降级为事件类型向量召回加结构化GED匹配，并在结果中记录degraded和degradationReason。若降级流程仍超时，则案例保留在PENDING_SIMILARITY并返回错误，避免以不完整排序进入审批。</w:t>
      </w:r>
    </w:p>
    <w:p>
      <w:pPr>
        <w:pStyle w:val="3"/>
        <w:ind w:firstLine="0"/>
      </w:pPr>
      <w:bookmarkStart w:id="64" w:name="_DatagraphToc064"/>
      <w:r>
        <w:rPr>
          <w:rFonts w:ascii="Heiti SC" w:hAnsi="Heiti SC" w:eastAsia="Heiti SC"/>
          <w:b/>
          <w:sz w:val="30"/>
        </w:rPr>
        <w:t>4.6 案例复核与风险定级</w:t>
      </w:r>
      <w:bookmarkEnd w:id="64"/>
    </w:p>
    <w:p>
      <w:pPr>
        <w:pStyle w:val="4"/>
        <w:ind w:firstLine="0"/>
      </w:pPr>
      <w:bookmarkStart w:id="65" w:name="_DatagraphToc065"/>
      <w:r>
        <w:rPr>
          <w:rFonts w:ascii="Heiti SC" w:hAnsi="Heiti SC" w:eastAsia="Heiti SC"/>
          <w:b/>
          <w:sz w:val="28"/>
        </w:rPr>
        <w:t>4.6.1 复核材料汇总展示</w:t>
      </w:r>
      <w:bookmarkEnd w:id="65"/>
    </w:p>
    <w:p>
      <w:pPr>
        <w:ind w:firstLine="560"/>
        <w:jc w:val="both"/>
      </w:pPr>
      <w:r>
        <w:rPr>
          <w:rFonts w:ascii="Songti SC" w:hAnsi="Songti SC" w:eastAsia="Songti SC"/>
          <w:b w:val="0"/>
          <w:sz w:val="28"/>
        </w:rPr>
        <w:t>复核页面将原始材料、风险事件链、可疑报告、五层框架结果、图谱快照、相似案例及推荐等级集中展示。复核人员不需要在多个系统间拼接证据，可以从风险等级反向查看事件、关系和相似案例贡献，并识别模型结论与原始事实是否一致。</w:t>
      </w:r>
    </w:p>
    <w:p>
      <w:pPr>
        <w:pStyle w:val="4"/>
        <w:ind w:firstLine="0"/>
      </w:pPr>
      <w:bookmarkStart w:id="66" w:name="_DatagraphToc066"/>
      <w:r>
        <w:rPr>
          <w:rFonts w:ascii="Heiti SC" w:hAnsi="Heiti SC" w:eastAsia="Heiti SC"/>
          <w:b/>
          <w:sz w:val="28"/>
        </w:rPr>
        <w:t>4.6.2 系统推荐风险等级</w:t>
      </w:r>
      <w:bookmarkEnd w:id="66"/>
    </w:p>
    <w:p>
      <w:pPr>
        <w:ind w:firstLine="560"/>
        <w:jc w:val="both"/>
      </w:pPr>
      <w:r>
        <w:rPr>
          <w:rFonts w:ascii="Songti SC" w:hAnsi="Songti SC" w:eastAsia="Songti SC"/>
          <w:b w:val="0"/>
          <w:sz w:val="28"/>
        </w:rPr>
        <w:t>当前系统使用可解释的确定性评分生成默认建议，评分由事件严重程度、风险类型关键词、关系网络复杂度、主体暴露程度、最高相似案例风险和来源风险提示组成，总分限制在0至100。0至39.99建议为低风险，40至69.99建议为中风险，70至100建议为高风险，并保存各分项得分、事实数量、阈值和模型版本。推荐结果只用于辅助复核，最终等级由审批人员确认。</w:t>
      </w:r>
    </w:p>
    <w:p>
      <w:pPr>
        <w:ind w:firstLine="560"/>
        <w:jc w:val="both"/>
      </w:pPr>
      <w:r>
        <w:rPr>
          <w:rFonts w:ascii="Songti SC" w:hAnsi="Songti SC" w:eastAsia="Songti SC"/>
          <w:b w:val="0"/>
          <w:sz w:val="28"/>
        </w:rPr>
        <w:t>第三章提出的分类分级体系具有扩展性，而当前软件复核接口落地为低、中、高三级。部署机构如需保留“较高风险”等更细等级，应通过统一的指标版本和接口契约扩展，不应在页面、数据库和算法中分别定义不同口径。</w:t>
      </w:r>
    </w:p>
    <w:p>
      <w:pPr>
        <w:pStyle w:val="4"/>
        <w:ind w:firstLine="0"/>
      </w:pPr>
      <w:bookmarkStart w:id="67" w:name="_DatagraphToc067"/>
      <w:r>
        <w:rPr>
          <w:rFonts w:ascii="Heiti SC" w:hAnsi="Heiti SC" w:eastAsia="Heiti SC"/>
          <w:b/>
          <w:sz w:val="28"/>
        </w:rPr>
        <w:t>4.6.3 人工复核与等级核定</w:t>
      </w:r>
      <w:bookmarkEnd w:id="67"/>
    </w:p>
    <w:p>
      <w:pPr>
        <w:ind w:firstLine="560"/>
        <w:jc w:val="both"/>
      </w:pPr>
      <w:r>
        <w:rPr>
          <w:rFonts w:ascii="Songti SC" w:hAnsi="Songti SC" w:eastAsia="Songti SC"/>
          <w:b w:val="0"/>
          <w:sz w:val="28"/>
        </w:rPr>
        <w:t>审批人员可以结合可疑报告、框架事实、证据充分度和相似案例重新核定风险等级，并调整相似案例最终顺序。审批通过后，案例状态更新为APPROVED，审批人和时间写入案例与处理池，结构化案例库记录激活，后续新增案例即可把它作为相似检索候选。</w:t>
      </w:r>
    </w:p>
    <w:p>
      <w:pPr>
        <w:pStyle w:val="4"/>
        <w:ind w:firstLine="0"/>
      </w:pPr>
      <w:bookmarkStart w:id="68" w:name="_DatagraphToc068"/>
      <w:r>
        <w:rPr>
          <w:rFonts w:ascii="Heiti SC" w:hAnsi="Heiti SC" w:eastAsia="Heiti SC"/>
          <w:b/>
          <w:sz w:val="28"/>
        </w:rPr>
        <w:t>4.6.4 历史案例自动审核机制</w:t>
      </w:r>
      <w:bookmarkEnd w:id="68"/>
    </w:p>
    <w:p>
      <w:pPr>
        <w:ind w:firstLine="560"/>
        <w:jc w:val="both"/>
      </w:pPr>
      <w:r>
        <w:rPr>
          <w:rFonts w:ascii="Songti SC" w:hAnsi="Songti SC" w:eastAsia="Songti SC"/>
          <w:b w:val="0"/>
          <w:sz w:val="28"/>
        </w:rPr>
        <w:t>历史案例的风险等级以final_case.basic_info.risk_level为唯一自动审核依据。系统支持01/低/低风险/LOW、02/中/中风险/中等风险/重点可疑/MEDIUM、03/高/高风险/HIGH等常见表达。成功映射时由analysis-worker记录自动审批；无法映射时转入PENDING_APPROVAL，禁止根据文本关键词或相似案例替代基础信息完成自动定级。</w:t>
      </w:r>
    </w:p>
    <w:p>
      <w:pPr>
        <w:pStyle w:val="4"/>
        <w:ind w:firstLine="0"/>
      </w:pPr>
      <w:bookmarkStart w:id="69" w:name="_DatagraphToc069"/>
      <w:r>
        <w:rPr>
          <w:rFonts w:ascii="Heiti SC" w:hAnsi="Heiti SC" w:eastAsia="Heiti SC"/>
          <w:b/>
          <w:sz w:val="28"/>
        </w:rPr>
        <w:t>4.6.5 审核结果与案例库更新</w:t>
      </w:r>
      <w:bookmarkEnd w:id="69"/>
    </w:p>
    <w:p>
      <w:pPr>
        <w:ind w:firstLine="560"/>
        <w:jc w:val="both"/>
      </w:pPr>
      <w:r>
        <w:rPr>
          <w:rFonts w:ascii="Songti SC" w:hAnsi="Songti SC" w:eastAsia="Songti SC"/>
          <w:b w:val="0"/>
          <w:sz w:val="28"/>
        </w:rPr>
        <w:t>审核结果形成案例状态、风险等级、审批人、相似案例最终排序和处理审计。报告、框架或基本事实后续发生修改时，应重新执行受影响的阶段并生成新的结果快照；案例库使用内容SHA-256判断版本变化。通过“机器推荐、人工确认、结果激活、后续复用”的闭环，系统逐步积累经过审核的高质量案例知识。</w:t>
      </w:r>
    </w:p>
    <w:p>
      <w:pPr>
        <w:pStyle w:val="3"/>
        <w:ind w:firstLine="0"/>
      </w:pPr>
      <w:bookmarkStart w:id="70" w:name="_DatagraphToc070"/>
      <w:r>
        <w:rPr>
          <w:rFonts w:ascii="Heiti SC" w:hAnsi="Heiti SC" w:eastAsia="Heiti SC"/>
          <w:b/>
          <w:sz w:val="30"/>
        </w:rPr>
        <w:t>4.7 非法行为关系图谱构建与展示</w:t>
      </w:r>
      <w:bookmarkEnd w:id="70"/>
    </w:p>
    <w:p>
      <w:pPr>
        <w:pStyle w:val="4"/>
        <w:ind w:firstLine="0"/>
      </w:pPr>
      <w:bookmarkStart w:id="71" w:name="_DatagraphToc071"/>
      <w:r>
        <w:rPr>
          <w:rFonts w:ascii="Heiti SC" w:hAnsi="Heiti SC" w:eastAsia="Heiti SC"/>
          <w:b/>
          <w:sz w:val="28"/>
        </w:rPr>
        <w:t>4.7.1 五层知识对象的图谱映射</w:t>
      </w:r>
      <w:bookmarkEnd w:id="71"/>
    </w:p>
    <w:p>
      <w:pPr>
        <w:ind w:firstLine="560"/>
        <w:jc w:val="both"/>
      </w:pPr>
      <w:r>
        <w:rPr>
          <w:rFonts w:ascii="Songti SC" w:hAnsi="Songti SC" w:eastAsia="Songti SC"/>
          <w:b w:val="0"/>
          <w:sz w:val="28"/>
        </w:rPr>
        <w:t>图谱投影以案例为组织节点，将客户、账户、交易、事件和证据映射为不同类型节点，并使用包含事件、包含证据、参与、持有账户、交易和证据支持等关系连接。知识解释、侧面事实、绑定和叙事对象保留在PostgreSQL，不全部投影到TuGraph，避免图数据库承担不适合遍历的辅助对象。</w:t>
      </w:r>
    </w:p>
    <w:p>
      <w:pPr>
        <w:pStyle w:val="4"/>
        <w:ind w:firstLine="0"/>
      </w:pPr>
      <w:bookmarkStart w:id="72" w:name="_DatagraphToc072"/>
      <w:r>
        <w:rPr>
          <w:rFonts w:ascii="Heiti SC" w:hAnsi="Heiti SC" w:eastAsia="Heiti SC"/>
          <w:b/>
          <w:sz w:val="28"/>
        </w:rPr>
        <w:t>4.7.2 图谱数据写入与更新</w:t>
      </w:r>
      <w:bookmarkEnd w:id="72"/>
    </w:p>
    <w:p>
      <w:pPr>
        <w:ind w:firstLine="560"/>
        <w:jc w:val="both"/>
      </w:pPr>
      <w:r>
        <w:rPr>
          <w:rFonts w:ascii="Songti SC" w:hAnsi="Songti SC" w:eastAsia="Songti SC"/>
          <w:b w:val="0"/>
          <w:sz w:val="28"/>
        </w:rPr>
        <w:t>Java侧TuGraphStructuredWriter是图谱写入的唯一权威边界。写入前先捕获并校验关系型投影合同，确认节点标识、关系类型和案例范围合法；随后在BankGraph图中创建或复用Schema，按案例清理旧投影并写入新节点和关系。重复识别同一案例时采用重建方式，防止旧事件或旧关系残留。</w:t>
      </w:r>
    </w:p>
    <w:p>
      <w:pPr>
        <w:ind w:firstLine="560"/>
        <w:jc w:val="both"/>
      </w:pPr>
      <w:r>
        <w:rPr>
          <w:rFonts w:ascii="Songti SC" w:hAnsi="Songti SC" w:eastAsia="Songti SC"/>
          <w:b w:val="0"/>
          <w:sz w:val="28"/>
        </w:rPr>
        <w:t>系统同时保存WORKER_JSON类型的图谱快照及其哈希、节点数、关系数和完成状态。TuGraph不可用或案例图为空时，可使用快照或后端回退接口生成最小案例子图，以保证结果仍可查看；回退数据不得覆盖权威图谱。</w:t>
      </w:r>
    </w:p>
    <w:p>
      <w:pPr>
        <w:pStyle w:val="4"/>
        <w:ind w:firstLine="0"/>
      </w:pPr>
      <w:bookmarkStart w:id="73" w:name="_DatagraphToc073"/>
      <w:r>
        <w:rPr>
          <w:rFonts w:ascii="Heiti SC" w:hAnsi="Heiti SC" w:eastAsia="Heiti SC"/>
          <w:b/>
          <w:sz w:val="28"/>
        </w:rPr>
        <w:t>4.7.3 全景图谱展示</w:t>
      </w:r>
      <w:bookmarkEnd w:id="73"/>
    </w:p>
    <w:p>
      <w:pPr>
        <w:ind w:firstLine="560"/>
        <w:jc w:val="both"/>
      </w:pPr>
      <w:r>
        <w:rPr>
          <w:rFonts w:ascii="Songti SC" w:hAnsi="Songti SC" w:eastAsia="Songti SC"/>
          <w:b w:val="0"/>
          <w:sz w:val="28"/>
        </w:rPr>
        <w:t>全景图谱以已纳入业务范围的案例为入口，支持按银行、监管场景、案例和风险等级筛选。页面合并案例子图以及已审核案例之间的相似关系，显示当前范围内节点数和关系数，并提供关系探索布局。用户可以缩放、拖动画布、拖拽节点、适应画布和重新布局。</w:t>
      </w:r>
    </w:p>
    <w:p>
      <w:pPr>
        <w:pStyle w:val="4"/>
        <w:ind w:firstLine="0"/>
      </w:pPr>
      <w:bookmarkStart w:id="74" w:name="_DatagraphToc074"/>
      <w:r>
        <w:rPr>
          <w:rFonts w:ascii="Heiti SC" w:hAnsi="Heiti SC" w:eastAsia="Heiti SC"/>
          <w:b/>
          <w:sz w:val="28"/>
        </w:rPr>
        <w:t>4.7.4 节点、关系与证据详情查看</w:t>
      </w:r>
      <w:bookmarkEnd w:id="74"/>
    </w:p>
    <w:p>
      <w:pPr>
        <w:ind w:firstLine="560"/>
        <w:jc w:val="both"/>
      </w:pPr>
      <w:r>
        <w:rPr>
          <w:rFonts w:ascii="Songti SC" w:hAnsi="Songti SC" w:eastAsia="Songti SC"/>
          <w:b w:val="0"/>
          <w:sz w:val="28"/>
        </w:rPr>
        <w:t>点击节点后，系统展示节点类型、业务名称、风险等级、时间、金额、来源和案例归属等属性；点击关系可查看关系类型、方向语义、来源和确定性。对事件或知识解释对象，页面继续提供核心事件链、事项说明、声明和证据引用，使图形关系与可核验事实保持一致。</w:t>
      </w:r>
    </w:p>
    <w:p>
      <w:pPr>
        <w:pStyle w:val="4"/>
        <w:ind w:firstLine="0"/>
      </w:pPr>
      <w:bookmarkStart w:id="75" w:name="_DatagraphToc075"/>
      <w:r>
        <w:rPr>
          <w:rFonts w:ascii="Heiti SC" w:hAnsi="Heiti SC" w:eastAsia="Heiti SC"/>
          <w:b/>
          <w:sz w:val="28"/>
        </w:rPr>
        <w:t>4.7.5 相似案例与跨案例关联展示</w:t>
      </w:r>
      <w:bookmarkEnd w:id="75"/>
    </w:p>
    <w:p>
      <w:pPr>
        <w:ind w:firstLine="560"/>
        <w:jc w:val="both"/>
      </w:pPr>
      <w:r>
        <w:rPr>
          <w:rFonts w:ascii="Songti SC" w:hAnsi="Songti SC" w:eastAsia="Songti SC"/>
          <w:b w:val="0"/>
          <w:sz w:val="28"/>
        </w:rPr>
        <w:t>相似案例排序在图谱中表现为SIMILAR_CASE关系，关系属性包含最终名次、相似度、归一化权重和人工调整标记。跨案例视图帮助分析人员识别重复主体、共同账户、相似事件链和复现行为模式，但跨案例关联只提供风险线索，不自动改变单个案例的审批结论。</w:t>
      </w:r>
    </w:p>
    <w:p>
      <w:pPr>
        <w:pStyle w:val="4"/>
        <w:ind w:firstLine="0"/>
      </w:pPr>
      <w:bookmarkStart w:id="76" w:name="_DatagraphToc076"/>
      <w:r>
        <w:rPr>
          <w:rFonts w:ascii="Heiti SC" w:hAnsi="Heiti SC" w:eastAsia="Heiti SC"/>
          <w:b/>
          <w:sz w:val="28"/>
        </w:rPr>
        <w:t>4.7.6 关联线索分析与隐蔽风险挖掘</w:t>
      </w:r>
      <w:bookmarkEnd w:id="76"/>
    </w:p>
    <w:p>
      <w:pPr>
        <w:ind w:firstLine="560"/>
        <w:jc w:val="both"/>
      </w:pPr>
      <w:r>
        <w:rPr>
          <w:rFonts w:ascii="Songti SC" w:hAnsi="Songti SC" w:eastAsia="Songti SC"/>
          <w:b w:val="0"/>
          <w:sz w:val="28"/>
        </w:rPr>
        <w:t>全景图谱可继续进入关联线索分析和隐蔽风险挖掘工作台。关联线索分析包括事件链簇、行为伴生矩阵、风险传导与干预、事理模式增量学习；隐蔽风险挖掘包括元路径偏离、深层时序异常、局部超图分析和级联推理。各分析任务保存输入范围、参数、运行结果和分析资产，并对需要进入知识库的候选结果执行人工审核。</w:t>
      </w:r>
    </w:p>
    <w:p>
      <w:pPr>
        <w:pStyle w:val="3"/>
        <w:ind w:firstLine="0"/>
      </w:pPr>
      <w:bookmarkStart w:id="77" w:name="_DatagraphToc077"/>
      <w:r>
        <w:rPr>
          <w:rFonts w:ascii="Heiti SC" w:hAnsi="Heiti SC" w:eastAsia="Heiti SC"/>
          <w:b/>
          <w:sz w:val="30"/>
        </w:rPr>
        <w:t>4.8 本章小结</w:t>
      </w:r>
      <w:bookmarkEnd w:id="77"/>
    </w:p>
    <w:p>
      <w:pPr>
        <w:ind w:firstLine="560"/>
        <w:jc w:val="both"/>
      </w:pPr>
      <w:r>
        <w:rPr>
          <w:rFonts w:ascii="Songti SC" w:hAnsi="Songti SC" w:eastAsia="Songti SC"/>
          <w:b w:val="0"/>
          <w:sz w:val="28"/>
        </w:rPr>
        <w:t>本章说明了系统从多源案例数据接入到关系图谱展示的完整功能链。统一接入和预处理保证数据结构可靠；可疑报告生成将原始事实组织为可审阅文本；五层框架抽取把文本和结构数据转换为标准知识对象；相似案例检索通过语义召回与图结构匹配提供历史参照；复核审批确保最终风险等级和案例库内容由人工确认；图谱展示则把案例内部和跨案例关系转化为可探索、可追溯的知识网络。</w:t>
      </w:r>
    </w:p>
    <w:p>
      <w:r>
        <w:br w:type="page"/>
      </w:r>
    </w:p>
    <w:p>
      <w:pPr>
        <w:pStyle w:val="2"/>
        <w:ind w:firstLine="0"/>
        <w:jc w:val="center"/>
      </w:pPr>
      <w:bookmarkStart w:id="78" w:name="_DatagraphToc078"/>
      <w:r>
        <w:rPr>
          <w:rFonts w:ascii="Heiti SC" w:hAnsi="Heiti SC" w:eastAsia="Heiti SC"/>
          <w:b/>
          <w:sz w:val="32"/>
        </w:rPr>
        <w:t>五、案例智能处理系统技术框架与API手册</w:t>
      </w:r>
      <w:bookmarkEnd w:id="78"/>
    </w:p>
    <w:p>
      <w:pPr>
        <w:ind w:firstLine="560"/>
        <w:jc w:val="both"/>
      </w:pPr>
      <w:r>
        <w:rPr>
          <w:rFonts w:ascii="Songti SC" w:hAnsi="Songti SC" w:eastAsia="Songti SC"/>
          <w:b w:val="0"/>
          <w:sz w:val="28"/>
        </w:rPr>
        <w:t>本章介绍当前项目的技术架构、组件接口和REST API。接口说明以仓库中的Spring Boot控制器、前端API适配、Worker调用协议和部署配置为依据，基础路径统一为/api/v1。系统版本为1.5.0，后端默认监听3030端口，前端通过同源反向代理访问业务接口。</w:t>
      </w:r>
    </w:p>
    <w:p>
      <w:pPr>
        <w:pStyle w:val="3"/>
        <w:ind w:firstLine="0"/>
      </w:pPr>
      <w:bookmarkStart w:id="79" w:name="_DatagraphToc079"/>
      <w:r>
        <w:rPr>
          <w:rFonts w:ascii="Heiti SC" w:hAnsi="Heiti SC" w:eastAsia="Heiti SC"/>
          <w:b/>
          <w:sz w:val="30"/>
        </w:rPr>
        <w:t>5.1 系统架构与技术框架</w:t>
      </w:r>
      <w:bookmarkEnd w:id="79"/>
    </w:p>
    <w:p>
      <w:pPr>
        <w:pStyle w:val="4"/>
        <w:ind w:firstLine="0"/>
      </w:pPr>
      <w:bookmarkStart w:id="80" w:name="_DatagraphToc080"/>
      <w:r>
        <w:rPr>
          <w:rFonts w:ascii="Heiti SC" w:hAnsi="Heiti SC" w:eastAsia="Heiti SC"/>
          <w:b/>
          <w:sz w:val="28"/>
        </w:rPr>
        <w:t>5.1.1 总体技术架构</w:t>
      </w:r>
      <w:bookmarkEnd w:id="80"/>
    </w:p>
    <w:p>
      <w:pPr>
        <w:ind w:firstLine="560"/>
        <w:jc w:val="both"/>
      </w:pPr>
      <w:r>
        <w:rPr>
          <w:rFonts w:ascii="Songti SC" w:hAnsi="Songti SC" w:eastAsia="Songti SC"/>
          <w:b w:val="0"/>
          <w:sz w:val="28"/>
        </w:rPr>
        <w:t>系统采用前后端分离、业务服务与算法Worker解耦、关系数据库与图数据库协同的架构。浏览器端负责交互和可视化；Spring Boot后端负责身份认证、银行数据范围、业务流程、状态机、审计和持久化；Python Worker负责报告生成、五层抽取和相似度计算；PostgreSQL保存业务事实、任务、案例库和分析资产；TuGraph保存面向遍历的案例图；CoreNLP和BGE模型服务提供中文语义处理能力。</w:t>
      </w:r>
    </w:p>
    <w:p>
      <w:pPr>
        <w:ind w:firstLine="560"/>
        <w:jc w:val="both"/>
      </w:pPr>
      <w:r>
        <w:rPr>
          <w:rFonts w:ascii="Songti SC" w:hAnsi="Songti SC" w:eastAsia="Songti SC"/>
          <w:b w:val="0"/>
          <w:sz w:val="28"/>
        </w:rPr>
        <w:t>组件之间使用明确接口连接。前端与后端采用JSON或multipart/form-data REST接口；后端与案例Worker采用JSON-over-stdio子进程协议；后端与风险分析服务采用HTTP JSON；后端与TuGraph通过Bolt/Cypher连接；Worker与CoreNLP及模型服务通过HTTP调用。各组件能够独立部署和扩缩容，同时由后端统一控制业务状态。</w:t>
      </w:r>
    </w:p>
    <w:p>
      <w:pPr>
        <w:pStyle w:val="4"/>
        <w:ind w:firstLine="0"/>
      </w:pPr>
      <w:bookmarkStart w:id="81" w:name="_DatagraphToc081"/>
      <w:r>
        <w:rPr>
          <w:rFonts w:ascii="Heiti SC" w:hAnsi="Heiti SC" w:eastAsia="Heiti SC"/>
          <w:b/>
          <w:sz w:val="28"/>
        </w:rPr>
        <w:t>5.1.2 前端技术框架</w:t>
      </w:r>
      <w:bookmarkEnd w:id="81"/>
    </w:p>
    <w:p>
      <w:pPr>
        <w:ind w:firstLine="560"/>
        <w:jc w:val="both"/>
      </w:pPr>
      <w:r>
        <w:rPr>
          <w:rFonts w:ascii="Songti SC" w:hAnsi="Songti SC" w:eastAsia="Songti SC"/>
          <w:b w:val="0"/>
          <w:sz w:val="28"/>
        </w:rPr>
        <w:t>前端基于Vue 3、TypeScript和Vite构建，使用Vue Router管理页面路由，Pinia管理用户状态，Axios封装API请求。Element Plus提供表单、表格、弹窗和任务状态组件，AntV G6承担关系图谱渲染，ECharts用于总览和统计图。请求拦截器自动从localStorage读取JWT并写入Authorization头，响应拦截器统一处理CommonResult业务码。</w:t>
      </w:r>
    </w:p>
    <w:p>
      <w:pPr>
        <w:pStyle w:val="4"/>
        <w:ind w:firstLine="0"/>
      </w:pPr>
      <w:bookmarkStart w:id="82" w:name="_DatagraphToc082"/>
      <w:r>
        <w:rPr>
          <w:rFonts w:ascii="Heiti SC" w:hAnsi="Heiti SC" w:eastAsia="Heiti SC"/>
          <w:b/>
          <w:sz w:val="28"/>
        </w:rPr>
        <w:t>5.1.3 后端技术框架</w:t>
      </w:r>
      <w:bookmarkEnd w:id="82"/>
    </w:p>
    <w:p>
      <w:pPr>
        <w:ind w:firstLine="560"/>
        <w:jc w:val="both"/>
      </w:pPr>
      <w:r>
        <w:rPr>
          <w:rFonts w:ascii="Songti SC" w:hAnsi="Songti SC" w:eastAsia="Songti SC"/>
          <w:b w:val="0"/>
          <w:sz w:val="28"/>
        </w:rPr>
        <w:t>后端采用Java 17和Spring Boot 3.2.5。Spring Web提供REST接口，Spring Security和JJWT提供无状态JWT认证，MyBatis-Plus及JdbcTemplate访问PostgreSQL，Flyway维护数据库迁移，Spring AOP记录操作审计，springdoc-openapi生成接口文档。分析任务由固定大小线程池异步执行，长时间Worker调用设置超时并收集标准输出、标准错误和结构化错误。</w:t>
      </w:r>
    </w:p>
    <w:p>
      <w:pPr>
        <w:pStyle w:val="4"/>
        <w:ind w:firstLine="0"/>
      </w:pPr>
      <w:bookmarkStart w:id="83" w:name="_DatagraphToc083"/>
      <w:r>
        <w:rPr>
          <w:rFonts w:ascii="Heiti SC" w:hAnsi="Heiti SC" w:eastAsia="Heiti SC"/>
          <w:b/>
          <w:sz w:val="28"/>
        </w:rPr>
        <w:t>5.1.4 算法与数据基础设施</w:t>
      </w:r>
      <w:bookmarkEnd w:id="83"/>
    </w:p>
    <w:p>
      <w:pPr>
        <w:ind w:firstLine="560"/>
        <w:jc w:val="both"/>
      </w:pPr>
      <w:r>
        <w:rPr>
          <w:rFonts w:ascii="Songti SC" w:hAnsi="Songti SC" w:eastAsia="Songti SC"/>
          <w:b w:val="0"/>
          <w:sz w:val="28"/>
        </w:rPr>
        <w:t>结构化案例Worker和反欺诈Worker采用Python实现，二者使用独立业务规则和提示词，只复用通用的框架抽取和相似度算法。BGE-M3用于风险知识检索，bge-small-zh-v1.5用于中文向量召回，bge-reranker-v2-m3用于候选重排；最终案例排序由归一化近似图编辑距离确定。CoreNLP 4.5.10提供中文指代消解。</w:t>
      </w:r>
    </w:p>
    <w:p>
      <w:pPr>
        <w:ind w:firstLine="560"/>
        <w:jc w:val="both"/>
      </w:pPr>
      <w:r>
        <w:rPr>
          <w:rFonts w:ascii="Songti SC" w:hAnsi="Songti SC" w:eastAsia="Songti SC"/>
          <w:b w:val="0"/>
          <w:sz w:val="28"/>
        </w:rPr>
        <w:t>PostgreSQL 16是业务数据和审计记录的权威存储，TuGraph 4.5.2是当前启用的图引擎。图写入使用Neo4j Java Driver兼容的Bolt协议访问BankGraph数据库；项目仍保留Neo4j和JanusGraph连接配置，用于兼容和扩展，但当前生产主路径由graph.active-engine=tugraph确定。</w:t>
      </w:r>
    </w:p>
    <w:p>
      <w:pPr>
        <w:keepNext/>
        <w:spacing w:before="100" w:after="60"/>
        <w:jc w:val="center"/>
      </w:pPr>
      <w:r>
        <w:rPr>
          <w:rFonts w:ascii="Heiti SC" w:hAnsi="Heiti SC" w:eastAsia="Heiti SC"/>
          <w:b/>
          <w:sz w:val="22"/>
        </w:rPr>
        <w:t>表5-1 当前项目主要技术组件</w:t>
      </w:r>
    </w:p>
    <w:tbl>
      <w:tblPr>
        <w:tblStyle w:val="20"/>
        <w:tblW w:type="dxa" w:w="8186"/>
        <w:jc w:val="left"/>
        <w:tblLayout w:type="fixed"/>
        <w:tblLook w:firstColumn="1" w:firstRow="1" w:lastColumn="0" w:lastRow="0" w:noHBand="0" w:noVBand="1" w:val="04A0"/>
        <w:tblInd w:type="dxa" w:w="120"/>
      </w:tblPr>
      <w:tblGrid>
        <w:gridCol w:w="871"/>
        <w:gridCol w:w="1916"/>
        <w:gridCol w:w="2787"/>
        <w:gridCol w:w="2612"/>
      </w:tblGrid>
      <w:tr>
        <w:trPr>
          <w:tblHeader w:val="true"/>
          <w:cantSplit/>
        </w:trPr>
        <w:tc>
          <w:tcPr>
            <w:tcW w:type="dxa" w:w="87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层次</w:t>
            </w:r>
          </w:p>
        </w:tc>
        <w:tc>
          <w:tcPr>
            <w:tcW w:type="dxa" w:w="191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主要技术</w:t>
            </w:r>
          </w:p>
        </w:tc>
        <w:tc>
          <w:tcPr>
            <w:tcW w:type="dxa" w:w="2787"/>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版本或实现</w:t>
            </w:r>
          </w:p>
        </w:tc>
        <w:tc>
          <w:tcPr>
            <w:tcW w:type="dxa" w:w="261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主要职责</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前端</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Vue、TypeScript、Vite</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Vue 3.4.21；TypeScript 5.4.3；Vite 5.2.8</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页面交互、状态管理、API调用</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可视化</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AntV G6、ECharts</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G6 5.1.1；ECharts 5.5.0</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关系图谱与统计图展示</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后端</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Java、Spring Boot</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Java 17；Spring Boot 3.2.5</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业务流程、接口、安全和审计</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数据访问</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MyBatis-Plus、Flyway</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3.5.5；9.22.3</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数据访问、分页和结构迁移</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业务数据库</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PostgreSQL</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16</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案例、任务、知识结果和审计</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图数据库</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TuGraph</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4.5.2</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案例图存储、查询和关系遍历</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算法Worker</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Python</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JSON-over-stdio</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报告、框架抽取和相似匹配</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语义服务</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CoreNLP与BGE模型</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CoreNLP 4.5.10；BGE系列</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指代消解、向量召回和重排</w:t>
            </w:r>
          </w:p>
        </w:tc>
      </w:tr>
    </w:tbl>
    <w:p>
      <w:pPr>
        <w:spacing w:after="0"/>
        <w:ind w:firstLine="0"/>
      </w:pPr>
    </w:p>
    <w:p>
      <w:pPr>
        <w:pStyle w:val="4"/>
        <w:ind w:firstLine="0"/>
      </w:pPr>
      <w:bookmarkStart w:id="84" w:name="_DatagraphToc084"/>
      <w:r>
        <w:rPr>
          <w:rFonts w:ascii="Heiti SC" w:hAnsi="Heiti SC" w:eastAsia="Heiti SC"/>
          <w:b/>
          <w:sz w:val="28"/>
        </w:rPr>
        <w:t>5.1.5 部署与运行结构</w:t>
      </w:r>
      <w:bookmarkEnd w:id="84"/>
    </w:p>
    <w:p>
      <w:pPr>
        <w:ind w:firstLine="560"/>
        <w:jc w:val="both"/>
      </w:pPr>
      <w:r>
        <w:rPr>
          <w:rFonts w:ascii="Songti SC" w:hAnsi="Songti SC" w:eastAsia="Songti SC"/>
          <w:b w:val="0"/>
          <w:sz w:val="28"/>
        </w:rPr>
        <w:t>本地运行时，前端开发服务器、3030端口后端、PostgreSQL、TuGraph、CoreNLP和模型服务分别启动。生产环境可使用Nginx提供静态资源和/api反向代理，后端以JAR、Docker或systemd运行，Python Worker由后端按需拉起，不需要常驻HTTP端口。风险分析服务可独立监听18082端口。</w:t>
      </w:r>
    </w:p>
    <w:p>
      <w:pPr>
        <w:ind w:firstLine="560"/>
        <w:jc w:val="both"/>
      </w:pPr>
      <w:r>
        <w:rPr>
          <w:rFonts w:ascii="Songti SC" w:hAnsi="Songti SC" w:eastAsia="Songti SC"/>
          <w:b w:val="0"/>
          <w:sz w:val="28"/>
        </w:rPr>
        <w:t>基础设施可通过docker-compose-stack.yml统一部署：PostgreSQL使用5432端口，TuGraph Web、Bolt和RPC分别使用7070、7687和9090端口，CoreNLP映射到9002端口，BGE模型服务使用8080端口。数据库和图数据库使用外部持久化卷，容器停止不会删除业务数据。生产环境必须通过环境变量覆盖数据库密码、图数据库密码、JWT密钥和模型服务凭据。</w:t>
      </w:r>
    </w:p>
    <w:p>
      <w:pPr>
        <w:pStyle w:val="3"/>
        <w:ind w:firstLine="0"/>
      </w:pPr>
      <w:bookmarkStart w:id="85" w:name="_DatagraphToc085"/>
      <w:r>
        <w:rPr>
          <w:rFonts w:ascii="Heiti SC" w:hAnsi="Heiti SC" w:eastAsia="Heiti SC"/>
          <w:b/>
          <w:sz w:val="30"/>
        </w:rPr>
        <w:t>5.2 API总览</w:t>
      </w:r>
      <w:bookmarkEnd w:id="85"/>
    </w:p>
    <w:p>
      <w:pPr>
        <w:pStyle w:val="4"/>
        <w:ind w:firstLine="0"/>
      </w:pPr>
      <w:bookmarkStart w:id="86" w:name="_DatagraphToc086"/>
      <w:r>
        <w:rPr>
          <w:rFonts w:ascii="Heiti SC" w:hAnsi="Heiti SC" w:eastAsia="Heiti SC"/>
          <w:b/>
          <w:sz w:val="28"/>
        </w:rPr>
        <w:t>5.2.1 接口风格与基础约定</w:t>
      </w:r>
      <w:bookmarkEnd w:id="86"/>
    </w:p>
    <w:p>
      <w:pPr>
        <w:ind w:firstLine="560"/>
        <w:jc w:val="both"/>
      </w:pPr>
      <w:r>
        <w:rPr>
          <w:rFonts w:ascii="Songti SC" w:hAnsi="Songti SC" w:eastAsia="Songti SC"/>
          <w:b w:val="0"/>
          <w:sz w:val="28"/>
        </w:rPr>
        <w:t>业务接口采用REST风格，基础路径为/api/v1。GET用于查询，POST用于创建或执行动作，PUT用于完整更新或业务状态迁移，PATCH用于局部状态更新，DELETE用于删除。路径参数表示确定资源，例如/cases/{caseId}；查询参数用于分页和筛选；复杂输入使用JSON请求体；文件上传使用multipart/form-data。</w:t>
      </w:r>
    </w:p>
    <w:p>
      <w:pPr>
        <w:ind w:firstLine="560"/>
        <w:jc w:val="both"/>
      </w:pPr>
      <w:r>
        <w:rPr>
          <w:rFonts w:ascii="Songti SC" w:hAnsi="Songti SC" w:eastAsia="Songti SC"/>
          <w:b w:val="0"/>
          <w:sz w:val="28"/>
        </w:rPr>
        <w:t>接口默认使用UTF-8 JSON。时间字段采用ISO 8601字符串，金额由数据库高精度数值类型承载，案例、任务、图谱和分析运行均使用稳定业务标识。分页查询统一接受pageNum和pageSize，返回records、total、pageNum、pageSize和pages。</w:t>
      </w:r>
    </w:p>
    <w:p>
      <w:pPr>
        <w:pStyle w:val="4"/>
        <w:ind w:firstLine="0"/>
      </w:pPr>
      <w:bookmarkStart w:id="87" w:name="_DatagraphToc087"/>
      <w:r>
        <w:rPr>
          <w:rFonts w:ascii="Heiti SC" w:hAnsi="Heiti SC" w:eastAsia="Heiti SC"/>
          <w:b/>
          <w:sz w:val="28"/>
        </w:rPr>
        <w:t>5.2.2 身份认证与权限控制</w:t>
      </w:r>
      <w:bookmarkEnd w:id="87"/>
    </w:p>
    <w:p>
      <w:pPr>
        <w:ind w:firstLine="560"/>
        <w:jc w:val="both"/>
      </w:pPr>
      <w:r>
        <w:rPr>
          <w:rFonts w:ascii="Songti SC" w:hAnsi="Songti SC" w:eastAsia="Songti SC"/>
          <w:b w:val="0"/>
          <w:sz w:val="28"/>
        </w:rPr>
        <w:t>登录成功后返回access token和refresh token。调用受保护接口时，客户端在请求头中携带Authorization: Bearer &lt;token&gt;。后端使用无状态会话，不在服务器保存登录Session。JWT包含用户名、角色和银行编码，银行管理员只能访问绑定银行的数据，跨银行请求由CurrentUser范围检查拒绝。</w:t>
      </w:r>
    </w:p>
    <w:p>
      <w:pPr>
        <w:ind w:firstLine="560"/>
        <w:jc w:val="both"/>
      </w:pPr>
      <w:r>
        <w:rPr>
          <w:rFonts w:ascii="Songti SC" w:hAnsi="Songti SC" w:eastAsia="Songti SC"/>
          <w:b w:val="0"/>
          <w:sz w:val="28"/>
        </w:rPr>
        <w:t>sadmin可访问系统管理和全部业务接口；badmin可访问案例上传、总览、案例、线索、研究分析和图谱接口，并受银行范围限制；事件元数据的读取对sadmin和badmin开放，系统元数据写操作和用户、角色、菜单管理仅允许sadmin。Swagger、OpenAPI、健康检查和登录接口无需JWT。</w:t>
      </w:r>
    </w:p>
    <w:p>
      <w:pPr>
        <w:pStyle w:val="4"/>
        <w:ind w:firstLine="0"/>
      </w:pPr>
      <w:bookmarkStart w:id="88" w:name="_DatagraphToc088"/>
      <w:r>
        <w:rPr>
          <w:rFonts w:ascii="Heiti SC" w:hAnsi="Heiti SC" w:eastAsia="Heiti SC"/>
          <w:b/>
          <w:sz w:val="28"/>
        </w:rPr>
        <w:t>5.2.3 统一响应与错误处理</w:t>
      </w:r>
      <w:bookmarkEnd w:id="88"/>
    </w:p>
    <w:p>
      <w:pPr>
        <w:ind w:firstLine="560"/>
        <w:jc w:val="both"/>
      </w:pPr>
      <w:r>
        <w:rPr>
          <w:rFonts w:ascii="Songti SC" w:hAnsi="Songti SC" w:eastAsia="Songti SC"/>
          <w:b w:val="0"/>
          <w:sz w:val="28"/>
        </w:rPr>
        <w:t>业务响应统一包装为CommonResult，字段包括code、message、data和timestamp。成功时code为200、message为success；业务错误可使用400、401、403、404、405、409或500。当前前端按响应体code判断业务成功，即使HTTP状态仍为200，只要code不是200就进入异常分支。调用方不能只依赖HTTP状态。</w:t>
      </w:r>
    </w:p>
    <w:p>
      <w:pPr>
        <w:spacing w:line="252" w:lineRule="auto" w:before="60" w:after="60"/>
        <w:ind w:left="360" w:right="240" w:firstLine="0"/>
        <w:shd w:fill="F2F2F2"/>
      </w:pPr>
      <w:r>
        <w:rPr>
          <w:rFonts w:ascii="Songti SC" w:hAnsi="Songti SC" w:eastAsia="Songti SC"/>
          <w:b w:val="0"/>
          <w:sz w:val="19"/>
        </w:rPr>
        <w:t>{</w:t>
      </w:r>
      <w:r>
        <w:br/>
      </w:r>
      <w:r>
        <w:rPr>
          <w:rFonts w:ascii="Songti SC" w:hAnsi="Songti SC" w:eastAsia="Songti SC"/>
          <w:b w:val="0"/>
          <w:sz w:val="19"/>
        </w:rPr>
        <w:t xml:space="preserve">  "code": 200,</w:t>
      </w:r>
      <w:r>
        <w:br/>
      </w:r>
      <w:r>
        <w:rPr>
          <w:rFonts w:ascii="Songti SC" w:hAnsi="Songti SC" w:eastAsia="Songti SC"/>
          <w:b w:val="0"/>
          <w:sz w:val="19"/>
        </w:rPr>
        <w:t xml:space="preserve">  "message": "success",</w:t>
      </w:r>
      <w:r>
        <w:br/>
      </w:r>
      <w:r>
        <w:rPr>
          <w:rFonts w:ascii="Songti SC" w:hAnsi="Songti SC" w:eastAsia="Songti SC"/>
          <w:b w:val="0"/>
          <w:sz w:val="19"/>
        </w:rPr>
        <w:t xml:space="preserve">  "data": { "jobId": "JOB-2026-001" },</w:t>
      </w:r>
      <w:r>
        <w:br/>
      </w:r>
      <w:r>
        <w:rPr>
          <w:rFonts w:ascii="Songti SC" w:hAnsi="Songti SC" w:eastAsia="Songti SC"/>
          <w:b w:val="0"/>
          <w:sz w:val="19"/>
        </w:rPr>
        <w:t xml:space="preserve">  "timestamp": "2026-08-29T10:30:00"</w:t>
      </w:r>
      <w:r>
        <w:br/>
      </w:r>
      <w:r>
        <w:rPr>
          <w:rFonts w:ascii="Songti SC" w:hAnsi="Songti SC" w:eastAsia="Songti SC"/>
          <w:b w:val="0"/>
          <w:sz w:val="19"/>
        </w:rPr>
        <w:t>}</w:t>
      </w:r>
    </w:p>
    <w:p>
      <w:pPr>
        <w:pStyle w:val="4"/>
        <w:ind w:firstLine="0"/>
      </w:pPr>
      <w:bookmarkStart w:id="89" w:name="_DatagraphToc089"/>
      <w:r>
        <w:rPr>
          <w:rFonts w:ascii="Heiti SC" w:hAnsi="Heiti SC" w:eastAsia="Heiti SC"/>
          <w:b/>
          <w:sz w:val="28"/>
        </w:rPr>
        <w:t>5.2.4 接口分组</w:t>
      </w:r>
      <w:bookmarkEnd w:id="89"/>
    </w:p>
    <w:p>
      <w:pPr>
        <w:keepNext/>
        <w:spacing w:before="100" w:after="60"/>
        <w:jc w:val="center"/>
      </w:pPr>
      <w:r>
        <w:rPr>
          <w:rFonts w:ascii="Heiti SC" w:hAnsi="Heiti SC" w:eastAsia="Heiti SC"/>
          <w:b/>
          <w:sz w:val="22"/>
        </w:rPr>
        <w:t>表5-2 API分组总览</w:t>
      </w:r>
    </w:p>
    <w:tbl>
      <w:tblPr>
        <w:tblStyle w:val="20"/>
        <w:tblW w:type="dxa" w:w="8186"/>
        <w:jc w:val="left"/>
        <w:tblLayout w:type="fixed"/>
        <w:tblLook w:firstColumn="1" w:firstRow="1" w:lastColumn="0" w:lastRow="0" w:noHBand="0" w:noVBand="1" w:val="04A0"/>
        <w:tblInd w:type="dxa" w:w="120"/>
      </w:tblPr>
      <w:tblGrid>
        <w:gridCol w:w="1002"/>
        <w:gridCol w:w="2088"/>
        <w:gridCol w:w="2172"/>
        <w:gridCol w:w="2924"/>
      </w:tblGrid>
      <w:tr>
        <w:trPr>
          <w:tblHeader w:val="true"/>
          <w:cantSplit/>
        </w:trPr>
        <w:tc>
          <w:tcPr>
            <w:tcW w:type="dxa" w:w="10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接口分组</w:t>
            </w:r>
          </w:p>
        </w:tc>
        <w:tc>
          <w:tcPr>
            <w:tcW w:type="dxa" w:w="208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基础路径</w:t>
            </w:r>
          </w:p>
        </w:tc>
        <w:tc>
          <w:tcPr>
            <w:tcW w:type="dxa" w:w="217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主要资源</w:t>
            </w:r>
          </w:p>
        </w:tc>
        <w:tc>
          <w:tcPr>
            <w:tcW w:type="dxa" w:w="292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主要用途</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认证接口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login、logout、me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登录、退出和当前用户信息</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分析任务</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/api/v1/analysis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上传、jobs、worker-config</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案例上传、任务执行与Worker管理</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案例处理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/api/v1/case-processing</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阶段队列、actions、approve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报告、抽取、相似和处理审批</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案例管理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/api/v1/cases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案例、事件、信号、工作流</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案例查询、复核审批和知识成果</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图谱接口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/api/v1/graph</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nodes、edges、subgraph、schema</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图查询、案例子图和图引擎状态</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线索接口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/api/v1/clues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clues、runs、analyze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关联线索生成、维护和合并</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研究分析</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/api/v1/research-analytics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datasets、runs、artifacts、knowledge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任务2/3算法运行和资产管理</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平台总览</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/api/v1/overview</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overview</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系统统计和趋势</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系统管理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/api/v1/system</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users、roles、menus、dict、event-metadata</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权限、菜单、字典和事件元数据</w:t>
            </w:r>
          </w:p>
        </w:tc>
      </w:tr>
    </w:tbl>
    <w:p>
      <w:pPr>
        <w:spacing w:after="0"/>
        <w:ind w:firstLine="0"/>
      </w:pPr>
    </w:p>
    <w:p>
      <w:pPr>
        <w:pStyle w:val="3"/>
        <w:ind w:firstLine="0"/>
      </w:pPr>
      <w:bookmarkStart w:id="90" w:name="_DatagraphToc090"/>
      <w:r>
        <w:rPr>
          <w:rFonts w:ascii="Heiti SC" w:hAnsi="Heiti SC" w:eastAsia="Heiti SC"/>
          <w:b/>
          <w:sz w:val="30"/>
        </w:rPr>
        <w:t>5.3 接口详细说明</w:t>
      </w:r>
      <w:bookmarkEnd w:id="90"/>
    </w:p>
    <w:p>
      <w:pPr>
        <w:pStyle w:val="4"/>
        <w:ind w:firstLine="0"/>
      </w:pPr>
      <w:bookmarkStart w:id="91" w:name="_DatagraphToc091"/>
      <w:r>
        <w:rPr>
          <w:rFonts w:ascii="Heiti SC" w:hAnsi="Heiti SC" w:eastAsia="Heiti SC"/>
          <w:b/>
          <w:sz w:val="28"/>
        </w:rPr>
        <w:t>5.3.1 认证与用户接口</w:t>
      </w:r>
      <w:bookmarkEnd w:id="91"/>
    </w:p>
    <w:p>
      <w:pPr>
        <w:ind w:firstLine="560"/>
        <w:jc w:val="both"/>
      </w:pPr>
      <w:r>
        <w:rPr>
          <w:rFonts w:ascii="Songti SC" w:hAnsi="Songti SC" w:eastAsia="Songti SC"/>
          <w:b w:val="0"/>
          <w:sz w:val="28"/>
        </w:rPr>
        <w:t>登录接口校验用户名和密码，返回JWT、角色、银行编码、权限和菜单树。前端据此生成导航并控制路由。当前用户接口用于恢复用户信息和更新昵称、联系方式等个人资料。</w:t>
      </w:r>
    </w:p>
    <w:p>
      <w:pPr>
        <w:keepNext/>
        <w:spacing w:before="100" w:after="60"/>
        <w:jc w:val="center"/>
      </w:pPr>
      <w:r>
        <w:rPr>
          <w:rFonts w:ascii="Heiti SC" w:hAnsi="Heiti SC" w:eastAsia="Heiti SC"/>
          <w:b/>
          <w:sz w:val="22"/>
        </w:rPr>
        <w:t>表5-3 认证与用户接口</w:t>
      </w:r>
    </w:p>
    <w:tbl>
      <w:tblPr>
        <w:tblStyle w:val="20"/>
        <w:tblW w:type="dxa" w:w="8186"/>
        <w:jc w:val="left"/>
        <w:tblLayout w:type="fixed"/>
        <w:tblLook w:firstColumn="1" w:firstRow="1" w:lastColumn="0" w:lastRow="0" w:noHBand="0" w:noVBand="1" w:val="04A0"/>
        <w:tblInd w:type="dxa" w:w="120"/>
      </w:tblPr>
      <w:tblGrid>
        <w:gridCol w:w="1191"/>
        <w:gridCol w:w="2084"/>
        <w:gridCol w:w="2009"/>
        <w:gridCol w:w="2902"/>
      </w:tblGrid>
      <w:tr>
        <w:trPr>
          <w:tblHeader w:val="true"/>
          <w:cantSplit/>
        </w:trPr>
        <w:tc>
          <w:tcPr>
            <w:tcW w:type="dxa" w:w="11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方法</w:t>
            </w:r>
          </w:p>
        </w:tc>
        <w:tc>
          <w:tcPr>
            <w:tcW w:type="dxa" w:w="208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路径</w:t>
            </w:r>
          </w:p>
        </w:tc>
        <w:tc>
          <w:tcPr>
            <w:tcW w:type="dxa" w:w="200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输入</w:t>
            </w:r>
          </w:p>
        </w:tc>
        <w:tc>
          <w:tcPr>
            <w:tcW w:type="dxa" w:w="29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输出及说明</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/api/v1/auth/login</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username、password</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LoginResponse；返回token、refreshToken、roleCode、bankCode和menus</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/api/v1/auth/logout</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无</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退出成功；客户端同时清理本地令牌</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/api/v1/auth/me</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Bearer JWT</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当前用户身份、角色、银行和菜单</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/api/v1/auth/me</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可更新的用户资料字段</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更新后的当前用户信息</w:t>
            </w:r>
          </w:p>
        </w:tc>
      </w:tr>
    </w:tbl>
    <w:p>
      <w:pPr>
        <w:spacing w:after="0"/>
        <w:ind w:firstLine="0"/>
      </w:pPr>
    </w:p>
    <w:p>
      <w:pPr>
        <w:pStyle w:val="4"/>
        <w:ind w:firstLine="0"/>
      </w:pPr>
      <w:bookmarkStart w:id="92" w:name="_DatagraphToc092"/>
      <w:r>
        <w:rPr>
          <w:rFonts w:ascii="Heiti SC" w:hAnsi="Heiti SC" w:eastAsia="Heiti SC"/>
          <w:b/>
          <w:sz w:val="28"/>
        </w:rPr>
        <w:t>5.3.2 案例上传与分析任务接口</w:t>
      </w:r>
      <w:bookmarkEnd w:id="92"/>
    </w:p>
    <w:p>
      <w:pPr>
        <w:ind w:firstLine="560"/>
        <w:jc w:val="both"/>
      </w:pPr>
      <w:r>
        <w:rPr>
          <w:rFonts w:ascii="Songti SC" w:hAnsi="Songti SC" w:eastAsia="Songti SC"/>
          <w:b w:val="0"/>
          <w:sz w:val="28"/>
        </w:rPr>
        <w:t>案例上传接口返回uploadToken，任务创建接口再引用该凭据。单案例上传使用multipart/form-data；批处理上传使用一个CSV或XLSX文件。创建任务后调用start启动异步处理，通过任务列表和详情查看进度。</w:t>
      </w:r>
    </w:p>
    <w:p>
      <w:pPr>
        <w:keepNext/>
        <w:spacing w:before="100" w:after="60"/>
        <w:jc w:val="center"/>
      </w:pPr>
      <w:r>
        <w:rPr>
          <w:rFonts w:ascii="Heiti SC" w:hAnsi="Heiti SC" w:eastAsia="Heiti SC"/>
          <w:b/>
          <w:sz w:val="22"/>
        </w:rPr>
        <w:t>表5-4 案例上传与分析任务接口</w:t>
      </w:r>
    </w:p>
    <w:tbl>
      <w:tblPr>
        <w:tblStyle w:val="20"/>
        <w:tblW w:type="dxa" w:w="8186"/>
        <w:jc w:val="left"/>
        <w:tblLayout w:type="fixed"/>
        <w:tblLook w:firstColumn="1" w:firstRow="1" w:lastColumn="0" w:lastRow="0" w:noHBand="0" w:noVBand="1" w:val="04A0"/>
        <w:tblInd w:type="dxa" w:w="120"/>
      </w:tblPr>
      <w:tblGrid>
        <w:gridCol w:w="1191"/>
        <w:gridCol w:w="2456"/>
        <w:gridCol w:w="2381"/>
        <w:gridCol w:w="2158"/>
      </w:tblGrid>
      <w:tr>
        <w:trPr>
          <w:tblHeader w:val="true"/>
          <w:cantSplit/>
        </w:trPr>
        <w:tc>
          <w:tcPr>
            <w:tcW w:type="dxa" w:w="11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5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38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/api/v1/analysis/structured-case-files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basicInfo、customers、recognitionMode及可选文件</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上传单个反洗钱案例并返回uploadToken</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/api/v1/analysis/anti-fraud-case-files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basicInfo、customers、accounts、devices及事件链/文本</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上传单个反欺诈案例</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/api/v1/analysis/structured-case-batch-file</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file、recognitionMode</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上传反洗钱CSV/XLSX批次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/api/v1/analysis/anti-fraud-case-batch-file</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file、recognitionMode</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上传反欺诈CSV/XLSX批次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bankCode、workspaceId、jobType、scenarioCode、inputParams、steps</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创建分析任务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status、jobType、scenarioCode、batchId、分页参数</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分页查询任务记录</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查询任务、步骤、结果和错误</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/api/v1/analysis/jobs/{jobId}/start</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启动待处理任务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/api/v1/analysis/jobs/{jobId}/cancel</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取消待处理或运行中任务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/api/v1/analysis/jobs/{jobId}/retry</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重试失败任务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DELETE</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删除任务及其独占处理成果</w:t>
            </w:r>
          </w:p>
        </w:tc>
      </w:tr>
    </w:tbl>
    <w:p>
      <w:pPr>
        <w:spacing w:after="0"/>
        <w:ind w:firstLine="0"/>
      </w:pPr>
    </w:p>
    <w:p>
      <w:pPr>
        <w:pStyle w:val="4"/>
        <w:ind w:firstLine="0"/>
      </w:pPr>
      <w:bookmarkStart w:id="93" w:name="_DatagraphToc093"/>
      <w:r>
        <w:rPr>
          <w:rFonts w:ascii="Heiti SC" w:hAnsi="Heiti SC" w:eastAsia="Heiti SC"/>
          <w:b/>
          <w:sz w:val="28"/>
        </w:rPr>
        <w:t>5.3.3 三项核心功能接口</w:t>
      </w:r>
      <w:bookmarkEnd w:id="93"/>
    </w:p>
    <w:p>
      <w:pPr>
        <w:ind w:firstLine="560"/>
        <w:jc w:val="both"/>
      </w:pPr>
      <w:r>
        <w:rPr>
          <w:rFonts w:ascii="Songti SC" w:hAnsi="Songti SC" w:eastAsia="Songti SC"/>
          <w:b w:val="0"/>
          <w:sz w:val="28"/>
        </w:rPr>
        <w:t>案例处理接口使用stage筛选业务队列，使用action触发三项核心功能。REPORT、FRAMEWORK和SIMILARITY只允许作用于相应前置状态，服务端逐案校验银行访问范围和案例状态。</w:t>
      </w:r>
    </w:p>
    <w:p>
      <w:pPr>
        <w:keepNext/>
        <w:spacing w:before="100" w:after="60"/>
        <w:jc w:val="center"/>
      </w:pPr>
      <w:r>
        <w:rPr>
          <w:rFonts w:ascii="Heiti SC" w:hAnsi="Heiti SC" w:eastAsia="Heiti SC"/>
          <w:b/>
          <w:sz w:val="22"/>
        </w:rPr>
        <w:t>表5-5 案例智能处理接口</w:t>
      </w:r>
    </w:p>
    <w:tbl>
      <w:tblPr>
        <w:tblStyle w:val="20"/>
        <w:tblW w:type="dxa" w:w="8186"/>
        <w:jc w:val="left"/>
        <w:tblLayout w:type="fixed"/>
        <w:tblLook w:firstColumn="1" w:firstRow="1" w:lastColumn="0" w:lastRow="0" w:noHBand="0" w:noVBand="1" w:val="04A0"/>
        <w:tblInd w:type="dxa" w:w="120"/>
      </w:tblPr>
      <w:tblGrid>
        <w:gridCol w:w="1169"/>
        <w:gridCol w:w="2485"/>
        <w:gridCol w:w="2339"/>
        <w:gridCol w:w="2193"/>
      </w:tblGrid>
      <w:tr>
        <w:trPr>
          <w:tblHeader w:val="true"/>
          <w:cantSplit/>
        </w:trPr>
        <w:tc>
          <w:tcPr>
            <w:tcW w:type="dxa" w:w="116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8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33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19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stage、recognitionMode、scenarioCode、caseId、分页参数</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查询指定处理阶段的案例</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返回原始材料、报告、框架、图谱快照、相似结果和推荐等级</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/api/v1/case-processing/actions/{action}</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action=REPORT/FRAMEWORK/SIMILARITY；caseIds</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批量执行可疑报告、框架抽取或相似匹配</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/api/v1/case-processing/{caseId}/report</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analysisText</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保存人工修改的报告并重新进入框架抽取</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/api/v1/case-processing/{caseId}/approve</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riskLevel、orderedSimilarCaseIds</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核定风险等级和相似案例排序</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/api/v1/case-processing/similarity-graph/approved</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查询已审核案例之间的相似关系</w:t>
            </w:r>
          </w:p>
        </w:tc>
      </w:tr>
    </w:tbl>
    <w:p>
      <w:pPr>
        <w:spacing w:after="0"/>
        <w:ind w:firstLine="0"/>
      </w:pPr>
    </w:p>
    <w:p>
      <w:pPr>
        <w:pStyle w:val="4"/>
        <w:ind w:firstLine="0"/>
      </w:pPr>
      <w:bookmarkStart w:id="94" w:name="_DatagraphToc094"/>
      <w:r>
        <w:rPr>
          <w:rFonts w:ascii="Heiti SC" w:hAnsi="Heiti SC" w:eastAsia="Heiti SC"/>
          <w:b/>
          <w:sz w:val="28"/>
        </w:rPr>
        <w:t>5.3.4 案例管理与复核审批接口</w:t>
      </w:r>
      <w:bookmarkEnd w:id="94"/>
    </w:p>
    <w:p>
      <w:pPr>
        <w:ind w:firstLine="560"/>
        <w:jc w:val="both"/>
      </w:pPr>
      <w:r>
        <w:rPr>
          <w:rFonts w:ascii="Songti SC" w:hAnsi="Songti SC" w:eastAsia="Songti SC"/>
          <w:b w:val="0"/>
          <w:sz w:val="28"/>
        </w:rPr>
        <w:t>案例管理接口承担案例列表、详情、业务字段维护、状态流转和关联成果查询。案例通用复核状态主链与案例处理池状态分开：前者面向DRAFT、IN_REVIEW、PENDING_APPROVAL、APPROVED等业务状态，后者面向报告、抽取和相似匹配阶段。调用方应根据页面所属流程选择对应接口。</w:t>
      </w:r>
    </w:p>
    <w:p>
      <w:pPr>
        <w:keepNext/>
        <w:spacing w:before="100" w:after="60"/>
        <w:jc w:val="center"/>
      </w:pPr>
      <w:r>
        <w:rPr>
          <w:rFonts w:ascii="Heiti SC" w:hAnsi="Heiti SC" w:eastAsia="Heiti SC"/>
          <w:b/>
          <w:sz w:val="22"/>
        </w:rPr>
        <w:t>表5-6 案例管理主要接口</w:t>
      </w:r>
    </w:p>
    <w:tbl>
      <w:tblPr>
        <w:tblStyle w:val="20"/>
        <w:tblW w:type="dxa" w:w="8186"/>
        <w:jc w:val="left"/>
        <w:tblLayout w:type="fixed"/>
        <w:tblLook w:firstColumn="1" w:firstRow="1" w:lastColumn="0" w:lastRow="0" w:noHBand="0" w:noVBand="1" w:val="04A0"/>
        <w:tblInd w:type="dxa" w:w="120"/>
      </w:tblPr>
      <w:tblGrid>
        <w:gridCol w:w="1159"/>
        <w:gridCol w:w="2463"/>
        <w:gridCol w:w="2173"/>
        <w:gridCol w:w="2391"/>
      </w:tblGrid>
      <w:tr>
        <w:trPr>
          <w:tblHeader w:val="true"/>
          <w:cantSplit/>
        </w:trPr>
        <w:tc>
          <w:tcPr>
            <w:tcW w:type="dxa" w:w="115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6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17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3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caseId、caseStatus、riskLevel、scenarioCode、分页参数</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查询案例列表</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查询案例基本信息和汇总指标</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/api/v1/cases/{caseId}/overview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业务领域、触发点、报告时间等</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更新案例概览字段</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/api/v1/cases/{caseId}/submit</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提交案例进入复核</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/api/v1/cases/{caseId}/review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reviewer、reviewOpinion、reviewResult</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记录复核结果</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/api/v1/cases/{caseId}/approve</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approver、approvalOpinion、approvalResult</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记录审批结果</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/api/v1/cases/{caseId}/return</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reason</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退回案例</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/api/v1/cases/{caseId}/reassign</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assignee</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重新分派案例</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/api/v1/cases/{caseId}/workflow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查询状态流转和审计记录</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/api/v1/cases/{caseId}/events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查询案例事件</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/api/v1/cases/{caseId}/signals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查询案例关联风险信号</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/api/v1/cases/{caseId}/worker-result</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查询原始Worker结果</w:t>
            </w:r>
          </w:p>
        </w:tc>
      </w:tr>
    </w:tbl>
    <w:p>
      <w:pPr>
        <w:spacing w:after="0"/>
        <w:ind w:firstLine="0"/>
      </w:pPr>
    </w:p>
    <w:p>
      <w:pPr>
        <w:pStyle w:val="4"/>
        <w:ind w:firstLine="0"/>
      </w:pPr>
      <w:bookmarkStart w:id="95" w:name="_DatagraphToc095"/>
      <w:r>
        <w:rPr>
          <w:rFonts w:ascii="Heiti SC" w:hAnsi="Heiti SC" w:eastAsia="Heiti SC"/>
          <w:b/>
          <w:sz w:val="28"/>
        </w:rPr>
        <w:t>5.3.5 图谱查询与维护接口</w:t>
      </w:r>
      <w:bookmarkEnd w:id="95"/>
    </w:p>
    <w:p>
      <w:pPr>
        <w:ind w:firstLine="560"/>
        <w:jc w:val="both"/>
      </w:pPr>
      <w:r>
        <w:rPr>
          <w:rFonts w:ascii="Songti SC" w:hAnsi="Songti SC" w:eastAsia="Songti SC"/>
          <w:b w:val="0"/>
          <w:sz w:val="28"/>
        </w:rPr>
        <w:t>图谱接口以TuGraph为当前活动引擎，返回统一的nodes和edges结构。case-subgraph是案例结果页面和全景图谱的主要接口；通用query接口只允许受控查询语句，生产环境应限制写操作和高开销遍历。</w:t>
      </w:r>
    </w:p>
    <w:p>
      <w:pPr>
        <w:keepNext/>
        <w:spacing w:before="100" w:after="60"/>
        <w:jc w:val="center"/>
      </w:pPr>
      <w:r>
        <w:rPr>
          <w:rFonts w:ascii="Heiti SC" w:hAnsi="Heiti SC" w:eastAsia="Heiti SC"/>
          <w:b/>
          <w:sz w:val="22"/>
        </w:rPr>
        <w:t>表5-7 图谱接口</w:t>
      </w:r>
    </w:p>
    <w:tbl>
      <w:tblPr>
        <w:tblStyle w:val="20"/>
        <w:tblW w:type="dxa" w:w="8186"/>
        <w:jc w:val="left"/>
        <w:tblLayout w:type="fixed"/>
        <w:tblLook w:firstColumn="1" w:firstRow="1" w:lastColumn="0" w:lastRow="0" w:noHBand="0" w:noVBand="1" w:val="04A0"/>
        <w:tblInd w:type="dxa" w:w="120"/>
      </w:tblPr>
      <w:tblGrid>
        <w:gridCol w:w="1149"/>
        <w:gridCol w:w="2441"/>
        <w:gridCol w:w="2011"/>
        <w:gridCol w:w="2585"/>
      </w:tblGrid>
      <w:tr>
        <w:trPr>
          <w:tblHeader w:val="true"/>
          <w:cantSplit/>
        </w:trPr>
        <w:tc>
          <w:tcPr>
            <w:tcW w:type="dxa" w:w="114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4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01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58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/api/v1/graph/case-subgraph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返回案例子图、图数据库信息和快照回退结果</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/api/v1/graph/subgraph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nodeId、depth</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查询指定节点的多跳子图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/api/v1/graph/nodes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label、limit</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按标签查询节点</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/api/v1/graph/edges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type、limit</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按关系类型查询边</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/api/v1/graph/query</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cypher</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执行受控Cypher查询</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/api/v1/graph/schema</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查询节点和关系Schema</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/api/v1/graph/case-rebuild</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按关系型数据重建案例图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/api/v1/graph/case-fallback</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创建案例最小回退子图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/api/v1/graph/health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查询活动图引擎健康状态</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/api/v1/graph/engines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查询已配置图引擎状态</w:t>
            </w:r>
          </w:p>
        </w:tc>
      </w:tr>
    </w:tbl>
    <w:p>
      <w:pPr>
        <w:spacing w:after="0"/>
        <w:ind w:firstLine="0"/>
      </w:pPr>
    </w:p>
    <w:p>
      <w:pPr>
        <w:pStyle w:val="4"/>
        <w:ind w:firstLine="0"/>
      </w:pPr>
      <w:bookmarkStart w:id="96" w:name="_DatagraphToc096"/>
      <w:r>
        <w:rPr>
          <w:rFonts w:ascii="Heiti SC" w:hAnsi="Heiti SC" w:eastAsia="Heiti SC"/>
          <w:b/>
          <w:sz w:val="28"/>
        </w:rPr>
        <w:t>5.3.6 案例知识解释接口</w:t>
      </w:r>
      <w:bookmarkEnd w:id="96"/>
    </w:p>
    <w:p>
      <w:pPr>
        <w:ind w:firstLine="560"/>
        <w:jc w:val="both"/>
      </w:pPr>
      <w:r>
        <w:rPr>
          <w:rFonts w:ascii="Songti SC" w:hAnsi="Songti SC" w:eastAsia="Songti SC"/>
          <w:b w:val="0"/>
          <w:sz w:val="28"/>
        </w:rPr>
        <w:t>知识解释接口提供核心事件链、事项解释、证据、风险假设、技术发生和复核建议。刷新类接口重新投影当前案例知识成果，查询类接口返回当前有效快照，反馈接口保存人工结论。</w:t>
      </w:r>
    </w:p>
    <w:p>
      <w:pPr>
        <w:keepNext/>
        <w:spacing w:before="100" w:after="60"/>
        <w:jc w:val="center"/>
      </w:pPr>
      <w:r>
        <w:rPr>
          <w:rFonts w:ascii="Heiti SC" w:hAnsi="Heiti SC" w:eastAsia="Heiti SC"/>
          <w:b/>
          <w:sz w:val="22"/>
        </w:rPr>
        <w:t>表5-8 案例知识解释主要接口</w:t>
      </w:r>
    </w:p>
    <w:tbl>
      <w:tblPr>
        <w:tblStyle w:val="20"/>
        <w:tblW w:type="dxa" w:w="8186"/>
        <w:jc w:val="left"/>
        <w:tblLayout w:type="fixed"/>
        <w:tblLook w:firstColumn="1" w:firstRow="1" w:lastColumn="0" w:lastRow="0" w:noHBand="0" w:noVBand="1" w:val="04A0"/>
        <w:tblInd w:type="dxa" w:w="120"/>
      </w:tblPr>
      <w:tblGrid>
        <w:gridCol w:w="1158"/>
        <w:gridCol w:w="3939"/>
        <w:gridCol w:w="3089"/>
      </w:tblGrid>
      <w:tr>
        <w:trPr>
          <w:tblHeader w:val="true"/>
          <w:cantSplit/>
        </w:trPr>
        <w:tc>
          <w:tcPr>
            <w:tcW w:type="dxa" w:w="1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393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308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/api/v1/cases/{caseId}/matter-explanations/refresh</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刷新事项解释</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查询当前事项解释</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/api/v1/cases/{caseId}/matter-explanations/{matterId}/evidence</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查询事项证据</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/api/v1/cases/{caseId}/core-chains/current</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查询当前核心事件链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/api/v1/cases/{caseId}/core-chains/refresh</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刷新核心事件链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/api/v1/cases/{caseId}/knowledge-explanation-chains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按FULL或PANORAMA视图查询知识解释链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/api/v1/cases/{caseId}/reasoning</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查询风险推理结果</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/api/v1/cases/{caseId}/technique-occurrences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查询技术发生记录</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/api/v1/cases/{caseId}/review-suggestions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查询复核建议</w:t>
            </w:r>
          </w:p>
        </w:tc>
      </w:tr>
    </w:tbl>
    <w:p>
      <w:pPr>
        <w:spacing w:after="0"/>
        <w:ind w:firstLine="0"/>
      </w:pPr>
    </w:p>
    <w:p>
      <w:pPr>
        <w:pStyle w:val="4"/>
        <w:ind w:firstLine="0"/>
      </w:pPr>
      <w:bookmarkStart w:id="97" w:name="_DatagraphToc097"/>
      <w:r>
        <w:rPr>
          <w:rFonts w:ascii="Heiti SC" w:hAnsi="Heiti SC" w:eastAsia="Heiti SC"/>
          <w:b/>
          <w:sz w:val="28"/>
        </w:rPr>
        <w:t>5.3.7 线索与研究分析接口</w:t>
      </w:r>
      <w:bookmarkEnd w:id="97"/>
    </w:p>
    <w:p>
      <w:pPr>
        <w:ind w:firstLine="560"/>
        <w:jc w:val="both"/>
      </w:pPr>
      <w:r>
        <w:rPr>
          <w:rFonts w:ascii="Songti SC" w:hAnsi="Songti SC" w:eastAsia="Songti SC"/>
          <w:b w:val="0"/>
          <w:sz w:val="28"/>
        </w:rPr>
        <w:t>线索接口负责从图谱分析结果生成、维护和合并风险线索；研究分析接口负责运行任务2/3中的事件链、行为矩阵、风险扩散、增量学习、元路径、时序异常、超图和级联推理，并保存可复现的运行参数及分析资产。</w:t>
      </w:r>
    </w:p>
    <w:p>
      <w:pPr>
        <w:keepNext/>
        <w:spacing w:before="100" w:after="60"/>
        <w:jc w:val="center"/>
      </w:pPr>
      <w:r>
        <w:rPr>
          <w:rFonts w:ascii="Heiti SC" w:hAnsi="Heiti SC" w:eastAsia="Heiti SC"/>
          <w:b/>
          <w:sz w:val="22"/>
        </w:rPr>
        <w:t>表5-9 线索与研究分析主要接口</w:t>
      </w:r>
    </w:p>
    <w:tbl>
      <w:tblPr>
        <w:tblStyle w:val="20"/>
        <w:tblW w:type="dxa" w:w="8186"/>
        <w:jc w:val="left"/>
        <w:tblLayout w:type="fixed"/>
        <w:tblLook w:firstColumn="1" w:firstRow="1" w:lastColumn="0" w:lastRow="0" w:noHBand="0" w:noVBand="1" w:val="04A0"/>
        <w:tblInd w:type="dxa" w:w="120"/>
      </w:tblPr>
      <w:tblGrid>
        <w:gridCol w:w="1158"/>
        <w:gridCol w:w="4093"/>
        <w:gridCol w:w="2935"/>
      </w:tblGrid>
      <w:tr>
        <w:trPr>
          <w:tblHeader w:val="true"/>
          <w:cantSplit/>
        </w:trPr>
        <w:tc>
          <w:tcPr>
            <w:tcW w:type="dxa" w:w="1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409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93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/api/v1/clues/analyze</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执行图谱线索分析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分页查询线索</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查询线索分析运行记录</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PATCH</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/api/v1/clues/{clueId}/status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更新线索状态</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/api/v1/clues/{clueId}/merge/{caseId}</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将线索合并到案例</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/api/v1/research-analytics/scopes/context</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构建跨案例分析上下文</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/api/v1/research-analytics/scopes/runs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按范围执行研究分析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/api/v1/research-analytics/cases/{caseId}/runs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按单案例执行研究分析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/api/v1/research-analytics/runs/{runId}</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查询运行详情</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/api/v1/research-analytics/runs/{runId}/artifacts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查询分析资产</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/api/v1/research-analytics/artifacts/{artifactId}/review</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审核分析资产</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/api/v1/research-analytics/knowledge</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查询审核后的研究知识</w:t>
            </w:r>
          </w:p>
        </w:tc>
      </w:tr>
    </w:tbl>
    <w:p>
      <w:pPr>
        <w:spacing w:after="0"/>
        <w:ind w:firstLine="0"/>
      </w:pPr>
    </w:p>
    <w:p>
      <w:pPr>
        <w:pStyle w:val="4"/>
        <w:ind w:firstLine="0"/>
      </w:pPr>
      <w:bookmarkStart w:id="98" w:name="_DatagraphToc098"/>
      <w:r>
        <w:rPr>
          <w:rFonts w:ascii="Heiti SC" w:hAnsi="Heiti SC" w:eastAsia="Heiti SC"/>
          <w:b/>
          <w:sz w:val="28"/>
        </w:rPr>
        <w:t>5.3.8 平台总览与系统管理接口</w:t>
      </w:r>
      <w:bookmarkEnd w:id="98"/>
    </w:p>
    <w:p>
      <w:pPr>
        <w:ind w:firstLine="560"/>
        <w:jc w:val="both"/>
      </w:pPr>
      <w:r>
        <w:rPr>
          <w:rFonts w:ascii="Songti SC" w:hAnsi="Songti SC" w:eastAsia="Songti SC"/>
          <w:b w:val="0"/>
          <w:sz w:val="28"/>
        </w:rPr>
        <w:t>平台总览接口按时间和场景返回案例、任务和风险统计。系统管理接口提供用户、角色、菜单、字典和事件元数据维护，其中用户、角色、菜单和字典写操作仅限超级管理员。</w:t>
      </w:r>
    </w:p>
    <w:p>
      <w:pPr>
        <w:keepNext/>
        <w:spacing w:before="100" w:after="60"/>
        <w:jc w:val="center"/>
      </w:pPr>
      <w:r>
        <w:rPr>
          <w:rFonts w:ascii="Heiti SC" w:hAnsi="Heiti SC" w:eastAsia="Heiti SC"/>
          <w:b/>
          <w:sz w:val="22"/>
        </w:rPr>
        <w:t>表5-10 平台与系统管理接口</w:t>
      </w:r>
    </w:p>
    <w:tbl>
      <w:tblPr>
        <w:tblStyle w:val="20"/>
        <w:tblW w:type="dxa" w:w="8186"/>
        <w:jc w:val="left"/>
        <w:tblLayout w:type="fixed"/>
        <w:tblLook w:firstColumn="1" w:firstRow="1" w:lastColumn="0" w:lastRow="0" w:noHBand="0" w:noVBand="1" w:val="04A0"/>
        <w:tblInd w:type="dxa" w:w="120"/>
      </w:tblPr>
      <w:tblGrid>
        <w:gridCol w:w="1732"/>
        <w:gridCol w:w="3778"/>
        <w:gridCol w:w="2676"/>
      </w:tblGrid>
      <w:tr>
        <w:trPr>
          <w:tblHeader w:val="true"/>
          <w:cantSplit/>
        </w:trPr>
        <w:tc>
          <w:tcPr>
            <w:tcW w:type="dxa" w:w="173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377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67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732"/>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/api/v1/overview</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按startDate、endDate和scenarioCode查询平台总览</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/api/v1/system/users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用户查询、新增、更新和删除</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/api/v1/system/roles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角色及权限配置</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/api/v1/system/menus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菜单树配置</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/api/v1/system/dict/{dictType}</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业务字典管理</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/api/v1/system/event-metadata</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AML/ANTI_FRAUD事件元数据管理</w:t>
            </w:r>
          </w:p>
        </w:tc>
      </w:tr>
    </w:tbl>
    <w:p>
      <w:pPr>
        <w:spacing w:after="0"/>
        <w:ind w:firstLine="0"/>
      </w:pPr>
    </w:p>
    <w:p>
      <w:pPr>
        <w:pStyle w:val="3"/>
        <w:ind w:firstLine="0"/>
      </w:pPr>
      <w:bookmarkStart w:id="99" w:name="_DatagraphToc099"/>
      <w:r>
        <w:rPr>
          <w:rFonts w:ascii="Heiti SC" w:hAnsi="Heiti SC" w:eastAsia="Heiti SC"/>
          <w:b/>
          <w:sz w:val="30"/>
        </w:rPr>
        <w:t>5.4 系统内部组件接口</w:t>
      </w:r>
      <w:bookmarkEnd w:id="99"/>
    </w:p>
    <w:p>
      <w:pPr>
        <w:pStyle w:val="4"/>
        <w:ind w:firstLine="0"/>
      </w:pPr>
      <w:bookmarkStart w:id="100" w:name="_DatagraphToc100"/>
      <w:r>
        <w:rPr>
          <w:rFonts w:ascii="Heiti SC" w:hAnsi="Heiti SC" w:eastAsia="Heiti SC"/>
          <w:b/>
          <w:sz w:val="28"/>
        </w:rPr>
        <w:t>5.4.1 前端与后端接口</w:t>
      </w:r>
      <w:bookmarkEnd w:id="100"/>
    </w:p>
    <w:p>
      <w:pPr>
        <w:ind w:firstLine="560"/>
        <w:jc w:val="both"/>
      </w:pPr>
      <w:r>
        <w:rPr>
          <w:rFonts w:ascii="Songti SC" w:hAnsi="Songti SC" w:eastAsia="Songti SC"/>
          <w:b w:val="0"/>
          <w:sz w:val="28"/>
        </w:rPr>
        <w:t>前端所有请求通过统一Axios实例发送，自动附加Bearer JWT。后端返回CommonResult后，响应拦截器提取业务数据；code为401时清理本地令牌并跳转登录页，其他非200业务码转换为Promise异常。长时间案例处理接口可单独设置更长的客户端超时，任务型操作优先采用创建、启动和轮询模式。</w:t>
      </w:r>
    </w:p>
    <w:p>
      <w:pPr>
        <w:pStyle w:val="4"/>
        <w:ind w:firstLine="0"/>
      </w:pPr>
      <w:bookmarkStart w:id="101" w:name="_DatagraphToc101"/>
      <w:r>
        <w:rPr>
          <w:rFonts w:ascii="Heiti SC" w:hAnsi="Heiti SC" w:eastAsia="Heiti SC"/>
          <w:b/>
          <w:sz w:val="28"/>
        </w:rPr>
        <w:t>5.4.2 后端与案例Worker接口</w:t>
      </w:r>
      <w:bookmarkEnd w:id="101"/>
    </w:p>
    <w:p>
      <w:pPr>
        <w:ind w:firstLine="560"/>
        <w:jc w:val="both"/>
      </w:pPr>
      <w:r>
        <w:rPr>
          <w:rFonts w:ascii="Songti SC" w:hAnsi="Songti SC" w:eastAsia="Songti SC"/>
          <w:b w:val="0"/>
          <w:sz w:val="28"/>
        </w:rPr>
        <w:t>Spring Boot通过ProcessBuilder启动framework_extraction.py或similarity_matching.py，在标准输入写入一个JSON请求，在标准输出读取最终JSON结果。核心请求字段包括jobId、sourcePath、processingMode、recognitionMode、targetStage、historyFiles、historySource和frameworkSettings。Worker可以输出进度事件，后端持久化结果后再向调用方返回任务状态。</w:t>
      </w:r>
    </w:p>
    <w:p>
      <w:pPr>
        <w:spacing w:line="252" w:lineRule="auto" w:before="60" w:after="60"/>
        <w:ind w:left="360" w:right="240" w:firstLine="0"/>
        <w:shd w:fill="F2F2F2"/>
      </w:pPr>
      <w:r>
        <w:rPr>
          <w:rFonts w:ascii="Songti SC" w:hAnsi="Songti SC" w:eastAsia="Songti SC"/>
          <w:b w:val="0"/>
          <w:sz w:val="19"/>
        </w:rPr>
        <w:t>{</w:t>
      </w:r>
      <w:r>
        <w:br/>
      </w:r>
      <w:r>
        <w:rPr>
          <w:rFonts w:ascii="Songti SC" w:hAnsi="Songti SC" w:eastAsia="Songti SC"/>
          <w:b w:val="0"/>
          <w:sz w:val="19"/>
        </w:rPr>
        <w:t xml:space="preserve">  "jobId": "JOB-2026-001",</w:t>
      </w:r>
      <w:r>
        <w:br/>
      </w:r>
      <w:r>
        <w:rPr>
          <w:rFonts w:ascii="Songti SC" w:hAnsi="Songti SC" w:eastAsia="Songti SC"/>
          <w:b w:val="0"/>
          <w:sz w:val="19"/>
        </w:rPr>
        <w:t xml:space="preserve">  "sourcePath": "/worker/uploads/&lt;uploadToken&gt;",</w:t>
      </w:r>
      <w:r>
        <w:br/>
      </w:r>
      <w:r>
        <w:rPr>
          <w:rFonts w:ascii="Songti SC" w:hAnsi="Songti SC" w:eastAsia="Songti SC"/>
          <w:b w:val="0"/>
          <w:sz w:val="19"/>
        </w:rPr>
        <w:t xml:space="preserve">  "processingMode": "SINGLE",</w:t>
      </w:r>
      <w:r>
        <w:br/>
      </w:r>
      <w:r>
        <w:rPr>
          <w:rFonts w:ascii="Songti SC" w:hAnsi="Songti SC" w:eastAsia="Songti SC"/>
          <w:b w:val="0"/>
          <w:sz w:val="19"/>
        </w:rPr>
        <w:t xml:space="preserve">  "recognitionMode": "NEW",</w:t>
      </w:r>
      <w:r>
        <w:br/>
      </w:r>
      <w:r>
        <w:rPr>
          <w:rFonts w:ascii="Songti SC" w:hAnsi="Songti SC" w:eastAsia="Songti SC"/>
          <w:b w:val="0"/>
          <w:sz w:val="19"/>
        </w:rPr>
        <w:t xml:space="preserve">  "targetStage": "FRAMEWORK",</w:t>
      </w:r>
      <w:r>
        <w:br/>
      </w:r>
      <w:r>
        <w:rPr>
          <w:rFonts w:ascii="Songti SC" w:hAnsi="Songti SC" w:eastAsia="Songti SC"/>
          <w:b w:val="0"/>
          <w:sz w:val="19"/>
        </w:rPr>
        <w:t xml:space="preserve">  "historySource": "POSTGRESQL",</w:t>
      </w:r>
      <w:r>
        <w:br/>
      </w:r>
      <w:r>
        <w:rPr>
          <w:rFonts w:ascii="Songti SC" w:hAnsi="Songti SC" w:eastAsia="Songti SC"/>
          <w:b w:val="0"/>
          <w:sz w:val="19"/>
        </w:rPr>
        <w:t xml:space="preserve">  "frameworkSettings": { "llmEnabled": true, "corenlpEnabled": true }</w:t>
      </w:r>
      <w:r>
        <w:br/>
      </w:r>
      <w:r>
        <w:rPr>
          <w:rFonts w:ascii="Songti SC" w:hAnsi="Songti SC" w:eastAsia="Songti SC"/>
          <w:b w:val="0"/>
          <w:sz w:val="19"/>
        </w:rPr>
        <w:t>}</w:t>
      </w:r>
    </w:p>
    <w:p>
      <w:pPr>
        <w:pStyle w:val="4"/>
        <w:ind w:firstLine="0"/>
      </w:pPr>
      <w:bookmarkStart w:id="102" w:name="_DatagraphToc102"/>
      <w:r>
        <w:rPr>
          <w:rFonts w:ascii="Heiti SC" w:hAnsi="Heiti SC" w:eastAsia="Heiti SC"/>
          <w:b/>
          <w:sz w:val="28"/>
        </w:rPr>
        <w:t>5.4.3 后端与数据存储接口</w:t>
      </w:r>
      <w:bookmarkEnd w:id="102"/>
    </w:p>
    <w:p>
      <w:pPr>
        <w:ind w:firstLine="560"/>
        <w:jc w:val="both"/>
      </w:pPr>
      <w:r>
        <w:rPr>
          <w:rFonts w:ascii="Songti SC" w:hAnsi="Songti SC" w:eastAsia="Songti SC"/>
          <w:b w:val="0"/>
          <w:sz w:val="28"/>
        </w:rPr>
        <w:t>业务数据通过MyBatis-Plus Mapper和JdbcTemplate写入PostgreSQL，数据库结构由根目录postgresql中的Flyway脚本唯一维护。案例、事件、处理池、案例库、相似排序、图谱快照、线索、研究运行和审计记录通过case_id、job_id、run_id等稳定标识关联。后端事务用于保证状态迁移与业务产物的一致性。</w:t>
      </w:r>
    </w:p>
    <w:p>
      <w:pPr>
        <w:pStyle w:val="4"/>
        <w:ind w:firstLine="0"/>
      </w:pPr>
      <w:bookmarkStart w:id="103" w:name="_DatagraphToc103"/>
      <w:r>
        <w:rPr>
          <w:rFonts w:ascii="Heiti SC" w:hAnsi="Heiti SC" w:eastAsia="Heiti SC"/>
          <w:b/>
          <w:sz w:val="28"/>
        </w:rPr>
        <w:t>5.4.4 后端与图数据库接口</w:t>
      </w:r>
      <w:bookmarkEnd w:id="103"/>
    </w:p>
    <w:p>
      <w:pPr>
        <w:ind w:firstLine="560"/>
        <w:jc w:val="both"/>
      </w:pPr>
      <w:r>
        <w:rPr>
          <w:rFonts w:ascii="Songti SC" w:hAnsi="Songti SC" w:eastAsia="Songti SC"/>
          <w:b w:val="0"/>
          <w:sz w:val="28"/>
        </w:rPr>
        <w:t>后端使用Bolt协议连接TuGraph的BankGraph数据库，通过参数受控的Cypher完成Schema检查、节点关系写入和子图查询。图写入前必须通过关系型投影合同校验；查询结果统一转换为id、labels、properties、source、target和type等前端可识别字段。图数据库凭据、地址和活动引擎均由环境变量配置。</w:t>
      </w:r>
    </w:p>
    <w:p>
      <w:pPr>
        <w:pStyle w:val="4"/>
        <w:ind w:firstLine="0"/>
      </w:pPr>
      <w:bookmarkStart w:id="104" w:name="_DatagraphToc104"/>
      <w:r>
        <w:rPr>
          <w:rFonts w:ascii="Heiti SC" w:hAnsi="Heiti SC" w:eastAsia="Heiti SC"/>
          <w:b/>
          <w:sz w:val="28"/>
        </w:rPr>
        <w:t>5.4.5 Worker与语义服务接口</w:t>
      </w:r>
      <w:bookmarkEnd w:id="104"/>
    </w:p>
    <w:p>
      <w:pPr>
        <w:ind w:firstLine="560"/>
        <w:jc w:val="both"/>
      </w:pPr>
      <w:r>
        <w:rPr>
          <w:rFonts w:ascii="Songti SC" w:hAnsi="Songti SC" w:eastAsia="Songti SC"/>
          <w:b w:val="0"/>
          <w:sz w:val="28"/>
        </w:rPr>
        <w:t>Worker通过HTTP调用CoreNLP完成中文指代消解，通过兼容/v1/embeddings和/v1/rerank的模型接口调用BGE服务，通过OpenAI兼容的聊天模型接口生成报告和受约束抽取结果。模型服务地址、模型名称、设备、是否仅加载本地文件和超时参数由部署环境配置，页面请求不能覆盖生产模型凭据。</w:t>
      </w:r>
    </w:p>
    <w:p>
      <w:pPr>
        <w:pStyle w:val="3"/>
        <w:ind w:firstLine="0"/>
      </w:pPr>
      <w:bookmarkStart w:id="105" w:name="_DatagraphToc105"/>
      <w:r>
        <w:rPr>
          <w:rFonts w:ascii="Heiti SC" w:hAnsi="Heiti SC" w:eastAsia="Heiti SC"/>
          <w:b/>
          <w:sz w:val="30"/>
        </w:rPr>
        <w:t>5.5 异常与错误码说明</w:t>
      </w:r>
      <w:bookmarkEnd w:id="105"/>
    </w:p>
    <w:p>
      <w:pPr>
        <w:pStyle w:val="4"/>
        <w:ind w:firstLine="0"/>
      </w:pPr>
      <w:bookmarkStart w:id="106" w:name="_DatagraphToc106"/>
      <w:r>
        <w:rPr>
          <w:rFonts w:ascii="Heiti SC" w:hAnsi="Heiti SC" w:eastAsia="Heiti SC"/>
          <w:b/>
          <w:sz w:val="28"/>
        </w:rPr>
        <w:t>5.5.1 通用错误码</w:t>
      </w:r>
      <w:bookmarkEnd w:id="106"/>
    </w:p>
    <w:p>
      <w:pPr>
        <w:keepNext/>
        <w:spacing w:before="100" w:after="60"/>
        <w:jc w:val="center"/>
      </w:pPr>
      <w:r>
        <w:rPr>
          <w:rFonts w:ascii="Heiti SC" w:hAnsi="Heiti SC" w:eastAsia="Heiti SC"/>
          <w:b/>
          <w:sz w:val="22"/>
        </w:rPr>
        <w:t>表5-11 通用业务错误码</w:t>
      </w:r>
    </w:p>
    <w:tbl>
      <w:tblPr>
        <w:tblStyle w:val="20"/>
        <w:tblW w:type="dxa" w:w="8186"/>
        <w:jc w:val="left"/>
        <w:tblLayout w:type="fixed"/>
        <w:tblLook w:firstColumn="1" w:firstRow="1" w:lastColumn="0" w:lastRow="0" w:noHBand="0" w:noVBand="1" w:val="04A0"/>
        <w:tblInd w:type="dxa" w:w="120"/>
      </w:tblPr>
      <w:tblGrid>
        <w:gridCol w:w="1146"/>
        <w:gridCol w:w="1473"/>
        <w:gridCol w:w="2701"/>
        <w:gridCol w:w="2866"/>
      </w:tblGrid>
      <w:tr>
        <w:trPr>
          <w:tblHeader w:val="true"/>
          <w:cantSplit/>
        </w:trPr>
        <w:tc>
          <w:tcPr>
            <w:tcW w:type="dxa" w:w="114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业务码</w:t>
            </w:r>
          </w:p>
        </w:tc>
        <w:tc>
          <w:tcPr>
            <w:tcW w:type="dxa" w:w="147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含义</w:t>
            </w:r>
          </w:p>
        </w:tc>
        <w:tc>
          <w:tcPr>
            <w:tcW w:type="dxa" w:w="270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典型场景</w:t>
            </w:r>
          </w:p>
        </w:tc>
        <w:tc>
          <w:tcPr>
            <w:tcW w:type="dxa" w:w="286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调用方处理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200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成功</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查询或操作完成</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读取data</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请求错误</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缺少文件、字段非法、状态参数不支持</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修正请求后重试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401</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未认证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JWT缺失、无效或过期</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重新登录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403</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无权限</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角色不允许或跨银行访问</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停止操作并核对权限</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404</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资源不存在</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案例、用户、任务或图谱对象不存在</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刷新列表或核对标识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405</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方法不支持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HTTP方法与接口不匹配</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按接口定义修改方法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409</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状态或数据冲突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阶段不匹配、唯一键冲突、非法状态迁移</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刷新状态并按当前阶段处理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500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服务器处理失败</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未预期异常或依赖服务失败</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记录时间和请求标识，联系运维</w:t>
            </w:r>
          </w:p>
        </w:tc>
      </w:tr>
    </w:tbl>
    <w:p>
      <w:pPr>
        <w:spacing w:after="0"/>
        <w:ind w:firstLine="0"/>
      </w:pPr>
    </w:p>
    <w:p>
      <w:pPr>
        <w:pStyle w:val="4"/>
        <w:ind w:firstLine="0"/>
      </w:pPr>
      <w:bookmarkStart w:id="107" w:name="_DatagraphToc107"/>
      <w:r>
        <w:rPr>
          <w:rFonts w:ascii="Heiti SC" w:hAnsi="Heiti SC" w:eastAsia="Heiti SC"/>
          <w:b/>
          <w:sz w:val="28"/>
        </w:rPr>
        <w:t>5.5.2 业务状态与重试原则</w:t>
      </w:r>
      <w:bookmarkEnd w:id="107"/>
    </w:p>
    <w:p>
      <w:pPr>
        <w:ind w:firstLine="560"/>
        <w:jc w:val="both"/>
      </w:pPr>
      <w:r>
        <w:rPr>
          <w:rFonts w:ascii="Songti SC" w:hAnsi="Songti SC" w:eastAsia="Songti SC"/>
          <w:b w:val="0"/>
          <w:sz w:val="28"/>
        </w:rPr>
        <w:t>三项核心功能均执行前置状态校验。收到409时，调用方应重新查询案例处理详情，不得盲目重复提交。报告、框架和相似匹配失败时案例保留在原阶段，可修复输入或依赖后重试；审批成功后重复审批应被拒绝。文件校验失败属于400，不创建可执行任务。</w:t>
      </w:r>
    </w:p>
    <w:p>
      <w:pPr>
        <w:ind w:firstLine="560"/>
        <w:jc w:val="both"/>
      </w:pPr>
      <w:r>
        <w:rPr>
          <w:rFonts w:ascii="Songti SC" w:hAnsi="Songti SC" w:eastAsia="Songti SC"/>
          <w:b w:val="0"/>
          <w:sz w:val="28"/>
        </w:rPr>
        <w:t>分析任务的PENDING、RUNNING、SUCCEEDED、FAILED和CANCELLED与案例的PENDING_REPORT等业务状态相互独立。任务成功表示Worker调用和持久化完成，案例下一步仍需在对应业务队列执行。客户端应分别展示任务状态和案例状态，避免把上传完成误认为案例审批完成。</w:t>
      </w:r>
    </w:p>
    <w:p>
      <w:pPr>
        <w:pStyle w:val="4"/>
        <w:ind w:firstLine="0"/>
      </w:pPr>
      <w:bookmarkStart w:id="108" w:name="_DatagraphToc108"/>
      <w:r>
        <w:rPr>
          <w:rFonts w:ascii="Heiti SC" w:hAnsi="Heiti SC" w:eastAsia="Heiti SC"/>
          <w:b/>
          <w:sz w:val="28"/>
        </w:rPr>
        <w:t>5.5.3 安全与运行异常</w:t>
      </w:r>
      <w:bookmarkEnd w:id="108"/>
    </w:p>
    <w:p>
      <w:pPr>
        <w:ind w:firstLine="560"/>
        <w:jc w:val="both"/>
      </w:pPr>
      <w:r>
        <w:rPr>
          <w:rFonts w:ascii="Songti SC" w:hAnsi="Songti SC" w:eastAsia="Songti SC"/>
          <w:b w:val="0"/>
          <w:sz w:val="28"/>
        </w:rPr>
        <w:t>上传接口必须限制文件类型、文件大小、文件数量和目标路径，服务端采用流式处理大文件，不读取整个MultipartFile到内存。Worker运行设置总时限，模型语义阶段设置独立时限；超时进程被终止并返回可识别错误。日志不得输出密码、JWT、模型密钥或完整敏感案例材料。</w:t>
      </w:r>
    </w:p>
    <w:p>
      <w:pPr>
        <w:ind w:firstLine="560"/>
        <w:jc w:val="both"/>
      </w:pPr>
      <w:r>
        <w:rPr>
          <w:rFonts w:ascii="Songti SC" w:hAnsi="Songti SC" w:eastAsia="Songti SC"/>
          <w:b w:val="0"/>
          <w:sz w:val="28"/>
        </w:rPr>
        <w:t>图数据库不可用时，案例查询可使用已保存图谱快照或最小回退图；模型不可用时，相似度算法可降级到结构化GED。降级必须在结果中明确标记，不得以静默方式冒充完整模型结果。</w:t>
      </w:r>
    </w:p>
    <w:p>
      <w:pPr>
        <w:pStyle w:val="3"/>
        <w:ind w:firstLine="0"/>
      </w:pPr>
      <w:bookmarkStart w:id="109" w:name="_DatagraphToc109"/>
      <w:r>
        <w:rPr>
          <w:rFonts w:ascii="Heiti SC" w:hAnsi="Heiti SC" w:eastAsia="Heiti SC"/>
          <w:b/>
          <w:sz w:val="30"/>
        </w:rPr>
        <w:t>5.6 API使用示例</w:t>
      </w:r>
      <w:bookmarkEnd w:id="109"/>
    </w:p>
    <w:p>
      <w:pPr>
        <w:pStyle w:val="4"/>
        <w:ind w:firstLine="0"/>
      </w:pPr>
      <w:bookmarkStart w:id="110" w:name="_DatagraphToc110"/>
      <w:r>
        <w:rPr>
          <w:rFonts w:ascii="Heiti SC" w:hAnsi="Heiti SC" w:eastAsia="Heiti SC"/>
          <w:b/>
          <w:sz w:val="28"/>
        </w:rPr>
        <w:t>5.6.1 登录并取得JWT</w:t>
      </w:r>
      <w:bookmarkEnd w:id="110"/>
    </w:p>
    <w:p>
      <w:pPr>
        <w:spacing w:line="252" w:lineRule="auto" w:before="60" w:after="60"/>
        <w:ind w:left="360" w:right="240" w:firstLine="0"/>
        <w:shd w:fill="F2F2F2"/>
      </w:pPr>
      <w:r>
        <w:rPr>
          <w:rFonts w:ascii="Songti SC" w:hAnsi="Songti SC" w:eastAsia="Songti SC"/>
          <w:b w:val="0"/>
          <w:sz w:val="19"/>
        </w:rPr>
        <w:t>POST /api/v1/auth/login</w:t>
      </w:r>
      <w:r>
        <w:br/>
      </w:r>
      <w:r>
        <w:rPr>
          <w:rFonts w:ascii="Songti SC" w:hAnsi="Songti SC" w:eastAsia="Songti SC"/>
          <w:b w:val="0"/>
          <w:sz w:val="19"/>
        </w:rPr>
        <w:t>Content-Type: application/json</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"username": "badmin",</w:t>
      </w:r>
      <w:r>
        <w:br/>
      </w:r>
      <w:r>
        <w:rPr>
          <w:rFonts w:ascii="Songti SC" w:hAnsi="Songti SC" w:eastAsia="Songti SC"/>
          <w:b w:val="0"/>
          <w:sz w:val="19"/>
        </w:rPr>
        <w:t xml:space="preserve">  "password": "******"</w:t>
      </w:r>
      <w:r>
        <w:br/>
      </w:r>
      <w:r>
        <w:rPr>
          <w:rFonts w:ascii="Songti SC" w:hAnsi="Songti SC" w:eastAsia="Songti SC"/>
          <w:b w:val="0"/>
          <w:sz w:val="19"/>
        </w:rPr>
        <w:t>}</w:t>
      </w:r>
    </w:p>
    <w:p>
      <w:pPr>
        <w:ind w:firstLine="560"/>
        <w:jc w:val="both"/>
      </w:pPr>
      <w:r>
        <w:rPr>
          <w:rFonts w:ascii="Songti SC" w:hAnsi="Songti SC" w:eastAsia="Songti SC"/>
          <w:b w:val="0"/>
          <w:sz w:val="28"/>
        </w:rPr>
        <w:t>登录成功后，从data.token取得访问令牌。后续请求统一添加Authorization请求头。</w:t>
      </w:r>
    </w:p>
    <w:p>
      <w:pPr>
        <w:spacing w:line="252" w:lineRule="auto" w:before="60" w:after="60"/>
        <w:ind w:left="360" w:right="240" w:firstLine="0"/>
        <w:shd w:fill="F2F2F2"/>
      </w:pPr>
      <w:r>
        <w:rPr>
          <w:rFonts w:ascii="Songti SC" w:hAnsi="Songti SC" w:eastAsia="Songti SC"/>
          <w:b w:val="0"/>
          <w:sz w:val="19"/>
        </w:rPr>
        <w:t>Authorization: Bearer &lt;data.token&gt;</w:t>
      </w:r>
    </w:p>
    <w:p>
      <w:pPr>
        <w:pStyle w:val="4"/>
        <w:ind w:firstLine="0"/>
      </w:pPr>
      <w:bookmarkStart w:id="111" w:name="_DatagraphToc111"/>
      <w:r>
        <w:rPr>
          <w:rFonts w:ascii="Heiti SC" w:hAnsi="Heiti SC" w:eastAsia="Heiti SC"/>
          <w:b/>
          <w:sz w:val="28"/>
        </w:rPr>
        <w:t>5.6.2 上传案例并创建任务</w:t>
      </w:r>
      <w:bookmarkEnd w:id="111"/>
    </w:p>
    <w:p>
      <w:pPr>
        <w:ind w:firstLine="560"/>
        <w:jc w:val="both"/>
      </w:pPr>
      <w:r>
        <w:rPr>
          <w:rFonts w:ascii="Songti SC" w:hAnsi="Songti SC" w:eastAsia="Songti SC"/>
          <w:b w:val="0"/>
          <w:sz w:val="28"/>
        </w:rPr>
        <w:t>第一步调用multipart上传接口取得uploadToken；第二步创建STRUCTURED任务，并在inputParams中写入工作流、处理方式、识别模式和上传凭据；第三步调用start接口启动。</w:t>
      </w:r>
    </w:p>
    <w:p>
      <w:pPr>
        <w:spacing w:line="252" w:lineRule="auto" w:before="60" w:after="60"/>
        <w:ind w:left="360" w:right="240" w:firstLine="0"/>
        <w:shd w:fill="F2F2F2"/>
      </w:pPr>
      <w:r>
        <w:rPr>
          <w:rFonts w:ascii="Songti SC" w:hAnsi="Songti SC" w:eastAsia="Songti SC"/>
          <w:b w:val="0"/>
          <w:sz w:val="19"/>
        </w:rPr>
        <w:t>POST /api/v1/analysis/jobs</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"bankCode": "BANK_XA",</w:t>
      </w:r>
      <w:r>
        <w:br/>
      </w:r>
      <w:r>
        <w:rPr>
          <w:rFonts w:ascii="Songti SC" w:hAnsi="Songti SC" w:eastAsia="Songti SC"/>
          <w:b w:val="0"/>
          <w:sz w:val="19"/>
        </w:rPr>
        <w:t xml:space="preserve">  "workspaceId": 1,</w:t>
      </w:r>
      <w:r>
        <w:br/>
      </w:r>
      <w:r>
        <w:rPr>
          <w:rFonts w:ascii="Songti SC" w:hAnsi="Songti SC" w:eastAsia="Songti SC"/>
          <w:b w:val="0"/>
          <w:sz w:val="19"/>
        </w:rPr>
        <w:t xml:space="preserve">  "jobType": "STRUCTURED",</w:t>
      </w:r>
      <w:r>
        <w:br/>
      </w:r>
      <w:r>
        <w:rPr>
          <w:rFonts w:ascii="Songti SC" w:hAnsi="Songti SC" w:eastAsia="Songti SC"/>
          <w:b w:val="0"/>
          <w:sz w:val="19"/>
        </w:rPr>
        <w:t xml:space="preserve">  "jobName": "新增案例上传任务",</w:t>
      </w:r>
      <w:r>
        <w:br/>
      </w:r>
      <w:r>
        <w:rPr>
          <w:rFonts w:ascii="Songti SC" w:hAnsi="Songti SC" w:eastAsia="Songti SC"/>
          <w:b w:val="0"/>
          <w:sz w:val="19"/>
        </w:rPr>
        <w:t xml:space="preserve">  "scenarioCode": "AML",</w:t>
      </w:r>
      <w:r>
        <w:br/>
      </w:r>
      <w:r>
        <w:rPr>
          <w:rFonts w:ascii="Songti SC" w:hAnsi="Songti SC" w:eastAsia="Songti SC"/>
          <w:b w:val="0"/>
          <w:sz w:val="19"/>
        </w:rPr>
        <w:t xml:space="preserve">  "inputParams": "{\"uploadToken\":\"&lt;uploadToken&gt;\",\"recognitionMode\":\"NEW\"}",</w:t>
      </w:r>
      <w:r>
        <w:br/>
      </w:r>
      <w:r>
        <w:rPr>
          <w:rFonts w:ascii="Songti SC" w:hAnsi="Songti SC" w:eastAsia="Songti SC"/>
          <w:b w:val="0"/>
          <w:sz w:val="19"/>
        </w:rPr>
        <w:t xml:space="preserve">  "steps": [</w:t>
      </w:r>
      <w:r>
        <w:br/>
      </w:r>
      <w:r>
        <w:rPr>
          <w:rFonts w:ascii="Songti SC" w:hAnsi="Songti SC" w:eastAsia="Songti SC"/>
          <w:b w:val="0"/>
          <w:sz w:val="19"/>
        </w:rPr>
        <w:t xml:space="preserve">    {"stepName":"数据校验","stepType":"TEXT"},</w:t>
      </w:r>
      <w:r>
        <w:br/>
      </w:r>
      <w:r>
        <w:rPr>
          <w:rFonts w:ascii="Songti SC" w:hAnsi="Songti SC" w:eastAsia="Songti SC"/>
          <w:b w:val="0"/>
          <w:sz w:val="19"/>
        </w:rPr>
        <w:t xml:space="preserve">    {"stepName":"案例入库","stepType":"PERSIST"}</w:t>
      </w:r>
      <w:r>
        <w:br/>
      </w:r>
      <w:r>
        <w:rPr>
          <w:rFonts w:ascii="Songti SC" w:hAnsi="Songti SC" w:eastAsia="Songti SC"/>
          <w:b w:val="0"/>
          <w:sz w:val="19"/>
        </w:rPr>
        <w:t xml:space="preserve">  ]</w:t>
      </w:r>
      <w:r>
        <w:br/>
      </w:r>
      <w:r>
        <w:rPr>
          <w:rFonts w:ascii="Songti SC" w:hAnsi="Songti SC" w:eastAsia="Songti SC"/>
          <w:b w:val="0"/>
          <w:sz w:val="19"/>
        </w:rPr>
        <w:t>}</w:t>
      </w:r>
    </w:p>
    <w:p>
      <w:pPr>
        <w:spacing w:line="252" w:lineRule="auto" w:before="60" w:after="60"/>
        <w:ind w:left="360" w:right="240" w:firstLine="0"/>
        <w:shd w:fill="F2F2F2"/>
      </w:pPr>
      <w:r>
        <w:rPr>
          <w:rFonts w:ascii="Songti SC" w:hAnsi="Songti SC" w:eastAsia="Songti SC"/>
          <w:b w:val="0"/>
          <w:sz w:val="19"/>
        </w:rPr>
        <w:t>PUT /api/v1/analysis/jobs/{jobId}/start</w:t>
      </w:r>
      <w:r>
        <w:br/>
      </w:r>
      <w:r>
        <w:rPr>
          <w:rFonts w:ascii="Songti SC" w:hAnsi="Songti SC" w:eastAsia="Songti SC"/>
          <w:b w:val="0"/>
          <w:sz w:val="19"/>
        </w:rPr>
        <w:t>Authorization: Bearer &lt;token&gt;</w:t>
      </w:r>
    </w:p>
    <w:p>
      <w:pPr>
        <w:pStyle w:val="4"/>
        <w:ind w:firstLine="0"/>
      </w:pPr>
      <w:bookmarkStart w:id="112" w:name="_DatagraphToc112"/>
      <w:r>
        <w:rPr>
          <w:rFonts w:ascii="Heiti SC" w:hAnsi="Heiti SC" w:eastAsia="Heiti SC"/>
          <w:b/>
          <w:sz w:val="28"/>
        </w:rPr>
        <w:t>5.6.3 执行三项核心功能</w:t>
      </w:r>
      <w:bookmarkEnd w:id="112"/>
    </w:p>
    <w:p>
      <w:pPr>
        <w:ind w:firstLine="560"/>
        <w:jc w:val="both"/>
      </w:pPr>
      <w:r>
        <w:rPr>
          <w:rFonts w:ascii="Songti SC" w:hAnsi="Songti SC" w:eastAsia="Songti SC"/>
          <w:b w:val="0"/>
          <w:sz w:val="28"/>
        </w:rPr>
        <w:t>新增案例进入对应队列后，依次以REPORT、FRAMEWORK和SIMILARITY调用统一动作接口。每次调用成功后应重新查询案例详情，确认processingStage已经进入下一阶段。</w:t>
      </w:r>
    </w:p>
    <w:p>
      <w:pPr>
        <w:spacing w:line="252" w:lineRule="auto" w:before="60" w:after="60"/>
        <w:ind w:left="360" w:right="240" w:firstLine="0"/>
        <w:shd w:fill="F2F2F2"/>
      </w:pPr>
      <w:r>
        <w:rPr>
          <w:rFonts w:ascii="Songti SC" w:hAnsi="Songti SC" w:eastAsia="Songti SC"/>
          <w:b w:val="0"/>
          <w:sz w:val="19"/>
        </w:rPr>
        <w:t>POST /api/v1/case-processing/actions/REPORT</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spacing w:line="252" w:lineRule="auto" w:before="60" w:after="60"/>
        <w:ind w:left="360" w:right="240" w:firstLine="0"/>
        <w:shd w:fill="F2F2F2"/>
      </w:pPr>
      <w:r>
        <w:rPr>
          <w:rFonts w:ascii="Songti SC" w:hAnsi="Songti SC" w:eastAsia="Songti SC"/>
          <w:b w:val="0"/>
          <w:sz w:val="19"/>
        </w:rPr>
        <w:t>POST /api/v1/case-processing/actions/FRAMEWORK</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spacing w:line="252" w:lineRule="auto" w:before="60" w:after="60"/>
        <w:ind w:left="360" w:right="240" w:firstLine="0"/>
        <w:shd w:fill="F2F2F2"/>
      </w:pPr>
      <w:r>
        <w:rPr>
          <w:rFonts w:ascii="Songti SC" w:hAnsi="Songti SC" w:eastAsia="Songti SC"/>
          <w:b w:val="0"/>
          <w:sz w:val="19"/>
        </w:rPr>
        <w:t>POST /api/v1/case-processing/actions/SIMILARITY</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pStyle w:val="4"/>
        <w:ind w:firstLine="0"/>
      </w:pPr>
      <w:bookmarkStart w:id="113" w:name="_DatagraphToc113"/>
      <w:r>
        <w:rPr>
          <w:rFonts w:ascii="Heiti SC" w:hAnsi="Heiti SC" w:eastAsia="Heiti SC"/>
          <w:b/>
          <w:sz w:val="28"/>
        </w:rPr>
        <w:t>5.6.4 审批并查询案例图谱</w:t>
      </w:r>
      <w:bookmarkEnd w:id="113"/>
    </w:p>
    <w:p>
      <w:pPr>
        <w:spacing w:line="252" w:lineRule="auto" w:before="60" w:after="60"/>
        <w:ind w:left="360" w:right="240" w:firstLine="0"/>
        <w:shd w:fill="F2F2F2"/>
      </w:pPr>
      <w:r>
        <w:rPr>
          <w:rFonts w:ascii="Songti SC" w:hAnsi="Songti SC" w:eastAsia="Songti SC"/>
          <w:b w:val="0"/>
          <w:sz w:val="19"/>
        </w:rPr>
        <w:t>PUT /api/v1/case-processing/CASE-2026-001/approve</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"riskLevel": "HIGH",</w:t>
      </w:r>
      <w:r>
        <w:br/>
      </w:r>
      <w:r>
        <w:rPr>
          <w:rFonts w:ascii="Songti SC" w:hAnsi="Songti SC" w:eastAsia="Songti SC"/>
          <w:b w:val="0"/>
          <w:sz w:val="19"/>
        </w:rPr>
        <w:t xml:space="preserve">  "orderedSimilarCaseIds": ["CASE-H-018", "CASE-H-102"]</w:t>
      </w:r>
      <w:r>
        <w:br/>
      </w:r>
      <w:r>
        <w:rPr>
          <w:rFonts w:ascii="Songti SC" w:hAnsi="Songti SC" w:eastAsia="Songti SC"/>
          <w:b w:val="0"/>
          <w:sz w:val="19"/>
        </w:rPr>
        <w:t>}</w:t>
      </w:r>
    </w:p>
    <w:p>
      <w:pPr>
        <w:spacing w:line="252" w:lineRule="auto" w:before="60" w:after="60"/>
        <w:ind w:left="360" w:right="240" w:firstLine="0"/>
        <w:shd w:fill="F2F2F2"/>
      </w:pPr>
      <w:r>
        <w:rPr>
          <w:rFonts w:ascii="Songti SC" w:hAnsi="Songti SC" w:eastAsia="Songti SC"/>
          <w:b w:val="0"/>
          <w:sz w:val="19"/>
        </w:rPr>
        <w:t>GET /api/v1/graph/case-subgraph?caseId=CASE-2026-001</w:t>
      </w:r>
      <w:r>
        <w:br/>
      </w:r>
      <w:r>
        <w:rPr>
          <w:rFonts w:ascii="Songti SC" w:hAnsi="Songti SC" w:eastAsia="Songti SC"/>
          <w:b w:val="0"/>
          <w:sz w:val="19"/>
        </w:rPr>
        <w:t>Authorization: Bearer &lt;token&gt;</w:t>
      </w:r>
    </w:p>
    <w:p>
      <w:pPr>
        <w:ind w:firstLine="560"/>
        <w:jc w:val="both"/>
      </w:pPr>
      <w:r>
        <w:rPr>
          <w:rFonts w:ascii="Songti SC" w:hAnsi="Songti SC" w:eastAsia="Songti SC"/>
          <w:b w:val="0"/>
          <w:sz w:val="28"/>
        </w:rPr>
        <w:t>图谱接口返回案例节点、实体节点、事件节点、证据节点和关系集合。前端根据节点类型和关系类型应用图形样式，并可继续请求知识解释链、关联线索分析或隐蔽风险挖掘任务。</w:t>
      </w:r>
    </w:p>
    <w:p>
      <w:pPr>
        <w:pStyle w:val="3"/>
        <w:ind w:firstLine="0"/>
      </w:pPr>
      <w:bookmarkStart w:id="114" w:name="_DatagraphToc114"/>
      <w:r>
        <w:rPr>
          <w:rFonts w:ascii="Heiti SC" w:hAnsi="Heiti SC" w:eastAsia="Heiti SC"/>
          <w:b/>
          <w:sz w:val="30"/>
        </w:rPr>
        <w:t>5.7 本章小结</w:t>
      </w:r>
      <w:bookmarkEnd w:id="114"/>
    </w:p>
    <w:p>
      <w:pPr>
        <w:ind w:firstLine="560"/>
        <w:jc w:val="both"/>
      </w:pPr>
      <w:r>
        <w:rPr>
          <w:rFonts w:ascii="Songti SC" w:hAnsi="Songti SC" w:eastAsia="Songti SC"/>
          <w:b w:val="0"/>
          <w:sz w:val="28"/>
        </w:rPr>
        <w:t>本章说明系统的前后端、算法Worker、关系数据库、图数据库与语义服务框架，并给出REST API分组、关键接口、内部协议、错误码和调用示例。接口采用身份与银行范围校验、统一响应、状态校验和审计记录，支撑案例上传、核心功能、复核审批和图谱分析。</w:t>
      </w:r>
    </w:p>
    <w:sectPr>
      <w:footerReference w:type="default" r:id="rId9"/>
      <w:pgSz w:w="11906" w:h="16838"/>
      <w:pgMar w:top="1440" w:right="1800" w:bottom="1440" w:left="1800" w:header="851" w:footer="992" w:gutter="0"/>
      <w:cols w:space="425" w:num="1"/>
      <w:docGrid w:type="lines" w:linePitch="312"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苹方-简"/>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等线 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Times New Roman"/>
        <w:sz w:val="21"/>
        <w:szCs w:val="21"/>
        <w:color w:val="000000"/>
        <w:u w:val="none"/>
      </w:rPr>
      <w:fldChar w:fldCharType="begin"/>
    </w:r>
    <w:r>
      <w:rPr>
        <w:rFonts w:ascii="Times New Roman" w:hAnsi="Times New Roman" w:eastAsia="Times New Roman"/>
        <w:sz w:val="21"/>
        <w:szCs w:val="21"/>
        <w:color w:val="000000"/>
        <w:u w:val="none"/>
      </w:rPr>
      <w:instrText xml:space="preserve"> PAGE \* MERGEFORMAT </w:instrText>
    </w:r>
    <w:r>
      <w:rPr>
        <w:rFonts w:ascii="Times New Roman" w:hAnsi="Times New Roman" w:eastAsia="Times New Roman"/>
        <w:sz w:val="21"/>
        <w:szCs w:val="21"/>
        <w:color w:val="000000"/>
        <w:u w:val="none"/>
      </w:rPr>
      <w:fldChar w:fldCharType="separate"/>
    </w:r>
    <w:r>
      <w:rPr>
        <w:rFonts w:ascii="Times New Roman" w:hAnsi="Times New Roman" w:eastAsia="Times New Roman"/>
        <w:sz w:val="21"/>
        <w:szCs w:val="21"/>
        <w:color w:val="000000"/>
        <w:u w:val="none"/>
      </w:rPr>
      <w:t>I</w:t>
    </w:r>
    <w:r>
      <w:rPr>
        <w:rFonts w:ascii="Times New Roman" w:hAnsi="Times New Roman" w:eastAsia="Times New Roman"/>
        <w:sz w:val="21"/>
        <w:szCs w:val="21"/>
        <w:color w:val="000000"/>
        <w:u w:val="none"/>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Times New Roman"/>
        <w:sz w:val="21"/>
        <w:szCs w:val="21"/>
        <w:color w:val="000000"/>
        <w:u w:val="none"/>
      </w:rPr>
      <w:fldChar w:fldCharType="begin"/>
    </w:r>
    <w:r>
      <w:rPr>
        <w:rFonts w:ascii="Times New Roman" w:hAnsi="Times New Roman" w:eastAsia="Times New Roman"/>
        <w:sz w:val="21"/>
        <w:szCs w:val="21"/>
        <w:color w:val="000000"/>
        <w:u w:val="none"/>
      </w:rPr>
      <w:instrText xml:space="preserve"> PAGE \* MERGEFORMAT </w:instrText>
    </w:r>
    <w:r>
      <w:rPr>
        <w:rFonts w:ascii="Times New Roman" w:hAnsi="Times New Roman" w:eastAsia="Times New Roman"/>
        <w:sz w:val="21"/>
        <w:szCs w:val="21"/>
        <w:color w:val="000000"/>
        <w:u w:val="none"/>
      </w:rPr>
      <w:fldChar w:fldCharType="separate"/>
    </w:r>
    <w:r>
      <w:rPr>
        <w:rFonts w:ascii="Times New Roman" w:hAnsi="Times New Roman" w:eastAsia="Times New Roman"/>
        <w:sz w:val="21"/>
        <w:szCs w:val="21"/>
        <w:color w:val="000000"/>
        <w:u w:val="none"/>
      </w:rPr>
      <w:t>1</w:t>
    </w:r>
    <w:r>
      <w:rPr>
        <w:rFonts w:ascii="Times New Roman" w:hAnsi="Times New Roman" w:eastAsia="Times New Roman"/>
        <w:sz w:val="21"/>
        <w:szCs w:val="21"/>
        <w:color w:val="000000"/>
        <w:u w: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B57"/>
    <w:rsid w:val="000A497C"/>
    <w:rsid w:val="000B410B"/>
    <w:rsid w:val="000D4E42"/>
    <w:rsid w:val="000E185E"/>
    <w:rsid w:val="000F0FC4"/>
    <w:rsid w:val="00103BE5"/>
    <w:rsid w:val="002846E7"/>
    <w:rsid w:val="002E413C"/>
    <w:rsid w:val="00380A2D"/>
    <w:rsid w:val="003A2905"/>
    <w:rsid w:val="003A629F"/>
    <w:rsid w:val="004136F9"/>
    <w:rsid w:val="00417493"/>
    <w:rsid w:val="00452743"/>
    <w:rsid w:val="004D6942"/>
    <w:rsid w:val="005218EE"/>
    <w:rsid w:val="00537B57"/>
    <w:rsid w:val="005432B9"/>
    <w:rsid w:val="005D34ED"/>
    <w:rsid w:val="00604BD0"/>
    <w:rsid w:val="006A5E4A"/>
    <w:rsid w:val="00717A40"/>
    <w:rsid w:val="00723529"/>
    <w:rsid w:val="007660A7"/>
    <w:rsid w:val="0078466C"/>
    <w:rsid w:val="007C2C0B"/>
    <w:rsid w:val="00853AD7"/>
    <w:rsid w:val="00987422"/>
    <w:rsid w:val="009A0EDA"/>
    <w:rsid w:val="009D04AF"/>
    <w:rsid w:val="009E2578"/>
    <w:rsid w:val="00A002E3"/>
    <w:rsid w:val="00A767B5"/>
    <w:rsid w:val="00A87C4D"/>
    <w:rsid w:val="00BF6404"/>
    <w:rsid w:val="00C3041C"/>
    <w:rsid w:val="00CB619E"/>
    <w:rsid w:val="00CE081A"/>
    <w:rsid w:val="00D90749"/>
    <w:rsid w:val="00E43BDA"/>
    <w:rsid w:val="00E5554E"/>
    <w:rsid w:val="00E72988"/>
    <w:rsid w:val="00EA39F1"/>
    <w:rsid w:val="00EB2FBE"/>
    <w:rsid w:val="00ED7CF8"/>
    <w:rsid w:val="00F04E65"/>
    <w:rsid w:val="00FA1DFE"/>
    <w:rsid w:val="00FE5E67"/>
    <w:rsid w:val="2FFC55D9"/>
    <w:rsid w:val="3F7F9C09"/>
    <w:rsid w:val="79BF8837"/>
    <w:rsid w:val="7E6FC20A"/>
    <w:rsid w:val="D3FFE1DE"/>
    <w:rsid w:val="FFFDB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before="0" w:after="0"/>
      <w:ind w:firstLineChars="200" w:firstLine="560"/>
      <w:jc w:val="both"/>
    </w:pPr>
    <w:rPr>
      <w:rFonts w:ascii="Songti SC" w:hAnsi="Songti SC" w:eastAsia="Songti SC" w:cstheme="minorBidi"/>
      <w:b w:val="0"/>
      <w:kern w:val="2"/>
      <w:sz w:val="28"/>
      <w:szCs w:val="22"/>
      <w:lang w:val="en-US" w:eastAsia="zh-CN" w:bidi="ar-SA"/>
    </w:rPr>
  </w:style>
  <w:style w:type="paragraph" w:styleId="2">
    <w:name w:val="heading 1"/>
    <w:basedOn w:val="1"/>
    <w:next w:val="1"/>
    <w:link w:val="25"/>
    <w:qFormat/>
    <w:uiPriority w:val="9"/>
    <w:pPr>
      <w:keepNext/>
      <w:keepLines/>
      <w:spacing w:before="120" w:after="200"/>
      <w:ind w:firstLine="0"/>
      <w:jc w:val="center"/>
      <w:outlineLvl w:val="0"/>
    </w:pPr>
    <w:rPr>
      <w:rFonts w:eastAsia="Heiti SC" w:cstheme="majorBidi" w:ascii="Heiti SC" w:hAnsi="Heiti SC"/>
      <w:b/>
      <w:sz w:val="32"/>
      <w:szCs w:val="48"/>
    </w:rPr>
  </w:style>
  <w:style w:type="paragraph" w:styleId="3">
    <w:name w:val="heading 2"/>
    <w:basedOn w:val="1"/>
    <w:next w:val="1"/>
    <w:link w:val="26"/>
    <w:unhideWhenUsed/>
    <w:qFormat/>
    <w:uiPriority w:val="9"/>
    <w:pPr>
      <w:keepNext/>
      <w:keepLines/>
      <w:spacing w:before="160" w:after="80"/>
      <w:ind w:firstLineChars="0" w:firstLine="0"/>
      <w:outlineLvl w:val="1"/>
    </w:pPr>
    <w:rPr>
      <w:rFonts w:cstheme="majorBidi" w:ascii="Heiti SC" w:hAnsi="Heiti SC" w:eastAsia="Heiti SC"/>
      <w:b/>
      <w:sz w:val="30"/>
      <w:szCs w:val="40"/>
    </w:rPr>
  </w:style>
  <w:style w:type="paragraph" w:styleId="4">
    <w:name w:val="heading 3"/>
    <w:basedOn w:val="1"/>
    <w:next w:val="1"/>
    <w:link w:val="27"/>
    <w:unhideWhenUsed/>
    <w:qFormat/>
    <w:uiPriority w:val="9"/>
    <w:pPr>
      <w:keepNext/>
      <w:keepLines/>
      <w:spacing w:before="100" w:after="40"/>
      <w:ind w:firstLineChars="0" w:firstLine="0"/>
      <w:outlineLvl w:val="2"/>
    </w:pPr>
    <w:rPr>
      <w:rFonts w:cstheme="majorBidi" w:ascii="Heiti SC" w:hAnsi="Heiti SC" w:eastAsia="Heiti SC"/>
      <w:b/>
      <w:sz w:val="28"/>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tabs>
        <w:tab w:val="right" w:leader="dot" w:pos="8296"/>
      </w:tabs>
      <w:ind w:left="560" w:leftChars="200" w:firstLine="480"/>
    </w:pPr>
  </w:style>
  <w:style w:type="paragraph" w:styleId="12">
    <w:name w:val="footer"/>
    <w:basedOn w:val="1"/>
    <w:link w:val="44"/>
    <w:unhideWhenUsed/>
    <w:uiPriority w:val="99"/>
    <w:pPr>
      <w:tabs>
        <w:tab w:val="center" w:pos="4153"/>
        <w:tab w:val="right" w:pos="8306"/>
      </w:tabs>
      <w:jc w:val="left"/>
    </w:pPr>
    <w:rPr>
      <w:sz w:val="18"/>
      <w:szCs w:val="18"/>
    </w:rPr>
  </w:style>
  <w:style w:type="paragraph" w:styleId="13">
    <w:name w:val="header"/>
    <w:basedOn w:val="1"/>
    <w:link w:val="43"/>
    <w:unhideWhenUsed/>
    <w:uiPriority w:val="99"/>
    <w:pPr>
      <w:tabs>
        <w:tab w:val="center" w:pos="4153"/>
        <w:tab w:val="right" w:pos="8306"/>
      </w:tabs>
      <w:jc w:val="center"/>
    </w:pPr>
    <w:rPr>
      <w:sz w:val="18"/>
      <w:szCs w:val="18"/>
    </w:rPr>
  </w:style>
  <w:style w:type="paragraph" w:styleId="14">
    <w:name w:val="toc 1"/>
    <w:basedOn w:val="1"/>
    <w:next w:val="1"/>
    <w:autoRedefine/>
    <w:unhideWhenUsed/>
    <w:uiPriority w:val="39"/>
    <w:pPr>
      <w:tabs>
        <w:tab w:val="right" w:leader="dot" w:pos="8296"/>
      </w:tabs>
      <w:ind w:firstLine="0" w:firstLineChars="0"/>
    </w:pPr>
    <w:rPr>
      <w:b/>
      <w:bCs/>
      <w:szCs w:val="28"/>
    </w:rPr>
  </w:style>
  <w:style w:type="paragraph" w:styleId="15">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6">
    <w:name w:val="toc 2"/>
    <w:basedOn w:val="1"/>
    <w:next w:val="1"/>
    <w:autoRedefine/>
    <w:unhideWhenUsed/>
    <w:uiPriority w:val="39"/>
    <w:pPr>
      <w:tabs>
        <w:tab w:val="right" w:leader="dot" w:pos="8296"/>
      </w:tabs>
      <w:ind w:firstLine="560"/>
    </w:pPr>
    <w:rPr>
      <w:szCs w:val="28"/>
    </w:rPr>
  </w:style>
  <w:style w:type="paragraph" w:styleId="17">
    <w:name w:val="Normal (Web)"/>
    <w:basedOn w:val="1"/>
    <w:semiHidden/>
    <w:unhideWhenUsed/>
    <w:uiPriority w:val="99"/>
    <w:pPr>
      <w:spacing w:beforeAutospacing="1" w:afterAutospacing="1"/>
      <w:jc w:val="left"/>
    </w:pPr>
    <w:rPr>
      <w:rFonts w:cs="Times New Roman"/>
      <w:kern w:val="0"/>
      <w:sz w:val="24"/>
    </w:rPr>
  </w:style>
  <w:style w:type="paragraph" w:styleId="18">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uiPriority w:val="99"/>
    <w:rPr>
      <w:color w:val="0563C1" w:themeColor="hyperlink"/>
      <w:u w:val="single"/>
      <w14:textFill>
        <w14:solidFill>
          <w14:schemeClr w14:val="hlink"/>
        </w14:solidFill>
      </w14:textFill>
    </w:rPr>
  </w:style>
  <w:style w:type="character" w:styleId="24">
    <w:name w:val="HTML Code"/>
    <w:basedOn w:val="21"/>
    <w:uiPriority w:val="0"/>
    <w:rPr>
      <w:rFonts w:ascii="Courier New" w:hAnsi="Courier New"/>
      <w:sz w:val="20"/>
    </w:rPr>
  </w:style>
  <w:style w:type="character" w:customStyle="1" w:styleId="25">
    <w:name w:val="标题 1 字符"/>
    <w:basedOn w:val="21"/>
    <w:link w:val="2"/>
    <w:uiPriority w:val="9"/>
    <w:rPr>
      <w:rFonts w:eastAsia="黑体" w:cstheme="majorBidi"/>
      <w:b/>
      <w:kern w:val="2"/>
      <w:sz w:val="32"/>
      <w:szCs w:val="48"/>
    </w:rPr>
  </w:style>
  <w:style w:type="character" w:customStyle="1" w:styleId="26">
    <w:name w:val="标题 2 字符"/>
    <w:basedOn w:val="21"/>
    <w:link w:val="3"/>
    <w:uiPriority w:val="9"/>
    <w:rPr>
      <w:rFonts w:cstheme="majorBidi"/>
      <w:b/>
      <w:kern w:val="2"/>
      <w:sz w:val="30"/>
      <w:szCs w:val="40"/>
    </w:rPr>
  </w:style>
  <w:style w:type="character" w:customStyle="1" w:styleId="27">
    <w:name w:val="标题 3 字符"/>
    <w:basedOn w:val="21"/>
    <w:link w:val="4"/>
    <w:uiPriority w:val="9"/>
    <w:rPr>
      <w:rFonts w:cstheme="majorBidi"/>
      <w:b/>
      <w:kern w:val="2"/>
      <w:sz w:val="28"/>
      <w:szCs w:val="32"/>
    </w:rPr>
  </w:style>
  <w:style w:type="character" w:customStyle="1" w:styleId="28">
    <w:name w:val="标题 4 字符"/>
    <w:basedOn w:val="21"/>
    <w:link w:val="5"/>
    <w:semiHidden/>
    <w:uiPriority w:val="9"/>
    <w:rPr>
      <w:rFonts w:cstheme="majorBidi"/>
      <w:color w:val="2F5597" w:themeColor="accent1" w:themeShade="BF"/>
      <w:sz w:val="28"/>
      <w:szCs w:val="28"/>
    </w:rPr>
  </w:style>
  <w:style w:type="character" w:customStyle="1" w:styleId="29">
    <w:name w:val="标题 5 字符"/>
    <w:basedOn w:val="21"/>
    <w:link w:val="6"/>
    <w:semiHidden/>
    <w:uiPriority w:val="9"/>
    <w:rPr>
      <w:rFonts w:cstheme="majorBidi"/>
      <w:color w:val="2F5597" w:themeColor="accent1" w:themeShade="BF"/>
      <w:sz w:val="24"/>
      <w:szCs w:val="24"/>
    </w:rPr>
  </w:style>
  <w:style w:type="character" w:customStyle="1" w:styleId="30">
    <w:name w:val="标题 6 字符"/>
    <w:basedOn w:val="21"/>
    <w:link w:val="7"/>
    <w:semiHidden/>
    <w:uiPriority w:val="9"/>
    <w:rPr>
      <w:rFonts w:cstheme="majorBidi"/>
      <w:b/>
      <w:bCs/>
      <w:color w:val="2F5597" w:themeColor="accent1" w:themeShade="BF"/>
    </w:rPr>
  </w:style>
  <w:style w:type="character" w:customStyle="1" w:styleId="31">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8"/>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uiPriority w:val="30"/>
    <w:rPr>
      <w:i/>
      <w:iCs/>
      <w:color w:val="2F5597" w:themeColor="accent1" w:themeShade="BF"/>
    </w:rPr>
  </w:style>
  <w:style w:type="character" w:customStyle="1" w:styleId="42">
    <w:name w:val="明显参考1"/>
    <w:basedOn w:val="21"/>
    <w:qFormat/>
    <w:uiPriority w:val="32"/>
    <w:rPr>
      <w:b/>
      <w:bCs/>
      <w:smallCaps/>
      <w:color w:val="2F5597" w:themeColor="accent1" w:themeShade="BF"/>
      <w:spacing w:val="5"/>
    </w:rPr>
  </w:style>
  <w:style w:type="character" w:customStyle="1" w:styleId="43">
    <w:name w:val="页眉 字符"/>
    <w:basedOn w:val="21"/>
    <w:link w:val="13"/>
    <w:uiPriority w:val="99"/>
    <w:rPr>
      <w:sz w:val="18"/>
      <w:szCs w:val="18"/>
    </w:rPr>
  </w:style>
  <w:style w:type="character" w:customStyle="1" w:styleId="44">
    <w:name w:val="页脚 字符"/>
    <w:basedOn w:val="21"/>
    <w:link w:val="12"/>
    <w:uiPriority w:val="99"/>
    <w:rPr>
      <w:sz w:val="18"/>
      <w:szCs w:val="18"/>
    </w:rPr>
  </w:style>
  <w:style w:type="paragraph" w:customStyle="1" w:styleId="45">
    <w:name w:val="表格"/>
    <w:basedOn w:val="1"/>
    <w:link w:val="46"/>
    <w:qFormat/>
    <w:uiPriority w:val="0"/>
    <w:pPr>
      <w:widowControl/>
      <w:ind w:firstLine="0" w:firstLineChars="0"/>
      <w:jc w:val="center"/>
    </w:pPr>
    <w:rPr>
      <w:rFonts w:cs="Times New Roman"/>
      <w:kern w:val="0"/>
      <w:sz w:val="24"/>
      <w:szCs w:val="21"/>
    </w:rPr>
  </w:style>
  <w:style w:type="character" w:customStyle="1" w:styleId="46">
    <w:name w:val="表格 字符"/>
    <w:basedOn w:val="21"/>
    <w:link w:val="45"/>
    <w:uiPriority w:val="0"/>
    <w:rPr>
      <w:sz w:val="24"/>
      <w:szCs w:val="21"/>
    </w:rPr>
  </w:style>
  <w:style w:type="paragraph" w:customStyle="1" w:styleId="47">
    <w:name w:val="TOC Heading"/>
    <w:basedOn w:val="2"/>
    <w:next w:val="1"/>
    <w:unhideWhenUsed/>
    <w:qFormat/>
    <w:uiPriority w:val="39"/>
    <w:pPr>
      <w:widowControl/>
      <w:snapToGrid/>
      <w:spacing w:before="240" w:line="259" w:lineRule="auto"/>
      <w:ind w:firstLine="0" w:firstLineChars="0"/>
      <w:jc w:val="left"/>
      <w:outlineLvl w:val="9"/>
    </w:pPr>
    <w:rPr>
      <w:rFonts w:asciiTheme="majorHAnsi" w:hAnsiTheme="majorHAnsi" w:eastAsiaTheme="majorEastAsia"/>
      <w:b w:val="0"/>
      <w:color w:val="2F5597" w:themeColor="accent1" w:themeShade="BF"/>
      <w:kern w:val="0"/>
      <w:szCs w:val="32"/>
    </w:rPr>
  </w:style>
  <w:style w:type="paragraph" w:customStyle="1" w:styleId="TOC">
    <w:name w:val="TOC"/>
    <w:pPr>
      <w:keepLines/>
      <w:widowControl/>
      <w:spacing w:before="0" w:after="360" w:lineRule="auto" w:line="276"/>
      <w:ind w:left="0" w:right="0" w:firstLine="0"/>
    </w:pPr>
    <w:rPr>
      <w:rFonts w:ascii="Heiti SC" w:hAnsi="Heiti SC" w:eastAsia="Heiti SC"/>
      <w:b w:val="1"/>
      <w:sz w:val="36"/>
      <w:szCs w:val="36"/>
      <w:bCs w:val="1"/>
    </w:rPr>
  </w:style>
  <w:style w:type="paragraph" w:customStyle="1" w:styleId="TOC1">
    <w:name w:val="TOC 1"/>
    <w:pPr>
      <w:keepLines/>
      <w:widowControl/>
      <w:tabs>
        <w:tab w:pos="8296" w:val="right" w:leader="dot"/>
      </w:tabs>
      <w:spacing w:before="0" w:after="140" w:lineRule="auto" w:line="276"/>
      <w:ind w:left="0" w:right="0" w:firstLine="0"/>
    </w:pPr>
    <w:rPr>
      <w:rFonts w:ascii="Heiti SC" w:hAnsi="Heiti SC" w:eastAsia="Heiti SC"/>
      <w:b w:val="1"/>
      <w:sz w:val="28"/>
      <w:szCs w:val="28"/>
      <w:bCs w:val="1"/>
    </w:rPr>
  </w:style>
  <w:style w:type="paragraph" w:customStyle="1" w:styleId="TOC2">
    <w:name w:val="TOC 2"/>
    <w:pPr>
      <w:keepLines/>
      <w:widowControl/>
      <w:tabs>
        <w:tab w:pos="8296" w:val="right" w:leader="dot"/>
      </w:tabs>
      <w:spacing w:before="0" w:after="120" w:lineRule="auto" w:line="276"/>
      <w:ind w:left="560" w:right="0" w:firstLine="0"/>
    </w:pPr>
    <w:rPr>
      <w:rFonts w:ascii="Songti SC" w:hAnsi="Songti SC" w:eastAsia="Songti SC"/>
      <w:sz w:val="28"/>
      <w:szCs w:val="28"/>
    </w:rPr>
  </w:style>
  <w:style w:type="paragraph" w:customStyle="1" w:styleId="TOC3">
    <w:name w:val="TOC 3"/>
    <w:pPr>
      <w:keepLines/>
      <w:widowControl/>
      <w:tabs>
        <w:tab w:pos="8296" w:val="right" w:leader="dot"/>
      </w:tabs>
      <w:spacing w:before="0" w:after="100" w:lineRule="auto" w:line="276"/>
      <w:ind w:left="1120" w:right="0" w:firstLine="0"/>
    </w:pPr>
    <w:rPr>
      <w:rFonts w:ascii="Songti SC" w:hAnsi="Songti SC" w:eastAsia="Songti SC"/>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A4B7305-B1C8-48A5-9548-72D92093A039}">
  <ds:schemaRefs/>
</ds:datastoreItem>
</file>

<file path=docProps/app.xml><?xml version="1.0" encoding="utf-8"?>
<Properties xmlns="http://schemas.openxmlformats.org/officeDocument/2006/extended-properties" xmlns:vt="http://schemas.openxmlformats.org/officeDocument/2006/docPropsVTypes">
  <Template>Normal</Template>
  <Pages>25</Pages>
  <Words>6410</Words>
  <Characters>36539</Characters>
  <Lines>304</Lines>
  <Paragraphs>85</Paragraphs>
  <TotalTime>252</TotalTime>
  <ScaleCrop>false</ScaleCrop>
  <LinksUpToDate>false</LinksUpToDate>
  <CharactersWithSpaces>42864</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2025-10-26T17:30:00Z</dcterms:created>
  <dc:creator>纯隆 余</dc:creator>
  <cp:lastModifiedBy>Yao Zhang</cp:lastModifiedBy>
  <dcterms:modified xsi:type="dcterms:W3CDTF">2026-08-29T21:58:56Z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95E17BE7C574A518A0E5926A8CFF84C9_43</vt:lpwstr>
  </property>
</Properties>
</file>