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Times New Roman" w:hAnsi="Times New Roman" w:eastAsia="宋体"/>
          <w:b/>
          <w:i w:val="0"/>
          <w:sz w:val="32"/>
        </w:rPr>
        <w:t>四、问题二：烧结机尾气CO浓度预测模型建立</w:t>
      </w:r>
    </w:p>
    <w:p>
      <w:pPr>
        <w:spacing w:before="160" w:after="80"/>
      </w:pPr>
      <w:r>
        <w:rPr>
          <w:rFonts w:ascii="Times New Roman" w:hAnsi="Times New Roman" w:eastAsia="宋体"/>
          <w:b/>
          <w:i w:val="0"/>
          <w:sz w:val="28"/>
        </w:rPr>
        <w:t>4.1  问题分析</w:t>
      </w:r>
    </w:p>
    <w:p>
      <w:pPr>
        <w:spacing w:line="440" w:lineRule="exact" w:after="0"/>
        <w:ind w:firstLine="420"/>
      </w:pPr>
      <w:r>
        <w:rPr>
          <w:rFonts w:ascii="Times New Roman" w:hAnsi="Times New Roman" w:eastAsia="宋体"/>
          <w:b w:val="0"/>
          <w:i w:val="0"/>
          <w:sz w:val="24"/>
        </w:rPr>
        <w:t>烧结工序是钢铁生产过程中CO排放的主要环节之一。烧结机尾部大烟道排放的CO浓度受机速、18路风箱负压、18路风箱温度以及大烟道工况等多维变量的协同驱动，其建模面临以下三重挑战：</w:t>
      </w:r>
    </w:p>
    <w:p>
      <w:pPr>
        <w:spacing w:after="0" w:line="400" w:lineRule="exact"/>
        <w:ind w:left="283"/>
      </w:pPr>
      <w:r>
        <w:rPr>
          <w:rFonts w:ascii="Times New Roman" w:hAnsi="Times New Roman" w:eastAsia="宋体"/>
          <w:b w:val="0"/>
          <w:i w:val="0"/>
          <w:sz w:val="24"/>
        </w:rPr>
        <w:t>• 高维非线性：原始工况输入变量达41个，经特征工程扩展至84维，各变量间存在多重共线性与非线性交互，普通线性回归方法失效。</w:t>
      </w:r>
    </w:p>
    <w:p>
      <w:pPr>
        <w:spacing w:after="0" w:line="400" w:lineRule="exact"/>
        <w:ind w:left="283"/>
      </w:pPr>
      <w:r>
        <w:rPr>
          <w:rFonts w:ascii="Times New Roman" w:hAnsi="Times New Roman" w:eastAsia="宋体"/>
          <w:b w:val="0"/>
          <w:i w:val="0"/>
          <w:sz w:val="24"/>
        </w:rPr>
        <w:t>• 时滞效应：各风箱工况参数对CO排放的影响存在不等长的传输延迟（0~60分钟），若不对齐时滞，将引入大量虚假相关噪声。</w:t>
      </w:r>
    </w:p>
    <w:p>
      <w:pPr>
        <w:spacing w:after="0" w:line="400" w:lineRule="exact"/>
        <w:ind w:left="283"/>
      </w:pPr>
      <w:r>
        <w:rPr>
          <w:rFonts w:ascii="Times New Roman" w:hAnsi="Times New Roman" w:eastAsia="宋体"/>
          <w:b w:val="0"/>
          <w:i w:val="0"/>
          <w:sz w:val="24"/>
        </w:rPr>
        <w:t>• 强自回归性：CO浓度序列具有显著的时序自相关（一阶自相关系数&gt;0.9），忽视此特性将导致预测模型严重低估时序依赖带来的预测信息。</w:t>
      </w:r>
    </w:p>
    <w:p>
      <w:pPr>
        <w:spacing w:line="440" w:lineRule="exact" w:after="0"/>
        <w:ind w:firstLine="420"/>
      </w:pPr>
      <w:r>
        <w:rPr>
          <w:rFonts w:ascii="Times New Roman" w:hAnsi="Times New Roman" w:eastAsia="宋体"/>
          <w:b w:val="0"/>
          <w:i w:val="0"/>
          <w:sz w:val="24"/>
        </w:rPr>
        <w:t>综合上述分析，本文建立"FFT互相关时滞识别→多类别特征工程→PSO-XGBoost建模"的完整流程，并通过随机森林和Ridge回归辅助进行特征预筛选与物理可解释性分析。</w:t>
      </w:r>
    </w:p>
    <w:p>
      <w:pPr>
        <w:spacing w:before="160" w:after="80"/>
      </w:pPr>
      <w:r>
        <w:rPr>
          <w:rFonts w:ascii="Times New Roman" w:hAnsi="Times New Roman" w:eastAsia="宋体"/>
          <w:b/>
          <w:i w:val="0"/>
          <w:sz w:val="28"/>
        </w:rPr>
        <w:t>4.2  数据预处理</w:t>
      </w:r>
    </w:p>
    <w:p>
      <w:pPr>
        <w:spacing w:before="80" w:after="80"/>
      </w:pPr>
      <w:r>
        <w:rPr>
          <w:rFonts w:ascii="Times New Roman" w:hAnsi="Times New Roman" w:eastAsia="宋体"/>
          <w:b/>
          <w:i w:val="0"/>
          <w:sz w:val="24"/>
        </w:rPr>
        <w:t>4.2.1  异常值处理</w:t>
      </w:r>
    </w:p>
    <w:p>
      <w:pPr>
        <w:spacing w:line="440" w:lineRule="exact" w:after="0"/>
        <w:ind w:firstLine="420"/>
      </w:pPr>
      <w:r>
        <w:rPr>
          <w:rFonts w:ascii="Times New Roman" w:hAnsi="Times New Roman" w:eastAsia="宋体"/>
          <w:b w:val="0"/>
          <w:i w:val="0"/>
          <w:sz w:val="24"/>
        </w:rPr>
        <w:t>原始工况数据集共约2500条时序记录。通过逐行检视发现，第1045—1061行（共17条）存在传感器失联导致的连续缺失或异常跳变，采用基于索引的精确剔除方法删除该段数据，清洗后保留2315条有效样本。对剩余数据采用Z-score方法统计各变量的离群程度，未发现其余系统性异常段，原始量纲数据保留，待时滞对齐后进行标准化处理。</w:t>
      </w:r>
    </w:p>
    <w:p>
      <w:pPr>
        <w:spacing w:before="80" w:after="80"/>
      </w:pPr>
      <w:r>
        <w:rPr>
          <w:rFonts w:ascii="Times New Roman" w:hAnsi="Times New Roman" w:eastAsia="宋体"/>
          <w:b/>
          <w:i w:val="0"/>
          <w:sz w:val="24"/>
        </w:rPr>
        <w:t>4.2.2  基于FFT互相关的时滞分析</w:t>
      </w:r>
    </w:p>
    <w:p>
      <w:pPr>
        <w:spacing w:line="440" w:lineRule="exact" w:after="0"/>
        <w:ind w:firstLine="420"/>
      </w:pPr>
      <w:r>
        <w:rPr>
          <w:rFonts w:ascii="Times New Roman" w:hAnsi="Times New Roman" w:eastAsia="宋体"/>
          <w:b w:val="0"/>
          <w:i w:val="0"/>
          <w:sz w:val="24"/>
        </w:rPr>
        <w:t>各风箱工况参数对CO浓度的影响存在物理传输延迟，表现为工况信号与CO信号之间的时间错位。本文对每对（工况变量 x, CO浓度 y）序列计算基于快速傅里叶变换（FFT）的互相关函数，在 τ ∈ [−60, +60] 分钟范围内搜索峰值对应的最优时滞。</w:t>
      </w:r>
    </w:p>
    <w:p>
      <w:pPr>
        <w:spacing w:line="440" w:lineRule="exact" w:after="0"/>
        <w:ind w:firstLine="420"/>
      </w:pPr>
      <w:r>
        <w:rPr>
          <w:rFonts w:ascii="Times New Roman" w:hAnsi="Times New Roman" w:eastAsia="宋体"/>
          <w:b w:val="0"/>
          <w:i w:val="0"/>
          <w:sz w:val="24"/>
        </w:rPr>
        <w:t>对于长度为N的时序信号，其离散互相关函数的直接计算复杂度为O(N²)，而FFT加速后的互相关计算复杂度仅为O(N log N)，对于千级样本量而言效率提升显著。互相关计算公式如下：</w:t>
      </w:r>
    </w:p>
    <w:p>
      <w:pPr>
        <w:spacing w:before="60" w:after="60"/>
        <w:jc w:val="center"/>
      </w:pPr>
      <w:r>
        <w:rPr>
          <w:rFonts w:ascii="Times New Roman" w:hAnsi="Times New Roman" w:eastAsia="宋体"/>
          <w:i/>
          <w:sz w:val="24"/>
        </w:rPr>
        <w:t>R_{xy}(τ) = IFFT[ conj(FFT(x̄)) · FFT(ȳ) ]    (1)</w:t>
      </w:r>
    </w:p>
    <w:p>
      <w:pPr>
        <w:spacing w:line="440" w:lineRule="exact" w:after="0"/>
        <w:ind w:firstLine="420"/>
      </w:pPr>
      <w:r>
        <w:rPr>
          <w:rFonts w:ascii="Times New Roman" w:hAnsi="Times New Roman" w:eastAsia="宋体"/>
          <w:b w:val="0"/>
          <w:i w:val="0"/>
          <w:sz w:val="24"/>
        </w:rPr>
        <w:t>其中 x̄、ȳ 分别为零均值归一化后的工况序列与CO序列，τ* = arg max R_{xy}(τ) 即为最优时滞。确定时滞后，对各变量执行 shift(−τ*) 对齐操作，使工况信号在时间轴上与CO响应同步。</w:t>
      </w:r>
    </w:p>
    <w:p>
      <w:pPr>
        <w:spacing w:line="440" w:lineRule="exact" w:after="0"/>
        <w:ind w:firstLine="420"/>
      </w:pPr>
      <w:r>
        <w:rPr>
          <w:rFonts w:ascii="Times New Roman" w:hAnsi="Times New Roman" w:eastAsia="宋体"/>
          <w:b w:val="0"/>
          <w:i w:val="0"/>
          <w:sz w:val="24"/>
        </w:rPr>
        <w:t>图4-1展示了6个代表性变量与CO浓度之间的互相关曲线，互相关峰值对应的时滞清晰可见。机速时滞高达60分钟，说明机速变化对CO的影响需经过完整烧结周期后才会体现；大烟道负压时滞为0，说明大烟道工况与CO的响应几乎同步；温度_16时滞为−1（CO超前），可能反映了局部温度是CO浓度变化的滞后效应。</w:t>
      </w:r>
    </w:p>
    <w:p>
      <w:pPr>
        <w:spacing w:before="80"/>
        <w:jc w:val="center"/>
      </w:pPr>
      <w:r>
        <w:drawing>
          <wp:inline xmlns:a="http://schemas.openxmlformats.org/drawingml/2006/main" xmlns:pic="http://schemas.openxmlformats.org/drawingml/2006/picture">
            <wp:extent cx="5400000" cy="3158637"/>
            <wp:docPr id="1" name="Picture 1"/>
            <wp:cNvGraphicFramePr>
              <a:graphicFrameLocks noChangeAspect="1"/>
            </wp:cNvGraphicFramePr>
            <a:graphic>
              <a:graphicData uri="http://schemas.openxmlformats.org/drawingml/2006/picture">
                <pic:pic>
                  <pic:nvPicPr>
                    <pic:cNvPr id="0" name="fig4_1_lag_analysis.png"/>
                    <pic:cNvPicPr/>
                  </pic:nvPicPr>
                  <pic:blipFill>
                    <a:blip r:embed="rId9"/>
                    <a:stretch>
                      <a:fillRect/>
                    </a:stretch>
                  </pic:blipFill>
                  <pic:spPr>
                    <a:xfrm>
                      <a:off x="0" y="0"/>
                      <a:ext cx="5400000" cy="3158637"/>
                    </a:xfrm>
                    <a:prstGeom prst="rect"/>
                  </pic:spPr>
                </pic:pic>
              </a:graphicData>
            </a:graphic>
          </wp:inline>
        </w:drawing>
      </w:r>
    </w:p>
    <w:p>
      <w:pPr>
        <w:spacing w:before="40" w:after="160"/>
        <w:jc w:val="center"/>
      </w:pPr>
      <w:r>
        <w:rPr>
          <w:rFonts w:ascii="Times New Roman" w:hAnsi="Times New Roman" w:eastAsia="宋体"/>
          <w:b/>
          <w:i w:val="0"/>
          <w:sz w:val="21"/>
        </w:rPr>
        <w:t>图4-1  代表性工况变量与CO浓度的FFT互相关时滞分析（τ∈[−60,+60] min）</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vAlign w:val="center"/>
          </w:tcPr>
          <w:p>
            <w:pPr>
              <w:jc w:val="center"/>
            </w:pPr>
            <w:r>
              <w:rPr>
                <w:rFonts w:ascii="Times New Roman" w:hAnsi="Times New Roman" w:eastAsia="宋体"/>
                <w:b/>
                <w:i w:val="0"/>
                <w:sz w:val="21"/>
              </w:rPr>
              <w:t>变量</w:t>
            </w:r>
          </w:p>
        </w:tc>
        <w:tc>
          <w:tcPr>
            <w:tcW w:type="dxa" w:w="1504"/>
            <w:vAlign w:val="center"/>
          </w:tcPr>
          <w:p>
            <w:pPr>
              <w:jc w:val="center"/>
            </w:pPr>
            <w:r>
              <w:rPr>
                <w:rFonts w:ascii="Times New Roman" w:hAnsi="Times New Roman" w:eastAsia="宋体"/>
                <w:b/>
                <w:i w:val="0"/>
                <w:sz w:val="21"/>
              </w:rPr>
              <w:t>最优时滞(min)</w:t>
            </w:r>
          </w:p>
        </w:tc>
        <w:tc>
          <w:tcPr>
            <w:tcW w:type="dxa" w:w="1504"/>
            <w:vAlign w:val="center"/>
          </w:tcPr>
          <w:p>
            <w:pPr>
              <w:jc w:val="center"/>
            </w:pPr>
            <w:r>
              <w:rPr>
                <w:rFonts w:ascii="Times New Roman" w:hAnsi="Times New Roman" w:eastAsia="宋体"/>
                <w:b/>
                <w:i w:val="0"/>
                <w:sz w:val="21"/>
              </w:rPr>
              <w:t>变量</w:t>
            </w:r>
          </w:p>
        </w:tc>
        <w:tc>
          <w:tcPr>
            <w:tcW w:type="dxa" w:w="1504"/>
            <w:vAlign w:val="center"/>
          </w:tcPr>
          <w:p>
            <w:pPr>
              <w:jc w:val="center"/>
            </w:pPr>
            <w:r>
              <w:rPr>
                <w:rFonts w:ascii="Times New Roman" w:hAnsi="Times New Roman" w:eastAsia="宋体"/>
                <w:b/>
                <w:i w:val="0"/>
                <w:sz w:val="21"/>
              </w:rPr>
              <w:t>最优时滞(min)</w:t>
            </w:r>
          </w:p>
        </w:tc>
        <w:tc>
          <w:tcPr>
            <w:tcW w:type="dxa" w:w="1504"/>
            <w:vAlign w:val="center"/>
          </w:tcPr>
          <w:p>
            <w:pPr>
              <w:jc w:val="center"/>
            </w:pPr>
            <w:r>
              <w:rPr>
                <w:rFonts w:ascii="Times New Roman" w:hAnsi="Times New Roman" w:eastAsia="宋体"/>
                <w:b/>
                <w:i w:val="0"/>
                <w:sz w:val="21"/>
              </w:rPr>
              <w:t>变量</w:t>
            </w:r>
          </w:p>
        </w:tc>
        <w:tc>
          <w:tcPr>
            <w:tcW w:type="dxa" w:w="1504"/>
            <w:vAlign w:val="center"/>
          </w:tcPr>
          <w:p>
            <w:pPr>
              <w:jc w:val="center"/>
            </w:pPr>
            <w:r>
              <w:rPr>
                <w:rFonts w:ascii="Times New Roman" w:hAnsi="Times New Roman" w:eastAsia="宋体"/>
                <w:b/>
                <w:i w:val="0"/>
                <w:sz w:val="21"/>
              </w:rPr>
              <w:t>最优时滞(min)</w:t>
            </w:r>
          </w:p>
        </w:tc>
      </w:tr>
      <w:tr>
        <w:tc>
          <w:tcPr>
            <w:tcW w:type="dxa" w:w="1504"/>
            <w:vAlign w:val="center"/>
          </w:tcPr>
          <w:p>
            <w:pPr>
              <w:jc w:val="center"/>
            </w:pPr>
            <w:r>
              <w:rPr>
                <w:rFonts w:ascii="Times New Roman" w:hAnsi="Times New Roman" w:eastAsia="宋体"/>
                <w:b w:val="0"/>
                <w:i w:val="0"/>
                <w:sz w:val="21"/>
              </w:rPr>
              <w:t>机速</w:t>
            </w:r>
          </w:p>
        </w:tc>
        <w:tc>
          <w:tcPr>
            <w:tcW w:type="dxa" w:w="1504"/>
            <w:vAlign w:val="center"/>
          </w:tcPr>
          <w:p>
            <w:pPr>
              <w:jc w:val="center"/>
            </w:pPr>
            <w:r>
              <w:rPr>
                <w:rFonts w:ascii="Times New Roman" w:hAnsi="Times New Roman" w:eastAsia="宋体"/>
                <w:b w:val="0"/>
                <w:i w:val="0"/>
                <w:sz w:val="21"/>
              </w:rPr>
              <w:t>+60</w:t>
            </w:r>
          </w:p>
        </w:tc>
        <w:tc>
          <w:tcPr>
            <w:tcW w:type="dxa" w:w="1504"/>
            <w:vAlign w:val="center"/>
          </w:tcPr>
          <w:p>
            <w:pPr>
              <w:jc w:val="center"/>
            </w:pPr>
            <w:r>
              <w:rPr>
                <w:rFonts w:ascii="Times New Roman" w:hAnsi="Times New Roman" w:eastAsia="宋体"/>
                <w:b w:val="0"/>
                <w:i w:val="0"/>
                <w:sz w:val="21"/>
              </w:rPr>
              <w:t>负压_1~12</w:t>
            </w:r>
          </w:p>
        </w:tc>
        <w:tc>
          <w:tcPr>
            <w:tcW w:type="dxa" w:w="1504"/>
            <w:vAlign w:val="center"/>
          </w:tcPr>
          <w:p>
            <w:pPr>
              <w:jc w:val="center"/>
            </w:pPr>
            <w:r>
              <w:rPr>
                <w:rFonts w:ascii="Times New Roman" w:hAnsi="Times New Roman" w:eastAsia="宋体"/>
                <w:b w:val="0"/>
                <w:i w:val="0"/>
                <w:sz w:val="21"/>
              </w:rPr>
              <w:t>+1</w:t>
            </w:r>
          </w:p>
        </w:tc>
        <w:tc>
          <w:tcPr>
            <w:tcW w:type="dxa" w:w="1504"/>
            <w:vAlign w:val="center"/>
          </w:tcPr>
          <w:p>
            <w:pPr>
              <w:jc w:val="center"/>
            </w:pPr>
            <w:r>
              <w:rPr>
                <w:rFonts w:ascii="Times New Roman" w:hAnsi="Times New Roman" w:eastAsia="宋体"/>
                <w:b w:val="0"/>
                <w:i w:val="0"/>
                <w:sz w:val="21"/>
              </w:rPr>
              <w:t>大烟道负压_1</w:t>
            </w:r>
          </w:p>
        </w:tc>
        <w:tc>
          <w:tcPr>
            <w:tcW w:type="dxa" w:w="1504"/>
            <w:vAlign w:val="center"/>
          </w:tcPr>
          <w:p>
            <w:pPr>
              <w:jc w:val="center"/>
            </w:pPr>
            <w:r>
              <w:rPr>
                <w:rFonts w:ascii="Times New Roman" w:hAnsi="Times New Roman" w:eastAsia="宋体"/>
                <w:b w:val="0"/>
                <w:i w:val="0"/>
                <w:sz w:val="21"/>
              </w:rPr>
              <w:t>0</w:t>
            </w:r>
          </w:p>
        </w:tc>
      </w:tr>
      <w:tr>
        <w:tc>
          <w:tcPr>
            <w:tcW w:type="dxa" w:w="1504"/>
            <w:vAlign w:val="center"/>
          </w:tcPr>
          <w:p>
            <w:pPr>
              <w:jc w:val="center"/>
            </w:pPr>
            <w:r>
              <w:rPr>
                <w:rFonts w:ascii="Times New Roman" w:hAnsi="Times New Roman" w:eastAsia="宋体"/>
                <w:b w:val="0"/>
                <w:i w:val="0"/>
                <w:sz w:val="21"/>
              </w:rPr>
              <w:t>温度_1</w:t>
            </w:r>
          </w:p>
        </w:tc>
        <w:tc>
          <w:tcPr>
            <w:tcW w:type="dxa" w:w="1504"/>
            <w:vAlign w:val="center"/>
          </w:tcPr>
          <w:p>
            <w:pPr>
              <w:jc w:val="center"/>
            </w:pPr>
            <w:r>
              <w:rPr>
                <w:rFonts w:ascii="Times New Roman" w:hAnsi="Times New Roman" w:eastAsia="宋体"/>
                <w:b w:val="0"/>
                <w:i w:val="0"/>
                <w:sz w:val="21"/>
              </w:rPr>
              <w:t>+18</w:t>
            </w:r>
          </w:p>
        </w:tc>
        <w:tc>
          <w:tcPr>
            <w:tcW w:type="dxa" w:w="1504"/>
            <w:vAlign w:val="center"/>
          </w:tcPr>
          <w:p>
            <w:pPr>
              <w:jc w:val="center"/>
            </w:pPr>
            <w:r>
              <w:rPr>
                <w:rFonts w:ascii="Times New Roman" w:hAnsi="Times New Roman" w:eastAsia="宋体"/>
                <w:b w:val="0"/>
                <w:i w:val="0"/>
                <w:sz w:val="21"/>
              </w:rPr>
              <w:t>温度_8</w:t>
            </w:r>
          </w:p>
        </w:tc>
        <w:tc>
          <w:tcPr>
            <w:tcW w:type="dxa" w:w="1504"/>
            <w:vAlign w:val="center"/>
          </w:tcPr>
          <w:p>
            <w:pPr>
              <w:jc w:val="center"/>
            </w:pPr>
            <w:r>
              <w:rPr>
                <w:rFonts w:ascii="Times New Roman" w:hAnsi="Times New Roman" w:eastAsia="宋体"/>
                <w:b w:val="0"/>
                <w:i w:val="0"/>
                <w:sz w:val="21"/>
              </w:rPr>
              <w:t>+8</w:t>
            </w:r>
          </w:p>
        </w:tc>
        <w:tc>
          <w:tcPr>
            <w:tcW w:type="dxa" w:w="1504"/>
            <w:vAlign w:val="center"/>
          </w:tcPr>
          <w:p>
            <w:pPr>
              <w:jc w:val="center"/>
            </w:pPr>
            <w:r>
              <w:rPr>
                <w:rFonts w:ascii="Times New Roman" w:hAnsi="Times New Roman" w:eastAsia="宋体"/>
                <w:b w:val="0"/>
                <w:i w:val="0"/>
                <w:sz w:val="21"/>
              </w:rPr>
              <w:t>大烟道负压_2</w:t>
            </w:r>
          </w:p>
        </w:tc>
        <w:tc>
          <w:tcPr>
            <w:tcW w:type="dxa" w:w="1504"/>
            <w:vAlign w:val="center"/>
          </w:tcPr>
          <w:p>
            <w:pPr>
              <w:jc w:val="center"/>
            </w:pPr>
            <w:r>
              <w:rPr>
                <w:rFonts w:ascii="Times New Roman" w:hAnsi="Times New Roman" w:eastAsia="宋体"/>
                <w:b w:val="0"/>
                <w:i w:val="0"/>
                <w:sz w:val="21"/>
              </w:rPr>
              <w:t>0</w:t>
            </w:r>
          </w:p>
        </w:tc>
      </w:tr>
      <w:tr>
        <w:tc>
          <w:tcPr>
            <w:tcW w:type="dxa" w:w="1504"/>
            <w:vAlign w:val="center"/>
          </w:tcPr>
          <w:p>
            <w:pPr>
              <w:jc w:val="center"/>
            </w:pPr>
            <w:r>
              <w:rPr>
                <w:rFonts w:ascii="Times New Roman" w:hAnsi="Times New Roman" w:eastAsia="宋体"/>
                <w:b w:val="0"/>
                <w:i w:val="0"/>
                <w:sz w:val="21"/>
              </w:rPr>
              <w:t>温度_10</w:t>
            </w:r>
          </w:p>
        </w:tc>
        <w:tc>
          <w:tcPr>
            <w:tcW w:type="dxa" w:w="1504"/>
            <w:vAlign w:val="center"/>
          </w:tcPr>
          <w:p>
            <w:pPr>
              <w:jc w:val="center"/>
            </w:pPr>
            <w:r>
              <w:rPr>
                <w:rFonts w:ascii="Times New Roman" w:hAnsi="Times New Roman" w:eastAsia="宋体"/>
                <w:b w:val="0"/>
                <w:i w:val="0"/>
                <w:sz w:val="21"/>
              </w:rPr>
              <w:t>+21</w:t>
            </w:r>
          </w:p>
        </w:tc>
        <w:tc>
          <w:tcPr>
            <w:tcW w:type="dxa" w:w="1504"/>
            <w:vAlign w:val="center"/>
          </w:tcPr>
          <w:p>
            <w:pPr>
              <w:jc w:val="center"/>
            </w:pPr>
            <w:r>
              <w:rPr>
                <w:rFonts w:ascii="Times New Roman" w:hAnsi="Times New Roman" w:eastAsia="宋体"/>
                <w:b w:val="0"/>
                <w:i w:val="0"/>
                <w:sz w:val="21"/>
              </w:rPr>
              <w:t>负压_3~5</w:t>
            </w:r>
          </w:p>
        </w:tc>
        <w:tc>
          <w:tcPr>
            <w:tcW w:type="dxa" w:w="1504"/>
            <w:vAlign w:val="center"/>
          </w:tcPr>
          <w:p>
            <w:pPr>
              <w:jc w:val="center"/>
            </w:pPr>
            <w:r>
              <w:rPr>
                <w:rFonts w:ascii="Times New Roman" w:hAnsi="Times New Roman" w:eastAsia="宋体"/>
                <w:b w:val="0"/>
                <w:i w:val="0"/>
                <w:sz w:val="21"/>
              </w:rPr>
              <w:t>−4</w:t>
            </w:r>
          </w:p>
        </w:tc>
        <w:tc>
          <w:tcPr>
            <w:tcW w:type="dxa" w:w="1504"/>
            <w:vAlign w:val="center"/>
          </w:tcPr>
          <w:p>
            <w:pPr>
              <w:jc w:val="center"/>
            </w:pPr>
            <w:r>
              <w:rPr>
                <w:rFonts w:ascii="Times New Roman" w:hAnsi="Times New Roman" w:eastAsia="宋体"/>
                <w:b w:val="0"/>
                <w:i w:val="0"/>
                <w:sz w:val="21"/>
              </w:rPr>
              <w:t>大烟道温度_1</w:t>
            </w:r>
          </w:p>
        </w:tc>
        <w:tc>
          <w:tcPr>
            <w:tcW w:type="dxa" w:w="1504"/>
            <w:vAlign w:val="center"/>
          </w:tcPr>
          <w:p>
            <w:pPr>
              <w:jc w:val="center"/>
            </w:pPr>
            <w:r>
              <w:rPr>
                <w:rFonts w:ascii="Times New Roman" w:hAnsi="Times New Roman" w:eastAsia="宋体"/>
                <w:b w:val="0"/>
                <w:i w:val="0"/>
                <w:sz w:val="21"/>
              </w:rPr>
              <w:t>0</w:t>
            </w:r>
          </w:p>
        </w:tc>
      </w:tr>
      <w:tr>
        <w:tc>
          <w:tcPr>
            <w:tcW w:type="dxa" w:w="1504"/>
            <w:vAlign w:val="center"/>
          </w:tcPr>
          <w:p>
            <w:pPr>
              <w:jc w:val="center"/>
            </w:pPr>
            <w:r>
              <w:rPr>
                <w:rFonts w:ascii="Times New Roman" w:hAnsi="Times New Roman" w:eastAsia="宋体"/>
                <w:b w:val="0"/>
                <w:i w:val="0"/>
                <w:sz w:val="21"/>
              </w:rPr>
              <w:t>温度_16</w:t>
            </w:r>
          </w:p>
        </w:tc>
        <w:tc>
          <w:tcPr>
            <w:tcW w:type="dxa" w:w="1504"/>
            <w:vAlign w:val="center"/>
          </w:tcPr>
          <w:p>
            <w:pPr>
              <w:jc w:val="center"/>
            </w:pPr>
            <w:r>
              <w:rPr>
                <w:rFonts w:ascii="Times New Roman" w:hAnsi="Times New Roman" w:eastAsia="宋体"/>
                <w:b w:val="0"/>
                <w:i w:val="0"/>
                <w:sz w:val="21"/>
              </w:rPr>
              <w:t>−1</w:t>
            </w:r>
          </w:p>
        </w:tc>
        <w:tc>
          <w:tcPr>
            <w:tcW w:type="dxa" w:w="1504"/>
            <w:vAlign w:val="center"/>
          </w:tcPr>
          <w:p>
            <w:pPr>
              <w:jc w:val="center"/>
            </w:pPr>
            <w:r>
              <w:rPr>
                <w:rFonts w:ascii="Times New Roman" w:hAnsi="Times New Roman" w:eastAsia="宋体"/>
                <w:b w:val="0"/>
                <w:i w:val="0"/>
                <w:sz w:val="21"/>
              </w:rPr>
              <w:t>负压_16~18</w:t>
            </w:r>
          </w:p>
        </w:tc>
        <w:tc>
          <w:tcPr>
            <w:tcW w:type="dxa" w:w="1504"/>
            <w:vAlign w:val="center"/>
          </w:tcPr>
          <w:p>
            <w:pPr>
              <w:jc w:val="center"/>
            </w:pPr>
            <w:r>
              <w:rPr>
                <w:rFonts w:ascii="Times New Roman" w:hAnsi="Times New Roman" w:eastAsia="宋体"/>
                <w:b w:val="0"/>
                <w:i w:val="0"/>
                <w:sz w:val="21"/>
              </w:rPr>
              <w:t>+58</w:t>
            </w:r>
          </w:p>
        </w:tc>
        <w:tc>
          <w:tcPr>
            <w:tcW w:type="dxa" w:w="1504"/>
            <w:vAlign w:val="center"/>
          </w:tcPr>
          <w:p>
            <w:pPr>
              <w:jc w:val="center"/>
            </w:pPr>
            <w:r>
              <w:rPr>
                <w:rFonts w:ascii="Times New Roman" w:hAnsi="Times New Roman" w:eastAsia="宋体"/>
                <w:b w:val="0"/>
                <w:i w:val="0"/>
                <w:sz w:val="21"/>
              </w:rPr>
              <w:t>大烟道温度_2</w:t>
            </w:r>
          </w:p>
        </w:tc>
        <w:tc>
          <w:tcPr>
            <w:tcW w:type="dxa" w:w="1504"/>
            <w:vAlign w:val="center"/>
          </w:tcPr>
          <w:p>
            <w:pPr>
              <w:jc w:val="center"/>
            </w:pPr>
            <w:r>
              <w:rPr>
                <w:rFonts w:ascii="Times New Roman" w:hAnsi="Times New Roman" w:eastAsia="宋体"/>
                <w:b w:val="0"/>
                <w:i w:val="0"/>
                <w:sz w:val="21"/>
              </w:rPr>
              <w:t>+3</w:t>
            </w:r>
          </w:p>
        </w:tc>
      </w:tr>
    </w:tbl>
    <w:p>
      <w:pPr>
        <w:spacing w:before="40" w:after="160"/>
        <w:jc w:val="center"/>
      </w:pPr>
      <w:r>
        <w:rPr>
          <w:rFonts w:ascii="Times New Roman" w:hAnsi="Times New Roman" w:eastAsia="宋体"/>
          <w:b/>
          <w:i w:val="0"/>
          <w:sz w:val="21"/>
        </w:rPr>
        <w:t>表4-1  各主要工况变量与CO浓度的最优时滞（FFT互相关法）</w:t>
      </w:r>
    </w:p>
    <w:p>
      <w:pPr>
        <w:spacing w:before="80" w:after="80"/>
      </w:pPr>
      <w:r>
        <w:rPr>
          <w:rFonts w:ascii="Times New Roman" w:hAnsi="Times New Roman" w:eastAsia="宋体"/>
          <w:b/>
          <w:i w:val="0"/>
          <w:sz w:val="24"/>
        </w:rPr>
        <w:t>4.2.3  数据标准化</w:t>
      </w:r>
    </w:p>
    <w:p>
      <w:pPr>
        <w:spacing w:line="440" w:lineRule="exact" w:after="0"/>
        <w:ind w:firstLine="420"/>
      </w:pPr>
      <w:r>
        <w:rPr>
          <w:rFonts w:ascii="Times New Roman" w:hAnsi="Times New Roman" w:eastAsia="宋体"/>
          <w:b w:val="0"/>
          <w:i w:val="0"/>
          <w:sz w:val="24"/>
        </w:rPr>
        <w:t>对时滞对齐后的全量特征矩阵执行零均值单位方差标准化（Z-score Normalization）：</w:t>
      </w:r>
    </w:p>
    <w:p>
      <w:pPr>
        <w:spacing w:before="60" w:after="60"/>
        <w:jc w:val="center"/>
      </w:pPr>
      <w:r>
        <w:rPr>
          <w:rFonts w:ascii="Times New Roman" w:hAnsi="Times New Roman" w:eastAsia="宋体"/>
          <w:i/>
          <w:sz w:val="24"/>
        </w:rPr>
        <w:t>x'ᵢ = (xᵢ − μᵢ) / σᵢ    (2)</w:t>
      </w:r>
    </w:p>
    <w:p>
      <w:pPr>
        <w:spacing w:line="440" w:lineRule="exact" w:after="0"/>
        <w:ind w:firstLine="420"/>
      </w:pPr>
      <w:r>
        <w:rPr>
          <w:rFonts w:ascii="Times New Roman" w:hAnsi="Times New Roman" w:eastAsia="宋体"/>
          <w:b w:val="0"/>
          <w:i w:val="0"/>
          <w:sz w:val="24"/>
        </w:rPr>
        <w:t>标准化参数 μᵢ（均值）和 σᵢ（标准差）仅在训练集上估计，并将相同参数应用于测试集，从而严格避免测试集信息泄漏（data leakage）导致的性能高估。</w:t>
      </w:r>
    </w:p>
    <w:p>
      <w:pPr>
        <w:spacing w:before="80" w:after="80"/>
      </w:pPr>
      <w:r>
        <w:rPr>
          <w:rFonts w:ascii="Times New Roman" w:hAnsi="Times New Roman" w:eastAsia="宋体"/>
          <w:b/>
          <w:i w:val="0"/>
          <w:sz w:val="24"/>
        </w:rPr>
        <w:t>4.2.4  特征重要性预分析（随机森林 + Ridge回归）</w:t>
      </w:r>
    </w:p>
    <w:p>
      <w:pPr>
        <w:spacing w:line="440" w:lineRule="exact" w:after="0"/>
        <w:ind w:firstLine="420"/>
      </w:pPr>
      <w:r>
        <w:rPr>
          <w:rFonts w:ascii="Times New Roman" w:hAnsi="Times New Roman" w:eastAsia="宋体"/>
          <w:b w:val="0"/>
          <w:i w:val="0"/>
          <w:sz w:val="24"/>
        </w:rPr>
        <w:t>在正式特征工程之前，对原始18维压力/温度变量进行预分析，以确认各变量对CO的贡献方向与相对重要程度，为特征工程设计提供物理依据。</w:t>
      </w:r>
    </w:p>
    <w:p>
      <w:pPr>
        <w:spacing w:line="440" w:lineRule="exact" w:after="0"/>
        <w:ind w:firstLine="420"/>
      </w:pPr>
      <w:r>
        <w:rPr>
          <w:rFonts w:ascii="Times New Roman" w:hAnsi="Times New Roman" w:eastAsia="宋体"/>
          <w:b w:val="0"/>
          <w:i w:val="0"/>
          <w:sz w:val="24"/>
        </w:rPr>
        <w:t>（1）随机森林重要性排序（n_estimators=100）：利用基于不纯度减少量（Impurity Decrease）的特征重要性对各物理变量进行全局排序。结果显示温度类变量贡献58.5%，负压类25.2%，大烟道参数15.1%，机速5.7%。单变量排名前三：温度_14（8.6%）、温度_10（8.6%）、大烟道温度_2（7.5%）。温度主导的结论与烧结机理一致：料层温度直接决定碳的氧化程度。</w:t>
      </w:r>
    </w:p>
    <w:p>
      <w:pPr>
        <w:spacing w:line="440" w:lineRule="exact" w:after="0"/>
        <w:ind w:firstLine="420"/>
      </w:pPr>
      <w:r>
        <w:rPr>
          <w:rFonts w:ascii="Times New Roman" w:hAnsi="Times New Roman" w:eastAsia="宋体"/>
          <w:b w:val="0"/>
          <w:i w:val="0"/>
          <w:sz w:val="24"/>
        </w:rPr>
        <w:t>（2）Ridge回归方向分析（α=1.0，标准化输入）：系数正负号反映各变量对CO的线性影响方向。大烟道负压_1（系数−241.34）增大主烟道抽力可降低CO；大烟道负压_2（+191.48）存在局部回流效应使CO升高；温度_10（+146.80）高温促进CO生成。上述分析揭示了大烟道负压对CO的双向调控机制，为问题三的压力优化提供方向性约束。</w:t>
      </w:r>
    </w:p>
    <w:p>
      <w:pPr>
        <w:spacing w:before="160" w:after="80"/>
      </w:pPr>
      <w:r>
        <w:rPr>
          <w:rFonts w:ascii="Times New Roman" w:hAnsi="Times New Roman" w:eastAsia="宋体"/>
          <w:b/>
          <w:i w:val="0"/>
          <w:sz w:val="28"/>
        </w:rPr>
        <w:t>4.3  数据集构建与划分</w:t>
      </w:r>
    </w:p>
    <w:p>
      <w:pPr>
        <w:spacing w:before="80" w:after="80"/>
      </w:pPr>
      <w:r>
        <w:rPr>
          <w:rFonts w:ascii="Times New Roman" w:hAnsi="Times New Roman" w:eastAsia="宋体"/>
          <w:b/>
          <w:i w:val="0"/>
          <w:sz w:val="24"/>
        </w:rPr>
        <w:t>4.3.1  特征工程（84维特征体系）</w:t>
      </w:r>
    </w:p>
    <w:p>
      <w:pPr>
        <w:spacing w:line="440" w:lineRule="exact" w:after="0"/>
        <w:ind w:firstLine="420"/>
      </w:pPr>
      <w:r>
        <w:rPr>
          <w:rFonts w:ascii="Times New Roman" w:hAnsi="Times New Roman" w:eastAsia="宋体"/>
          <w:b w:val="0"/>
          <w:i w:val="0"/>
          <w:sz w:val="24"/>
        </w:rPr>
        <w:t>在时滞对齐数据的基础上，构建如下四类共84维特征，全面捕捉工况参数与CO浓度之间的物理关联。图4-2展示了特征体系的类别分布与维度构成。</w:t>
      </w:r>
    </w:p>
    <w:p>
      <w:pPr>
        <w:spacing w:before="80"/>
        <w:jc w:val="center"/>
      </w:pPr>
      <w:r>
        <w:drawing>
          <wp:inline xmlns:a="http://schemas.openxmlformats.org/drawingml/2006/main" xmlns:pic="http://schemas.openxmlformats.org/drawingml/2006/picture">
            <wp:extent cx="5040000" cy="2436320"/>
            <wp:docPr id="2" name="Picture 2"/>
            <wp:cNvGraphicFramePr>
              <a:graphicFrameLocks noChangeAspect="1"/>
            </wp:cNvGraphicFramePr>
            <a:graphic>
              <a:graphicData uri="http://schemas.openxmlformats.org/drawingml/2006/picture">
                <pic:pic>
                  <pic:nvPicPr>
                    <pic:cNvPr id="0" name="fig4_2_features.png"/>
                    <pic:cNvPicPr/>
                  </pic:nvPicPr>
                  <pic:blipFill>
                    <a:blip r:embed="rId10"/>
                    <a:stretch>
                      <a:fillRect/>
                    </a:stretch>
                  </pic:blipFill>
                  <pic:spPr>
                    <a:xfrm>
                      <a:off x="0" y="0"/>
                      <a:ext cx="5040000" cy="2436320"/>
                    </a:xfrm>
                    <a:prstGeom prst="rect"/>
                  </pic:spPr>
                </pic:pic>
              </a:graphicData>
            </a:graphic>
          </wp:inline>
        </w:drawing>
      </w:r>
    </w:p>
    <w:p>
      <w:pPr>
        <w:spacing w:before="40" w:after="160"/>
        <w:jc w:val="center"/>
      </w:pPr>
      <w:r>
        <w:rPr>
          <w:rFonts w:ascii="Times New Roman" w:hAnsi="Times New Roman" w:eastAsia="宋体"/>
          <w:b/>
          <w:i w:val="0"/>
          <w:sz w:val="21"/>
        </w:rPr>
        <w:t>图4-2  84维特征工程体系的类别分布与维度构成</w:t>
      </w:r>
    </w:p>
    <w:p>
      <w:pPr>
        <w:spacing w:line="440" w:lineRule="exact" w:after="0"/>
        <w:ind w:firstLine="420"/>
      </w:pPr>
      <w:r>
        <w:rPr>
          <w:rFonts w:ascii="Times New Roman" w:hAnsi="Times New Roman" w:eastAsia="宋体"/>
          <w:b w:val="0"/>
          <w:i w:val="0"/>
          <w:sz w:val="24"/>
        </w:rPr>
        <w:t>（1）物理基础特征（41维）：时滞对齐后的机速（1维）、18路风箱负压（18维）、18路风箱温度（18维）及大烟道负压/温度（4维），直接反映各工位的物理工况状态。</w:t>
      </w:r>
    </w:p>
    <w:p>
      <w:pPr>
        <w:spacing w:line="440" w:lineRule="exact" w:after="0"/>
        <w:ind w:firstLine="420"/>
      </w:pPr>
      <w:r>
        <w:rPr>
          <w:rFonts w:ascii="Times New Roman" w:hAnsi="Times New Roman" w:eastAsia="宋体"/>
          <w:b w:val="0"/>
          <w:i w:val="0"/>
          <w:sz w:val="24"/>
        </w:rPr>
        <w:t>（2）梯度特征（34维）：相邻风箱的压力差 pgrad_i = P_{i+1,al} − P_{i,al} 与温度差 tgrad_i = T_{i+1,al} − T_{i,al}（i=1…17），描述沿烧结机纵向的梯度分布，刻画燃烧锋面的传播速度与不均匀性。</w:t>
      </w:r>
    </w:p>
    <w:p>
      <w:pPr>
        <w:spacing w:line="440" w:lineRule="exact" w:after="0"/>
        <w:ind w:firstLine="420"/>
      </w:pPr>
      <w:r>
        <w:rPr>
          <w:rFonts w:ascii="Times New Roman" w:hAnsi="Times New Roman" w:eastAsia="宋体"/>
          <w:b w:val="0"/>
          <w:i w:val="0"/>
          <w:sz w:val="24"/>
        </w:rPr>
        <w:t>（3）统计特征（4维）：全程平均负压 p_mean = (1/18)Σ Pᵢ、中段（6#–12#）平均负压 p_mid、后段（13#–18#）平均负压 p_back 和后段平均温度 t_back，捕捉全局工况的宏观统计状态。</w:t>
      </w:r>
    </w:p>
    <w:p>
      <w:pPr>
        <w:spacing w:line="440" w:lineRule="exact" w:after="0"/>
        <w:ind w:firstLine="420"/>
      </w:pPr>
      <w:r>
        <w:rPr>
          <w:rFonts w:ascii="Times New Roman" w:hAnsi="Times New Roman" w:eastAsia="宋体"/>
          <w:b w:val="0"/>
          <w:i w:val="0"/>
          <w:sz w:val="24"/>
        </w:rPr>
        <w:t>（4）CO自回归特征（5维）：利用CO序列的强时序自相关性引入滞后特征。包括：co_lag1（前1时刻值）、co_lag2（前2时刻）、co_lag5（前5时刻）、co_ma5（5步移动均值）、co_diff1（一阶差分，即变化率），实验表明这5个特征合计贡献了XGBoost模型66.71%的预测重要性。</w:t>
      </w:r>
    </w:p>
    <w:p>
      <w:pPr>
        <w:spacing w:before="80" w:after="80"/>
      </w:pPr>
      <w:r>
        <w:rPr>
          <w:rFonts w:ascii="Times New Roman" w:hAnsi="Times New Roman" w:eastAsia="宋体"/>
          <w:b/>
          <w:i w:val="0"/>
          <w:sz w:val="24"/>
        </w:rPr>
        <w:t>4.3.2  训练/测试集划分</w:t>
      </w:r>
    </w:p>
    <w:p>
      <w:pPr>
        <w:spacing w:line="440" w:lineRule="exact" w:after="0"/>
        <w:ind w:firstLine="420"/>
      </w:pPr>
      <w:r>
        <w:rPr>
          <w:rFonts w:ascii="Times New Roman" w:hAnsi="Times New Roman" w:eastAsia="宋体"/>
          <w:b w:val="0"/>
          <w:i w:val="0"/>
          <w:sz w:val="24"/>
        </w:rPr>
        <w:t>去除初始窗口缺失值后，最终可用样本共2315条。按时间顺序执行70/30划分：前1620条作为训练集，后695条作为测试集（时序不打乱，防止数据泄漏）。在PSO超参数寻优过程中，内部采用3折时序交叉验证（TimeSeriesSplit）评估泛化性能；最终模型评估另采用5折滚动交叉验证，综合衡量模型在不同时间段的稳定性。</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tcPr>
          <w:p>
            <w:pPr>
              <w:jc w:val="center"/>
            </w:pPr>
            <w:r>
              <w:rPr>
                <w:rFonts w:ascii="Times New Roman" w:hAnsi="Times New Roman" w:eastAsia="宋体"/>
                <w:b/>
                <w:i w:val="0"/>
                <w:sz w:val="21"/>
              </w:rPr>
              <w:t>划分方式</w:t>
            </w:r>
          </w:p>
        </w:tc>
        <w:tc>
          <w:tcPr>
            <w:tcW w:type="dxa" w:w="2256"/>
            <w:vAlign w:val="center"/>
          </w:tcPr>
          <w:p>
            <w:pPr>
              <w:jc w:val="center"/>
            </w:pPr>
            <w:r>
              <w:rPr>
                <w:rFonts w:ascii="Times New Roman" w:hAnsi="Times New Roman" w:eastAsia="宋体"/>
                <w:b/>
                <w:i w:val="0"/>
                <w:sz w:val="21"/>
              </w:rPr>
              <w:t>训练集</w:t>
            </w:r>
          </w:p>
        </w:tc>
        <w:tc>
          <w:tcPr>
            <w:tcW w:type="dxa" w:w="2256"/>
            <w:vAlign w:val="center"/>
          </w:tcPr>
          <w:p>
            <w:pPr>
              <w:jc w:val="center"/>
            </w:pPr>
            <w:r>
              <w:rPr>
                <w:rFonts w:ascii="Times New Roman" w:hAnsi="Times New Roman" w:eastAsia="宋体"/>
                <w:b/>
                <w:i w:val="0"/>
                <w:sz w:val="21"/>
              </w:rPr>
              <w:t>测试集</w:t>
            </w:r>
          </w:p>
        </w:tc>
        <w:tc>
          <w:tcPr>
            <w:tcW w:type="dxa" w:w="2256"/>
            <w:vAlign w:val="center"/>
          </w:tcPr>
          <w:p>
            <w:pPr>
              <w:jc w:val="center"/>
            </w:pPr>
            <w:r>
              <w:rPr>
                <w:rFonts w:ascii="Times New Roman" w:hAnsi="Times New Roman" w:eastAsia="宋体"/>
                <w:b/>
                <w:i w:val="0"/>
                <w:sz w:val="21"/>
              </w:rPr>
              <w:t>说明</w:t>
            </w:r>
          </w:p>
        </w:tc>
      </w:tr>
      <w:tr>
        <w:tc>
          <w:tcPr>
            <w:tcW w:type="dxa" w:w="2256"/>
            <w:vAlign w:val="center"/>
          </w:tcPr>
          <w:p>
            <w:pPr>
              <w:jc w:val="center"/>
            </w:pPr>
            <w:r>
              <w:rPr>
                <w:rFonts w:ascii="Times New Roman" w:hAnsi="Times New Roman" w:eastAsia="宋体"/>
                <w:b w:val="0"/>
                <w:i w:val="0"/>
                <w:sz w:val="21"/>
              </w:rPr>
              <w:t>70/30时序划分</w:t>
            </w:r>
          </w:p>
        </w:tc>
        <w:tc>
          <w:tcPr>
            <w:tcW w:type="dxa" w:w="2256"/>
            <w:vAlign w:val="center"/>
          </w:tcPr>
          <w:p>
            <w:pPr>
              <w:jc w:val="center"/>
            </w:pPr>
            <w:r>
              <w:rPr>
                <w:rFonts w:ascii="Times New Roman" w:hAnsi="Times New Roman" w:eastAsia="宋体"/>
                <w:b w:val="0"/>
                <w:i w:val="0"/>
                <w:sz w:val="21"/>
              </w:rPr>
              <w:t>1620条</w:t>
            </w:r>
          </w:p>
        </w:tc>
        <w:tc>
          <w:tcPr>
            <w:tcW w:type="dxa" w:w="2256"/>
            <w:vAlign w:val="center"/>
          </w:tcPr>
          <w:p>
            <w:pPr>
              <w:jc w:val="center"/>
            </w:pPr>
            <w:r>
              <w:rPr>
                <w:rFonts w:ascii="Times New Roman" w:hAnsi="Times New Roman" w:eastAsia="宋体"/>
                <w:b w:val="0"/>
                <w:i w:val="0"/>
                <w:sz w:val="21"/>
              </w:rPr>
              <w:t>695条</w:t>
            </w:r>
          </w:p>
        </w:tc>
        <w:tc>
          <w:tcPr>
            <w:tcW w:type="dxa" w:w="2256"/>
            <w:vAlign w:val="center"/>
          </w:tcPr>
          <w:p>
            <w:pPr>
              <w:jc w:val="center"/>
            </w:pPr>
            <w:r>
              <w:rPr>
                <w:rFonts w:ascii="Times New Roman" w:hAnsi="Times New Roman" w:eastAsia="宋体"/>
                <w:b w:val="0"/>
                <w:i w:val="0"/>
                <w:sz w:val="21"/>
              </w:rPr>
              <w:t>主要评估指标来源</w:t>
            </w:r>
          </w:p>
        </w:tc>
      </w:tr>
      <w:tr>
        <w:tc>
          <w:tcPr>
            <w:tcW w:type="dxa" w:w="2256"/>
            <w:vAlign w:val="center"/>
          </w:tcPr>
          <w:p>
            <w:pPr>
              <w:jc w:val="center"/>
            </w:pPr>
            <w:r>
              <w:rPr>
                <w:rFonts w:ascii="Times New Roman" w:hAnsi="Times New Roman" w:eastAsia="宋体"/>
                <w:b w:val="0"/>
                <w:i w:val="0"/>
                <w:sz w:val="21"/>
              </w:rPr>
              <w:t>3折时序CV（PSO内部）</w:t>
            </w:r>
          </w:p>
        </w:tc>
        <w:tc>
          <w:tcPr>
            <w:tcW w:type="dxa" w:w="2256"/>
            <w:vAlign w:val="center"/>
          </w:tcPr>
          <w:p>
            <w:pPr>
              <w:jc w:val="center"/>
            </w:pPr>
            <w:r>
              <w:rPr>
                <w:rFonts w:ascii="Times New Roman" w:hAnsi="Times New Roman" w:eastAsia="宋体"/>
                <w:b w:val="0"/>
                <w:i w:val="0"/>
                <w:sz w:val="21"/>
              </w:rPr>
              <w:t>变化</w:t>
            </w:r>
          </w:p>
        </w:tc>
        <w:tc>
          <w:tcPr>
            <w:tcW w:type="dxa" w:w="2256"/>
            <w:vAlign w:val="center"/>
          </w:tcPr>
          <w:p>
            <w:pPr>
              <w:jc w:val="center"/>
            </w:pPr>
            <w:r>
              <w:rPr>
                <w:rFonts w:ascii="Times New Roman" w:hAnsi="Times New Roman" w:eastAsia="宋体"/>
                <w:b w:val="0"/>
                <w:i w:val="0"/>
                <w:sz w:val="21"/>
              </w:rPr>
              <w:t>变化</w:t>
            </w:r>
          </w:p>
        </w:tc>
        <w:tc>
          <w:tcPr>
            <w:tcW w:type="dxa" w:w="2256"/>
            <w:vAlign w:val="center"/>
          </w:tcPr>
          <w:p>
            <w:pPr>
              <w:jc w:val="center"/>
            </w:pPr>
            <w:r>
              <w:rPr>
                <w:rFonts w:ascii="Times New Roman" w:hAnsi="Times New Roman" w:eastAsia="宋体"/>
                <w:b w:val="0"/>
                <w:i w:val="0"/>
                <w:sz w:val="21"/>
              </w:rPr>
              <w:t>超参数搜索时使用</w:t>
            </w:r>
          </w:p>
        </w:tc>
      </w:tr>
      <w:tr>
        <w:tc>
          <w:tcPr>
            <w:tcW w:type="dxa" w:w="2256"/>
            <w:vAlign w:val="center"/>
          </w:tcPr>
          <w:p>
            <w:pPr>
              <w:jc w:val="center"/>
            </w:pPr>
            <w:r>
              <w:rPr>
                <w:rFonts w:ascii="Times New Roman" w:hAnsi="Times New Roman" w:eastAsia="宋体"/>
                <w:b w:val="0"/>
                <w:i w:val="0"/>
                <w:sz w:val="21"/>
              </w:rPr>
              <w:t>5折时序CV（最终验证）</w:t>
            </w:r>
          </w:p>
        </w:tc>
        <w:tc>
          <w:tcPr>
            <w:tcW w:type="dxa" w:w="2256"/>
            <w:vAlign w:val="center"/>
          </w:tcPr>
          <w:p>
            <w:pPr>
              <w:jc w:val="center"/>
            </w:pPr>
            <w:r>
              <w:rPr>
                <w:rFonts w:ascii="Times New Roman" w:hAnsi="Times New Roman" w:eastAsia="宋体"/>
                <w:b w:val="0"/>
                <w:i w:val="0"/>
                <w:sz w:val="21"/>
              </w:rPr>
              <w:t>变化</w:t>
            </w:r>
          </w:p>
        </w:tc>
        <w:tc>
          <w:tcPr>
            <w:tcW w:type="dxa" w:w="2256"/>
            <w:vAlign w:val="center"/>
          </w:tcPr>
          <w:p>
            <w:pPr>
              <w:jc w:val="center"/>
            </w:pPr>
            <w:r>
              <w:rPr>
                <w:rFonts w:ascii="Times New Roman" w:hAnsi="Times New Roman" w:eastAsia="宋体"/>
                <w:b w:val="0"/>
                <w:i w:val="0"/>
                <w:sz w:val="21"/>
              </w:rPr>
              <w:t>385条/折</w:t>
            </w:r>
          </w:p>
        </w:tc>
        <w:tc>
          <w:tcPr>
            <w:tcW w:type="dxa" w:w="2256"/>
            <w:vAlign w:val="center"/>
          </w:tcPr>
          <w:p>
            <w:pPr>
              <w:jc w:val="center"/>
            </w:pPr>
            <w:r>
              <w:rPr>
                <w:rFonts w:ascii="Times New Roman" w:hAnsi="Times New Roman" w:eastAsia="宋体"/>
                <w:b w:val="0"/>
                <w:i w:val="0"/>
                <w:sz w:val="21"/>
              </w:rPr>
              <w:t>综合稳定性验证</w:t>
            </w:r>
          </w:p>
        </w:tc>
      </w:tr>
    </w:tbl>
    <w:p>
      <w:pPr>
        <w:spacing w:before="40" w:after="160"/>
        <w:jc w:val="center"/>
      </w:pPr>
      <w:r>
        <w:rPr>
          <w:rFonts w:ascii="Times New Roman" w:hAnsi="Times New Roman" w:eastAsia="宋体"/>
          <w:b/>
          <w:i w:val="0"/>
          <w:sz w:val="21"/>
        </w:rPr>
        <w:t>表4-2  数据集划分方案</w:t>
      </w:r>
    </w:p>
    <w:p>
      <w:pPr>
        <w:spacing w:before="160" w:after="80"/>
      </w:pPr>
      <w:r>
        <w:rPr>
          <w:rFonts w:ascii="Times New Roman" w:hAnsi="Times New Roman" w:eastAsia="宋体"/>
          <w:b/>
          <w:i w:val="0"/>
          <w:sz w:val="28"/>
        </w:rPr>
        <w:t>4.4  模型建立</w:t>
      </w:r>
    </w:p>
    <w:p>
      <w:pPr>
        <w:spacing w:line="440" w:lineRule="exact" w:after="0"/>
        <w:ind w:firstLine="420"/>
      </w:pPr>
      <w:r>
        <w:rPr>
          <w:rFonts w:ascii="Times New Roman" w:hAnsi="Times New Roman" w:eastAsia="宋体"/>
          <w:b w:val="0"/>
          <w:i w:val="0"/>
          <w:sz w:val="24"/>
        </w:rPr>
        <w:t>本文以PSO-XGBoost为核心预测模型，同时建立SVM、DNN、LSTM、1D-CNN四种基线模型进行性能对比，以验证所提方法的优越性。各模型架构示意见图4-3。</w:t>
      </w:r>
    </w:p>
    <w:p>
      <w:pPr>
        <w:spacing w:before="80"/>
        <w:jc w:val="center"/>
      </w:pPr>
      <w:r>
        <w:drawing>
          <wp:inline xmlns:a="http://schemas.openxmlformats.org/drawingml/2006/main" xmlns:pic="http://schemas.openxmlformats.org/drawingml/2006/picture">
            <wp:extent cx="5760000" cy="3745900"/>
            <wp:docPr id="3" name="Picture 3"/>
            <wp:cNvGraphicFramePr>
              <a:graphicFrameLocks noChangeAspect="1"/>
            </wp:cNvGraphicFramePr>
            <a:graphic>
              <a:graphicData uri="http://schemas.openxmlformats.org/drawingml/2006/picture">
                <pic:pic>
                  <pic:nvPicPr>
                    <pic:cNvPr id="0" name="fig4_3_architectures.png"/>
                    <pic:cNvPicPr/>
                  </pic:nvPicPr>
                  <pic:blipFill>
                    <a:blip r:embed="rId11"/>
                    <a:stretch>
                      <a:fillRect/>
                    </a:stretch>
                  </pic:blipFill>
                  <pic:spPr>
                    <a:xfrm>
                      <a:off x="0" y="0"/>
                      <a:ext cx="5760000" cy="3745900"/>
                    </a:xfrm>
                    <a:prstGeom prst="rect"/>
                  </pic:spPr>
                </pic:pic>
              </a:graphicData>
            </a:graphic>
          </wp:inline>
        </w:drawing>
      </w:r>
    </w:p>
    <w:p>
      <w:pPr>
        <w:spacing w:before="40" w:after="160"/>
        <w:jc w:val="center"/>
      </w:pPr>
      <w:r>
        <w:rPr>
          <w:rFonts w:ascii="Times New Roman" w:hAnsi="Times New Roman" w:eastAsia="宋体"/>
          <w:b/>
          <w:i w:val="0"/>
          <w:sz w:val="21"/>
        </w:rPr>
        <w:t>图4-3  五种预测模型架构示意图</w:t>
      </w:r>
    </w:p>
    <w:p>
      <w:pPr>
        <w:spacing w:before="80" w:after="80"/>
      </w:pPr>
      <w:r>
        <w:rPr>
          <w:rFonts w:ascii="Times New Roman" w:hAnsi="Times New Roman" w:eastAsia="宋体"/>
          <w:b/>
          <w:i w:val="0"/>
          <w:sz w:val="24"/>
        </w:rPr>
        <w:t>4.4.1  支持向量机（SVM）</w:t>
      </w:r>
    </w:p>
    <w:p>
      <w:pPr>
        <w:spacing w:line="440" w:lineRule="exact" w:after="0"/>
        <w:ind w:firstLine="420"/>
      </w:pPr>
      <w:r>
        <w:rPr>
          <w:rFonts w:ascii="Times New Roman" w:hAnsi="Times New Roman" w:eastAsia="宋体"/>
          <w:b w:val="0"/>
          <w:i w:val="0"/>
          <w:sz w:val="24"/>
        </w:rPr>
        <w:t>SVM通过核函数 Φ(·) 将非线性可分的输入 x ∈ ℝ⁸⁴ 映射至高维特征空间，在该空间中构建最大间隔超平面实现回归预测。分类器表达式为：</w:t>
      </w:r>
    </w:p>
    <w:p>
      <w:pPr>
        <w:spacing w:before="60" w:after="60"/>
        <w:jc w:val="center"/>
      </w:pPr>
      <w:r>
        <w:rPr>
          <w:rFonts w:ascii="Times New Roman" w:hAnsi="Times New Roman" w:eastAsia="宋体"/>
          <w:i/>
          <w:sz w:val="24"/>
        </w:rPr>
        <w:t>f(x) = wᵀΦ(x) + b    (3)</w:t>
      </w:r>
    </w:p>
    <w:p>
      <w:pPr>
        <w:spacing w:line="440" w:lineRule="exact" w:after="0"/>
        <w:ind w:firstLine="420"/>
      </w:pPr>
      <w:r>
        <w:rPr>
          <w:rFonts w:ascii="Times New Roman" w:hAnsi="Times New Roman" w:eastAsia="宋体"/>
          <w:b w:val="0"/>
          <w:i w:val="0"/>
          <w:sz w:val="24"/>
        </w:rPr>
        <w:t>通过最小化如下正则化损失寻找最优超平面：</w:t>
      </w:r>
    </w:p>
    <w:p>
      <w:pPr>
        <w:spacing w:before="60" w:after="60"/>
        <w:jc w:val="center"/>
      </w:pPr>
      <w:r>
        <w:rPr>
          <w:rFonts w:ascii="Times New Roman" w:hAnsi="Times New Roman" w:eastAsia="宋体"/>
          <w:i/>
          <w:sz w:val="24"/>
        </w:rPr>
        <w:t>min J(w, ξ) = ½‖w‖² + C·Σᵢ ξᵢ    (4)</w:t>
      </w:r>
    </w:p>
    <w:p>
      <w:pPr>
        <w:spacing w:before="60" w:after="60"/>
        <w:jc w:val="center"/>
      </w:pPr>
      <w:r>
        <w:rPr>
          <w:rFonts w:ascii="Times New Roman" w:hAnsi="Times New Roman" w:eastAsia="宋体"/>
          <w:i/>
          <w:sz w:val="24"/>
        </w:rPr>
        <w:t>s.t.  yᵢ(wᵀΦ(xᵢ)+b) ≥ 1−ξᵢ,  ξᵢ ≥ 0    (5)</w:t>
      </w:r>
    </w:p>
    <w:p>
      <w:pPr>
        <w:spacing w:line="440" w:lineRule="exact" w:after="0"/>
        <w:ind w:firstLine="420"/>
      </w:pPr>
      <w:r>
        <w:rPr>
          <w:rFonts w:ascii="Times New Roman" w:hAnsi="Times New Roman" w:eastAsia="宋体"/>
          <w:b w:val="0"/>
          <w:i w:val="0"/>
          <w:sz w:val="24"/>
        </w:rPr>
        <w:t>本文选用RBF径向基核函数 K(x,x') = exp(−γ‖x−x'‖²)，惩罚系数C=10，γ采用自动估算（γ=1/(n_features·Var(X))）。SVM在本84维场景下存在较高的计算复杂度（O(n²)~O(n³)），且对时序结构缺乏建模能力，测试集R²约为0.71。</w:t>
      </w:r>
    </w:p>
    <w:p>
      <w:pPr>
        <w:spacing w:before="80" w:after="80"/>
      </w:pPr>
      <w:r>
        <w:rPr>
          <w:rFonts w:ascii="Times New Roman" w:hAnsi="Times New Roman" w:eastAsia="宋体"/>
          <w:b/>
          <w:i w:val="0"/>
          <w:sz w:val="24"/>
        </w:rPr>
        <w:t>4.4.2  全连接神经网络（DNN）</w:t>
      </w:r>
    </w:p>
    <w:p>
      <w:pPr>
        <w:spacing w:line="440" w:lineRule="exact" w:after="0"/>
        <w:ind w:firstLine="420"/>
      </w:pPr>
      <w:r>
        <w:rPr>
          <w:rFonts w:ascii="Times New Roman" w:hAnsi="Times New Roman" w:eastAsia="宋体"/>
          <w:b w:val="0"/>
          <w:i w:val="0"/>
          <w:sz w:val="24"/>
        </w:rPr>
        <w:t>DNN由多层全连接层堆叠构成，每层对前层输出进行仿射变换后施加非线性激活函数：</w:t>
      </w:r>
    </w:p>
    <w:p>
      <w:pPr>
        <w:spacing w:before="60" w:after="60"/>
        <w:jc w:val="center"/>
      </w:pPr>
      <w:r>
        <w:rPr>
          <w:rFonts w:ascii="Times New Roman" w:hAnsi="Times New Roman" w:eastAsia="宋体"/>
          <w:i/>
          <w:sz w:val="24"/>
        </w:rPr>
        <w:t>h⁽ˡ⁾ = ReLU(W⁽ˡ⁾h⁽ˡ⁻¹⁾ + b⁽ˡ⁾)    (6)</w:t>
      </w:r>
    </w:p>
    <w:p>
      <w:pPr>
        <w:spacing w:line="440" w:lineRule="exact" w:after="0"/>
        <w:ind w:firstLine="420"/>
      </w:pPr>
      <w:r>
        <w:rPr>
          <w:rFonts w:ascii="Times New Roman" w:hAnsi="Times New Roman" w:eastAsia="宋体"/>
          <w:b w:val="0"/>
          <w:i w:val="0"/>
          <w:sz w:val="24"/>
        </w:rPr>
        <w:t>本文构建4层全连接网络：输入层(84维) → FC1(256, ReLU) → FC2(128, ReLU, Dropout=0.3) → FC3(64, ReLU) → FC4(32, ReLU) → 输出层(1维)。使用Adam优化器（初始学习率lr=1e-3），训练200个epoch，批量大小64，损失函数为均方误差（MSE）。受限于约2000条的样本量，DNN存在较明显的过拟合风险，加入Dropout正则化后测试集R²约为0.82。</w:t>
      </w:r>
    </w:p>
    <w:p>
      <w:pPr>
        <w:spacing w:before="80" w:after="80"/>
      </w:pPr>
      <w:r>
        <w:rPr>
          <w:rFonts w:ascii="Times New Roman" w:hAnsi="Times New Roman" w:eastAsia="宋体"/>
          <w:b/>
          <w:i w:val="0"/>
          <w:sz w:val="24"/>
        </w:rPr>
        <w:t>4.4.3  长短时记忆网络（LSTM）</w:t>
      </w:r>
    </w:p>
    <w:p>
      <w:pPr>
        <w:spacing w:line="440" w:lineRule="exact" w:after="0"/>
        <w:ind w:firstLine="420"/>
      </w:pPr>
      <w:r>
        <w:rPr>
          <w:rFonts w:ascii="Times New Roman" w:hAnsi="Times New Roman" w:eastAsia="宋体"/>
          <w:b w:val="0"/>
          <w:i w:val="0"/>
          <w:sz w:val="24"/>
        </w:rPr>
        <w:t>LSTM是一种特殊的循环神经网络，通过遗忘门、输入门和输出门的协同工作克服了普通RNN的梯度消失问题，能够捕捉时序数据的长程依赖关系。三个门控单元的更新规则如下：</w:t>
      </w:r>
    </w:p>
    <w:p>
      <w:pPr>
        <w:spacing w:before="60" w:after="60"/>
        <w:jc w:val="center"/>
      </w:pPr>
      <w:r>
        <w:rPr>
          <w:rFonts w:ascii="Times New Roman" w:hAnsi="Times New Roman" w:eastAsia="宋体"/>
          <w:i/>
          <w:sz w:val="24"/>
        </w:rPr>
        <w:t>fₜ = σ(Wf·[hₜ₋₁, xₜ] + bf)   （遗忘门）    (7)</w:t>
      </w:r>
    </w:p>
    <w:p>
      <w:pPr>
        <w:spacing w:before="60" w:after="60"/>
        <w:jc w:val="center"/>
      </w:pPr>
      <w:r>
        <w:rPr>
          <w:rFonts w:ascii="Times New Roman" w:hAnsi="Times New Roman" w:eastAsia="宋体"/>
          <w:i/>
          <w:sz w:val="24"/>
        </w:rPr>
        <w:t>iₜ = σ(Wᵢ·[hₜ₋₁, xₜ] + bᵢ)   （输入门）    (8)</w:t>
      </w:r>
    </w:p>
    <w:p>
      <w:pPr>
        <w:spacing w:before="60" w:after="60"/>
        <w:jc w:val="center"/>
      </w:pPr>
      <w:r>
        <w:rPr>
          <w:rFonts w:ascii="Times New Roman" w:hAnsi="Times New Roman" w:eastAsia="宋体"/>
          <w:i/>
          <w:sz w:val="24"/>
        </w:rPr>
        <w:t>oₜ = σ(Wₒ·[hₜ₋₁, xₜ] + bₒ)   （输出门）    (9)</w:t>
      </w:r>
    </w:p>
    <w:p>
      <w:pPr>
        <w:spacing w:before="60" w:after="60"/>
        <w:jc w:val="center"/>
      </w:pPr>
      <w:r>
        <w:rPr>
          <w:rFonts w:ascii="Times New Roman" w:hAnsi="Times New Roman" w:eastAsia="宋体"/>
          <w:i/>
          <w:sz w:val="24"/>
        </w:rPr>
        <w:t>Cₜ = fₜ·Cₜ₋₁ + iₜ·tanh(Wc·[hₜ₋₁, xₜ]+bc)    (10)</w:t>
      </w:r>
    </w:p>
    <w:p>
      <w:pPr>
        <w:spacing w:before="60" w:after="60"/>
        <w:jc w:val="center"/>
      </w:pPr>
      <w:r>
        <w:rPr>
          <w:rFonts w:ascii="Times New Roman" w:hAnsi="Times New Roman" w:eastAsia="宋体"/>
          <w:i/>
          <w:sz w:val="24"/>
        </w:rPr>
        <w:t>hₜ = oₜ·tanh(Cₜ)    (11)</w:t>
      </w:r>
    </w:p>
    <w:p>
      <w:pPr>
        <w:spacing w:line="440" w:lineRule="exact" w:after="0"/>
        <w:ind w:firstLine="420"/>
      </w:pPr>
      <w:r>
        <w:rPr>
          <w:rFonts w:ascii="Times New Roman" w:hAnsi="Times New Roman" w:eastAsia="宋体"/>
          <w:b w:val="0"/>
          <w:i w:val="0"/>
          <w:sz w:val="24"/>
        </w:rPr>
        <w:t>本文构建2层LSTM网络（隐藏维度64）+ 全连接输出层，以固定长度滑窗（窗口=5步，84维）作为输入序列，加入Dropout(0.3)防止过拟合，Adam优化，训练200个epoch。LSTM的长程记忆优势受限于滑窗长度和样本量，测试集R²约为0.85。</w:t>
      </w:r>
    </w:p>
    <w:p>
      <w:pPr>
        <w:spacing w:before="80" w:after="80"/>
      </w:pPr>
      <w:r>
        <w:rPr>
          <w:rFonts w:ascii="Times New Roman" w:hAnsi="Times New Roman" w:eastAsia="宋体"/>
          <w:b/>
          <w:i w:val="0"/>
          <w:sz w:val="24"/>
        </w:rPr>
        <w:t>4.4.4  一维卷积神经网络（1D-CNN）</w:t>
      </w:r>
    </w:p>
    <w:p>
      <w:pPr>
        <w:spacing w:line="440" w:lineRule="exact" w:after="0"/>
        <w:ind w:firstLine="420"/>
      </w:pPr>
      <w:r>
        <w:rPr>
          <w:rFonts w:ascii="Times New Roman" w:hAnsi="Times New Roman" w:eastAsia="宋体"/>
          <w:b w:val="0"/>
          <w:i w:val="0"/>
          <w:sz w:val="24"/>
        </w:rPr>
        <w:t>1D-CNN通过一维卷积核在时间轴方向提取局部模式。第ℓ层第k个特征图的前向传播为：</w:t>
      </w:r>
    </w:p>
    <w:p>
      <w:pPr>
        <w:spacing w:before="60" w:after="60"/>
        <w:jc w:val="center"/>
      </w:pPr>
      <w:r>
        <w:rPr>
          <w:rFonts w:ascii="Times New Roman" w:hAnsi="Times New Roman" w:eastAsia="宋体"/>
          <w:i/>
          <w:sz w:val="24"/>
        </w:rPr>
        <w:t>xₖˡ = bₖˡ + Σᵢ conv1D(wᵢₖˡ, sᵢˡ⁻¹)    (12)</w:t>
      </w:r>
    </w:p>
    <w:p>
      <w:pPr>
        <w:spacing w:line="440" w:lineRule="exact" w:after="0"/>
        <w:ind w:firstLine="420"/>
      </w:pPr>
      <w:r>
        <w:rPr>
          <w:rFonts w:ascii="Times New Roman" w:hAnsi="Times New Roman" w:eastAsia="宋体"/>
          <w:b w:val="0"/>
          <w:i w:val="0"/>
          <w:sz w:val="24"/>
        </w:rPr>
        <w:t>本文构建2层卷积网络：输入(seq=5, 84维) → Conv1D-1(32通道, kernel=3, ReLU, MaxPool) → Conv1D-2(64通道, kernel=3, ReLU, MaxPool) → GlobalAvgPool → FC(64) → 输出(1维)。Adam优化，训练200个epoch，批量大小64。1D-CNN的局部感受野对全局工况状态建模能力弱于XGBoost，测试集R²约为0.83。</w:t>
      </w:r>
    </w:p>
    <w:p>
      <w:pPr>
        <w:spacing w:before="80" w:after="80"/>
      </w:pPr>
      <w:r>
        <w:rPr>
          <w:rFonts w:ascii="Times New Roman" w:hAnsi="Times New Roman" w:eastAsia="宋体"/>
          <w:b/>
          <w:i w:val="0"/>
          <w:sz w:val="24"/>
        </w:rPr>
        <w:t>4.4.5  XGBoost模型</w:t>
      </w:r>
    </w:p>
    <w:p>
      <w:pPr>
        <w:spacing w:line="440" w:lineRule="exact" w:after="0"/>
        <w:ind w:firstLine="420"/>
      </w:pPr>
      <w:r>
        <w:rPr>
          <w:rFonts w:ascii="Times New Roman" w:hAnsi="Times New Roman" w:eastAsia="宋体"/>
          <w:b w:val="0"/>
          <w:i w:val="0"/>
          <w:sz w:val="24"/>
        </w:rPr>
        <w:t>XGBoost（eXtreme Gradient Boosting）是一种基于梯度提升树（GBDT）的集成学习算法，通过加性模型逐步拟合前序模型的残差实现精准预测。第m轮的目标函数为：</w:t>
      </w:r>
    </w:p>
    <w:p>
      <w:pPr>
        <w:spacing w:before="60" w:after="60"/>
        <w:jc w:val="center"/>
      </w:pPr>
      <w:r>
        <w:rPr>
          <w:rFonts w:ascii="Times New Roman" w:hAnsi="Times New Roman" w:eastAsia="宋体"/>
          <w:i/>
          <w:sz w:val="24"/>
        </w:rPr>
        <w:t>F_m(x) = F_{m-1}(x) + η·h_m(x)    (13)</w:t>
      </w:r>
    </w:p>
    <w:p>
      <w:pPr>
        <w:spacing w:before="60" w:after="60"/>
        <w:jc w:val="center"/>
      </w:pPr>
      <w:r>
        <w:rPr>
          <w:rFonts w:ascii="Times New Roman" w:hAnsi="Times New Roman" w:eastAsia="宋体"/>
          <w:i/>
          <w:sz w:val="24"/>
        </w:rPr>
        <w:t>Obj = Σᵢ l(yᵢ, F_{m-1}(xᵢ)+h(xᵢ)) + Ω(h)    (14)</w:t>
      </w:r>
    </w:p>
    <w:p>
      <w:pPr>
        <w:spacing w:line="440" w:lineRule="exact" w:after="0"/>
        <w:ind w:firstLine="420"/>
      </w:pPr>
      <w:r>
        <w:rPr>
          <w:rFonts w:ascii="Times New Roman" w:hAnsi="Times New Roman" w:eastAsia="宋体"/>
          <w:b w:val="0"/>
          <w:i w:val="0"/>
          <w:sz w:val="24"/>
        </w:rPr>
        <w:t>其中 l 为均方误差损失，η 为学习率，正则化项 Ω(h) 同时施加L1和L2约束以防止过拟合：</w:t>
      </w:r>
    </w:p>
    <w:p>
      <w:pPr>
        <w:spacing w:before="60" w:after="60"/>
        <w:jc w:val="center"/>
      </w:pPr>
      <w:r>
        <w:rPr>
          <w:rFonts w:ascii="Times New Roman" w:hAnsi="Times New Roman" w:eastAsia="宋体"/>
          <w:i/>
          <w:sz w:val="24"/>
        </w:rPr>
        <w:t>Ω(h) = γT + ½λ‖w‖² + α‖w‖₁    (15)</w:t>
      </w:r>
    </w:p>
    <w:p>
      <w:pPr>
        <w:spacing w:line="440" w:lineRule="exact" w:after="0"/>
        <w:ind w:firstLine="420"/>
      </w:pPr>
      <w:r>
        <w:rPr>
          <w:rFonts w:ascii="Times New Roman" w:hAnsi="Times New Roman" w:eastAsia="宋体"/>
          <w:b w:val="0"/>
          <w:i w:val="0"/>
          <w:sz w:val="24"/>
        </w:rPr>
        <w:t>T为树的叶节点数，w为叶节点权重向量，γ控制树的复杂度，λ为L2系数，α为L1系数。XGBoost还支持行采样（subsample）和列采样（colsample_bytree），进一步通过随机化增强泛化能力。</w:t>
      </w:r>
    </w:p>
    <w:p>
      <w:pPr>
        <w:spacing w:line="440" w:lineRule="exact" w:after="0"/>
        <w:ind w:firstLine="420"/>
      </w:pPr>
      <w:r>
        <w:rPr>
          <w:rFonts w:ascii="Times New Roman" w:hAnsi="Times New Roman" w:eastAsia="宋体"/>
          <w:b w:val="0"/>
          <w:i w:val="0"/>
          <w:sz w:val="24"/>
        </w:rPr>
        <w:t>与前四种模型相比，XGBoost具有以下三个核心优势：①天然支持混合类型特征（物理量、梯度、统计量、自回归特征），无需额外特征归一化；②内置正则化防止过拟合，对小样本量场景（~2000条）鲁棒；③计算效率高，支持并行树构建，PSO超参搜索的计算代价可控。</w:t>
      </w:r>
    </w:p>
    <w:p>
      <w:pPr>
        <w:spacing w:before="80" w:after="80"/>
      </w:pPr>
      <w:r>
        <w:rPr>
          <w:rFonts w:ascii="Times New Roman" w:hAnsi="Times New Roman" w:eastAsia="宋体"/>
          <w:b/>
          <w:i w:val="0"/>
          <w:sz w:val="24"/>
        </w:rPr>
        <w:t>4.4.6  PSO超参数优化</w:t>
      </w:r>
    </w:p>
    <w:p>
      <w:pPr>
        <w:spacing w:line="440" w:lineRule="exact" w:after="0"/>
        <w:ind w:firstLine="420"/>
      </w:pPr>
      <w:r>
        <w:rPr>
          <w:rFonts w:ascii="Times New Roman" w:hAnsi="Times New Roman" w:eastAsia="宋体"/>
          <w:b w:val="0"/>
          <w:i w:val="0"/>
          <w:sz w:val="24"/>
        </w:rPr>
        <w:t>粒子群优化（PSO）通过模拟鸟群觅食行为在超参数空间进行全局搜索，克服了网格搜索的维数灾难。每个粒子代表一组XGBoost超参数配置，更新规则为：</w:t>
      </w:r>
    </w:p>
    <w:p>
      <w:pPr>
        <w:spacing w:before="60" w:after="60"/>
        <w:jc w:val="center"/>
      </w:pPr>
      <w:r>
        <w:rPr>
          <w:rFonts w:ascii="Times New Roman" w:hAnsi="Times New Roman" w:eastAsia="宋体"/>
          <w:i/>
          <w:sz w:val="24"/>
        </w:rPr>
        <w:t>vᵢᵗ⁺¹ = w·vᵢᵗ + c₁r₁(p_best_i − xᵢᵗ) + c₂r₂(g_best − xᵢᵗ)    (16)</w:t>
      </w:r>
    </w:p>
    <w:p>
      <w:pPr>
        <w:spacing w:before="60" w:after="60"/>
        <w:jc w:val="center"/>
      </w:pPr>
      <w:r>
        <w:rPr>
          <w:rFonts w:ascii="Times New Roman" w:hAnsi="Times New Roman" w:eastAsia="宋体"/>
          <w:i/>
          <w:sz w:val="24"/>
        </w:rPr>
        <w:t>xᵢᵗ⁺¹ = xᵢᵗ + vᵢᵗ⁺¹    (17)</w:t>
      </w:r>
    </w:p>
    <w:p>
      <w:pPr>
        <w:spacing w:line="440" w:lineRule="exact" w:after="0"/>
        <w:ind w:firstLine="420"/>
      </w:pPr>
      <w:r>
        <w:rPr>
          <w:rFonts w:ascii="Times New Roman" w:hAnsi="Times New Roman" w:eastAsia="宋体"/>
          <w:b w:val="0"/>
          <w:i w:val="0"/>
          <w:sz w:val="24"/>
        </w:rPr>
        <w:t>本文设定：粒子数n=8，迭代次数T=10，惯性权重w=0.8，加速系数c₁=c₂=2.0。适应度函数为3折时序交叉验证R²，搜索空间覆盖7个超参数（见表4-3）。如图4-5所示，PSO在第4次迭代即达到收敛，最优CV-R²=0.9056，相比随机初始粒子（CV-R²≈0.88）提升了约2.5个百分点。</w:t>
      </w:r>
    </w:p>
    <w:p>
      <w:pPr>
        <w:spacing w:before="80"/>
        <w:jc w:val="center"/>
      </w:pPr>
      <w:r>
        <w:drawing>
          <wp:inline xmlns:a="http://schemas.openxmlformats.org/drawingml/2006/main" xmlns:pic="http://schemas.openxmlformats.org/drawingml/2006/picture">
            <wp:extent cx="4680000" cy="1946502"/>
            <wp:docPr id="4" name="Picture 4"/>
            <wp:cNvGraphicFramePr>
              <a:graphicFrameLocks noChangeAspect="1"/>
            </wp:cNvGraphicFramePr>
            <a:graphic>
              <a:graphicData uri="http://schemas.openxmlformats.org/drawingml/2006/picture">
                <pic:pic>
                  <pic:nvPicPr>
                    <pic:cNvPr id="0" name="fig4_5_pso_tuning.png"/>
                    <pic:cNvPicPr/>
                  </pic:nvPicPr>
                  <pic:blipFill>
                    <a:blip r:embed="rId12"/>
                    <a:stretch>
                      <a:fillRect/>
                    </a:stretch>
                  </pic:blipFill>
                  <pic:spPr>
                    <a:xfrm>
                      <a:off x="0" y="0"/>
                      <a:ext cx="4680000" cy="1946502"/>
                    </a:xfrm>
                    <a:prstGeom prst="rect"/>
                  </pic:spPr>
                </pic:pic>
              </a:graphicData>
            </a:graphic>
          </wp:inline>
        </w:drawing>
      </w:r>
    </w:p>
    <w:p>
      <w:pPr>
        <w:spacing w:before="40" w:after="160"/>
        <w:jc w:val="center"/>
      </w:pPr>
      <w:r>
        <w:rPr>
          <w:rFonts w:ascii="Times New Roman" w:hAnsi="Times New Roman" w:eastAsia="宋体"/>
          <w:b/>
          <w:i w:val="0"/>
          <w:sz w:val="21"/>
        </w:rPr>
        <w:t>图4-5  PSO超参数寻优收敛过程（左：最优粒子轨迹；右：8粒子搜索轨迹）</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vAlign w:val="center"/>
          </w:tcPr>
          <w:p>
            <w:pPr>
              <w:jc w:val="center"/>
            </w:pPr>
            <w:r>
              <w:rPr>
                <w:rFonts w:ascii="Times New Roman" w:hAnsi="Times New Roman" w:eastAsia="宋体"/>
                <w:b/>
                <w:i w:val="0"/>
                <w:sz w:val="21"/>
              </w:rPr>
              <w:t>超参数</w:t>
            </w:r>
          </w:p>
        </w:tc>
        <w:tc>
          <w:tcPr>
            <w:tcW w:type="dxa" w:w="2256"/>
            <w:vAlign w:val="center"/>
          </w:tcPr>
          <w:p>
            <w:pPr>
              <w:jc w:val="center"/>
            </w:pPr>
            <w:r>
              <w:rPr>
                <w:rFonts w:ascii="Times New Roman" w:hAnsi="Times New Roman" w:eastAsia="宋体"/>
                <w:b/>
                <w:i w:val="0"/>
                <w:sz w:val="21"/>
              </w:rPr>
              <w:t>搜索范围</w:t>
            </w:r>
          </w:p>
        </w:tc>
        <w:tc>
          <w:tcPr>
            <w:tcW w:type="dxa" w:w="2256"/>
            <w:vAlign w:val="center"/>
          </w:tcPr>
          <w:p>
            <w:pPr>
              <w:jc w:val="center"/>
            </w:pPr>
            <w:r>
              <w:rPr>
                <w:rFonts w:ascii="Times New Roman" w:hAnsi="Times New Roman" w:eastAsia="宋体"/>
                <w:b/>
                <w:i w:val="0"/>
                <w:sz w:val="21"/>
              </w:rPr>
              <w:t>最优值</w:t>
            </w:r>
          </w:p>
        </w:tc>
        <w:tc>
          <w:tcPr>
            <w:tcW w:type="dxa" w:w="2256"/>
            <w:vAlign w:val="center"/>
          </w:tcPr>
          <w:p>
            <w:pPr>
              <w:jc w:val="center"/>
            </w:pPr>
            <w:r>
              <w:rPr>
                <w:rFonts w:ascii="Times New Roman" w:hAnsi="Times New Roman" w:eastAsia="宋体"/>
                <w:b/>
                <w:i w:val="0"/>
                <w:sz w:val="21"/>
              </w:rPr>
              <w:t>物理含义</w:t>
            </w:r>
          </w:p>
        </w:tc>
      </w:tr>
      <w:tr>
        <w:tc>
          <w:tcPr>
            <w:tcW w:type="dxa" w:w="2256"/>
            <w:vAlign w:val="center"/>
          </w:tcPr>
          <w:p>
            <w:pPr>
              <w:jc w:val="center"/>
            </w:pPr>
            <w:r>
              <w:rPr>
                <w:rFonts w:ascii="Times New Roman" w:hAnsi="Times New Roman" w:eastAsia="宋体"/>
                <w:b w:val="0"/>
                <w:i w:val="0"/>
                <w:sz w:val="21"/>
              </w:rPr>
              <w:t>learning_rate</w:t>
            </w:r>
          </w:p>
        </w:tc>
        <w:tc>
          <w:tcPr>
            <w:tcW w:type="dxa" w:w="2256"/>
            <w:vAlign w:val="center"/>
          </w:tcPr>
          <w:p>
            <w:pPr>
              <w:jc w:val="center"/>
            </w:pPr>
            <w:r>
              <w:rPr>
                <w:rFonts w:ascii="Times New Roman" w:hAnsi="Times New Roman" w:eastAsia="宋体"/>
                <w:b w:val="0"/>
                <w:i w:val="0"/>
                <w:sz w:val="21"/>
              </w:rPr>
              <w:t>[0.01, 0.50]</w:t>
            </w:r>
          </w:p>
        </w:tc>
        <w:tc>
          <w:tcPr>
            <w:tcW w:type="dxa" w:w="2256"/>
            <w:vAlign w:val="center"/>
          </w:tcPr>
          <w:p>
            <w:pPr>
              <w:jc w:val="center"/>
            </w:pPr>
            <w:r>
              <w:rPr>
                <w:rFonts w:ascii="Times New Roman" w:hAnsi="Times New Roman" w:eastAsia="宋体"/>
                <w:b w:val="0"/>
                <w:i w:val="0"/>
                <w:sz w:val="21"/>
              </w:rPr>
              <w:t>0.2063</w:t>
            </w:r>
          </w:p>
        </w:tc>
        <w:tc>
          <w:tcPr>
            <w:tcW w:type="dxa" w:w="2256"/>
            <w:vAlign w:val="center"/>
          </w:tcPr>
          <w:p>
            <w:pPr>
              <w:jc w:val="center"/>
            </w:pPr>
            <w:r>
              <w:rPr>
                <w:rFonts w:ascii="Times New Roman" w:hAnsi="Times New Roman" w:eastAsia="宋体"/>
                <w:b w:val="0"/>
                <w:i w:val="0"/>
                <w:sz w:val="21"/>
              </w:rPr>
              <w:t>每步更新步长</w:t>
            </w:r>
          </w:p>
        </w:tc>
      </w:tr>
      <w:tr>
        <w:tc>
          <w:tcPr>
            <w:tcW w:type="dxa" w:w="2256"/>
            <w:vAlign w:val="center"/>
          </w:tcPr>
          <w:p>
            <w:pPr>
              <w:jc w:val="center"/>
            </w:pPr>
            <w:r>
              <w:rPr>
                <w:rFonts w:ascii="Times New Roman" w:hAnsi="Times New Roman" w:eastAsia="宋体"/>
                <w:b w:val="0"/>
                <w:i w:val="0"/>
                <w:sz w:val="21"/>
              </w:rPr>
              <w:t>max_depth</w:t>
            </w:r>
          </w:p>
        </w:tc>
        <w:tc>
          <w:tcPr>
            <w:tcW w:type="dxa" w:w="2256"/>
            <w:vAlign w:val="center"/>
          </w:tcPr>
          <w:p>
            <w:pPr>
              <w:jc w:val="center"/>
            </w:pPr>
            <w:r>
              <w:rPr>
                <w:rFonts w:ascii="Times New Roman" w:hAnsi="Times New Roman" w:eastAsia="宋体"/>
                <w:b w:val="0"/>
                <w:i w:val="0"/>
                <w:sz w:val="21"/>
              </w:rPr>
              <w:t>[2, 8]</w:t>
            </w:r>
          </w:p>
        </w:tc>
        <w:tc>
          <w:tcPr>
            <w:tcW w:type="dxa" w:w="2256"/>
            <w:vAlign w:val="center"/>
          </w:tcPr>
          <w:p>
            <w:pPr>
              <w:jc w:val="center"/>
            </w:pPr>
            <w:r>
              <w:rPr>
                <w:rFonts w:ascii="Times New Roman" w:hAnsi="Times New Roman" w:eastAsia="宋体"/>
                <w:b w:val="0"/>
                <w:i w:val="0"/>
                <w:sz w:val="21"/>
              </w:rPr>
              <w:t>3</w:t>
            </w:r>
          </w:p>
        </w:tc>
        <w:tc>
          <w:tcPr>
            <w:tcW w:type="dxa" w:w="2256"/>
            <w:vAlign w:val="center"/>
          </w:tcPr>
          <w:p>
            <w:pPr>
              <w:jc w:val="center"/>
            </w:pPr>
            <w:r>
              <w:rPr>
                <w:rFonts w:ascii="Times New Roman" w:hAnsi="Times New Roman" w:eastAsia="宋体"/>
                <w:b w:val="0"/>
                <w:i w:val="0"/>
                <w:sz w:val="21"/>
              </w:rPr>
              <w:t>单棵树最大深度</w:t>
            </w:r>
          </w:p>
        </w:tc>
      </w:tr>
      <w:tr>
        <w:tc>
          <w:tcPr>
            <w:tcW w:type="dxa" w:w="2256"/>
            <w:vAlign w:val="center"/>
          </w:tcPr>
          <w:p>
            <w:pPr>
              <w:jc w:val="center"/>
            </w:pPr>
            <w:r>
              <w:rPr>
                <w:rFonts w:ascii="Times New Roman" w:hAnsi="Times New Roman" w:eastAsia="宋体"/>
                <w:b w:val="0"/>
                <w:i w:val="0"/>
                <w:sz w:val="21"/>
              </w:rPr>
              <w:t>n_estimators</w:t>
            </w:r>
          </w:p>
        </w:tc>
        <w:tc>
          <w:tcPr>
            <w:tcW w:type="dxa" w:w="2256"/>
            <w:vAlign w:val="center"/>
          </w:tcPr>
          <w:p>
            <w:pPr>
              <w:jc w:val="center"/>
            </w:pPr>
            <w:r>
              <w:rPr>
                <w:rFonts w:ascii="Times New Roman" w:hAnsi="Times New Roman" w:eastAsia="宋体"/>
                <w:b w:val="0"/>
                <w:i w:val="0"/>
                <w:sz w:val="21"/>
              </w:rPr>
              <w:t>[50, 500]</w:t>
            </w:r>
          </w:p>
        </w:tc>
        <w:tc>
          <w:tcPr>
            <w:tcW w:type="dxa" w:w="2256"/>
            <w:vAlign w:val="center"/>
          </w:tcPr>
          <w:p>
            <w:pPr>
              <w:jc w:val="center"/>
            </w:pPr>
            <w:r>
              <w:rPr>
                <w:rFonts w:ascii="Times New Roman" w:hAnsi="Times New Roman" w:eastAsia="宋体"/>
                <w:b w:val="0"/>
                <w:i w:val="0"/>
                <w:sz w:val="21"/>
              </w:rPr>
              <w:t>262</w:t>
            </w:r>
          </w:p>
        </w:tc>
        <w:tc>
          <w:tcPr>
            <w:tcW w:type="dxa" w:w="2256"/>
            <w:vAlign w:val="center"/>
          </w:tcPr>
          <w:p>
            <w:pPr>
              <w:jc w:val="center"/>
            </w:pPr>
            <w:r>
              <w:rPr>
                <w:rFonts w:ascii="Times New Roman" w:hAnsi="Times New Roman" w:eastAsia="宋体"/>
                <w:b w:val="0"/>
                <w:i w:val="0"/>
                <w:sz w:val="21"/>
              </w:rPr>
              <w:t>集成树的数量</w:t>
            </w:r>
          </w:p>
        </w:tc>
      </w:tr>
      <w:tr>
        <w:tc>
          <w:tcPr>
            <w:tcW w:type="dxa" w:w="2256"/>
            <w:vAlign w:val="center"/>
          </w:tcPr>
          <w:p>
            <w:pPr>
              <w:jc w:val="center"/>
            </w:pPr>
            <w:r>
              <w:rPr>
                <w:rFonts w:ascii="Times New Roman" w:hAnsi="Times New Roman" w:eastAsia="宋体"/>
                <w:b w:val="0"/>
                <w:i w:val="0"/>
                <w:sz w:val="21"/>
              </w:rPr>
              <w:t>subsample</w:t>
            </w:r>
          </w:p>
        </w:tc>
        <w:tc>
          <w:tcPr>
            <w:tcW w:type="dxa" w:w="2256"/>
            <w:vAlign w:val="center"/>
          </w:tcPr>
          <w:p>
            <w:pPr>
              <w:jc w:val="center"/>
            </w:pPr>
            <w:r>
              <w:rPr>
                <w:rFonts w:ascii="Times New Roman" w:hAnsi="Times New Roman" w:eastAsia="宋体"/>
                <w:b w:val="0"/>
                <w:i w:val="0"/>
                <w:sz w:val="21"/>
              </w:rPr>
              <w:t>[0.5, 1.0]</w:t>
            </w:r>
          </w:p>
        </w:tc>
        <w:tc>
          <w:tcPr>
            <w:tcW w:type="dxa" w:w="2256"/>
            <w:vAlign w:val="center"/>
          </w:tcPr>
          <w:p>
            <w:pPr>
              <w:jc w:val="center"/>
            </w:pPr>
            <w:r>
              <w:rPr>
                <w:rFonts w:ascii="Times New Roman" w:hAnsi="Times New Roman" w:eastAsia="宋体"/>
                <w:b w:val="0"/>
                <w:i w:val="0"/>
                <w:sz w:val="21"/>
              </w:rPr>
              <w:t>0.5115</w:t>
            </w:r>
          </w:p>
        </w:tc>
        <w:tc>
          <w:tcPr>
            <w:tcW w:type="dxa" w:w="2256"/>
            <w:vAlign w:val="center"/>
          </w:tcPr>
          <w:p>
            <w:pPr>
              <w:jc w:val="center"/>
            </w:pPr>
            <w:r>
              <w:rPr>
                <w:rFonts w:ascii="Times New Roman" w:hAnsi="Times New Roman" w:eastAsia="宋体"/>
                <w:b w:val="0"/>
                <w:i w:val="0"/>
                <w:sz w:val="21"/>
              </w:rPr>
              <w:t>行采样比例</w:t>
            </w:r>
          </w:p>
        </w:tc>
      </w:tr>
      <w:tr>
        <w:tc>
          <w:tcPr>
            <w:tcW w:type="dxa" w:w="2256"/>
            <w:vAlign w:val="center"/>
          </w:tcPr>
          <w:p>
            <w:pPr>
              <w:jc w:val="center"/>
            </w:pPr>
            <w:r>
              <w:rPr>
                <w:rFonts w:ascii="Times New Roman" w:hAnsi="Times New Roman" w:eastAsia="宋体"/>
                <w:b w:val="0"/>
                <w:i w:val="0"/>
                <w:sz w:val="21"/>
              </w:rPr>
              <w:t>colsample_bytree</w:t>
            </w:r>
          </w:p>
        </w:tc>
        <w:tc>
          <w:tcPr>
            <w:tcW w:type="dxa" w:w="2256"/>
            <w:vAlign w:val="center"/>
          </w:tcPr>
          <w:p>
            <w:pPr>
              <w:jc w:val="center"/>
            </w:pPr>
            <w:r>
              <w:rPr>
                <w:rFonts w:ascii="Times New Roman" w:hAnsi="Times New Roman" w:eastAsia="宋体"/>
                <w:b w:val="0"/>
                <w:i w:val="0"/>
                <w:sz w:val="21"/>
              </w:rPr>
              <w:t>[0.5, 1.0]</w:t>
            </w:r>
          </w:p>
        </w:tc>
        <w:tc>
          <w:tcPr>
            <w:tcW w:type="dxa" w:w="2256"/>
            <w:vAlign w:val="center"/>
          </w:tcPr>
          <w:p>
            <w:pPr>
              <w:jc w:val="center"/>
            </w:pPr>
            <w:r>
              <w:rPr>
                <w:rFonts w:ascii="Times New Roman" w:hAnsi="Times New Roman" w:eastAsia="宋体"/>
                <w:b w:val="0"/>
                <w:i w:val="0"/>
                <w:sz w:val="21"/>
              </w:rPr>
              <w:t>0.9940</w:t>
            </w:r>
          </w:p>
        </w:tc>
        <w:tc>
          <w:tcPr>
            <w:tcW w:type="dxa" w:w="2256"/>
            <w:vAlign w:val="center"/>
          </w:tcPr>
          <w:p>
            <w:pPr>
              <w:jc w:val="center"/>
            </w:pPr>
            <w:r>
              <w:rPr>
                <w:rFonts w:ascii="Times New Roman" w:hAnsi="Times New Roman" w:eastAsia="宋体"/>
                <w:b w:val="0"/>
                <w:i w:val="0"/>
                <w:sz w:val="21"/>
              </w:rPr>
              <w:t>列采样比例</w:t>
            </w:r>
          </w:p>
        </w:tc>
      </w:tr>
      <w:tr>
        <w:tc>
          <w:tcPr>
            <w:tcW w:type="dxa" w:w="2256"/>
            <w:vAlign w:val="center"/>
          </w:tcPr>
          <w:p>
            <w:pPr>
              <w:jc w:val="center"/>
            </w:pPr>
            <w:r>
              <w:rPr>
                <w:rFonts w:ascii="Times New Roman" w:hAnsi="Times New Roman" w:eastAsia="宋体"/>
                <w:b w:val="0"/>
                <w:i w:val="0"/>
                <w:sz w:val="21"/>
              </w:rPr>
              <w:t>reg_alpha (L1)</w:t>
            </w:r>
          </w:p>
        </w:tc>
        <w:tc>
          <w:tcPr>
            <w:tcW w:type="dxa" w:w="2256"/>
            <w:vAlign w:val="center"/>
          </w:tcPr>
          <w:p>
            <w:pPr>
              <w:jc w:val="center"/>
            </w:pPr>
            <w:r>
              <w:rPr>
                <w:rFonts w:ascii="Times New Roman" w:hAnsi="Times New Roman" w:eastAsia="宋体"/>
                <w:b w:val="0"/>
                <w:i w:val="0"/>
                <w:sz w:val="21"/>
              </w:rPr>
              <w:t>[0, 2.0]</w:t>
            </w:r>
          </w:p>
        </w:tc>
        <w:tc>
          <w:tcPr>
            <w:tcW w:type="dxa" w:w="2256"/>
            <w:vAlign w:val="center"/>
          </w:tcPr>
          <w:p>
            <w:pPr>
              <w:jc w:val="center"/>
            </w:pPr>
            <w:r>
              <w:rPr>
                <w:rFonts w:ascii="Times New Roman" w:hAnsi="Times New Roman" w:eastAsia="宋体"/>
                <w:b w:val="0"/>
                <w:i w:val="0"/>
                <w:sz w:val="21"/>
              </w:rPr>
              <w:t>0.8782</w:t>
            </w:r>
          </w:p>
        </w:tc>
        <w:tc>
          <w:tcPr>
            <w:tcW w:type="dxa" w:w="2256"/>
            <w:vAlign w:val="center"/>
          </w:tcPr>
          <w:p>
            <w:pPr>
              <w:jc w:val="center"/>
            </w:pPr>
            <w:r>
              <w:rPr>
                <w:rFonts w:ascii="Times New Roman" w:hAnsi="Times New Roman" w:eastAsia="宋体"/>
                <w:b w:val="0"/>
                <w:i w:val="0"/>
                <w:sz w:val="21"/>
              </w:rPr>
              <w:t>L1正则系数</w:t>
            </w:r>
          </w:p>
        </w:tc>
      </w:tr>
      <w:tr>
        <w:tc>
          <w:tcPr>
            <w:tcW w:type="dxa" w:w="2256"/>
            <w:vAlign w:val="center"/>
          </w:tcPr>
          <w:p>
            <w:pPr>
              <w:jc w:val="center"/>
            </w:pPr>
            <w:r>
              <w:rPr>
                <w:rFonts w:ascii="Times New Roman" w:hAnsi="Times New Roman" w:eastAsia="宋体"/>
                <w:b w:val="0"/>
                <w:i w:val="0"/>
                <w:sz w:val="21"/>
              </w:rPr>
              <w:t>reg_lambda (L2)</w:t>
            </w:r>
          </w:p>
        </w:tc>
        <w:tc>
          <w:tcPr>
            <w:tcW w:type="dxa" w:w="2256"/>
            <w:vAlign w:val="center"/>
          </w:tcPr>
          <w:p>
            <w:pPr>
              <w:jc w:val="center"/>
            </w:pPr>
            <w:r>
              <w:rPr>
                <w:rFonts w:ascii="Times New Roman" w:hAnsi="Times New Roman" w:eastAsia="宋体"/>
                <w:b w:val="0"/>
                <w:i w:val="0"/>
                <w:sz w:val="21"/>
              </w:rPr>
              <w:t>[0, 5.0]</w:t>
            </w:r>
          </w:p>
        </w:tc>
        <w:tc>
          <w:tcPr>
            <w:tcW w:type="dxa" w:w="2256"/>
            <w:vAlign w:val="center"/>
          </w:tcPr>
          <w:p>
            <w:pPr>
              <w:jc w:val="center"/>
            </w:pPr>
            <w:r>
              <w:rPr>
                <w:rFonts w:ascii="Times New Roman" w:hAnsi="Times New Roman" w:eastAsia="宋体"/>
                <w:b w:val="0"/>
                <w:i w:val="0"/>
                <w:sz w:val="21"/>
              </w:rPr>
              <w:t>1.7574</w:t>
            </w:r>
          </w:p>
        </w:tc>
        <w:tc>
          <w:tcPr>
            <w:tcW w:type="dxa" w:w="2256"/>
            <w:vAlign w:val="center"/>
          </w:tcPr>
          <w:p>
            <w:pPr>
              <w:jc w:val="center"/>
            </w:pPr>
            <w:r>
              <w:rPr>
                <w:rFonts w:ascii="Times New Roman" w:hAnsi="Times New Roman" w:eastAsia="宋体"/>
                <w:b w:val="0"/>
                <w:i w:val="0"/>
                <w:sz w:val="21"/>
              </w:rPr>
              <w:t>L2正则系数</w:t>
            </w:r>
          </w:p>
        </w:tc>
      </w:tr>
    </w:tbl>
    <w:p>
      <w:pPr>
        <w:spacing w:before="40" w:after="160"/>
        <w:jc w:val="center"/>
      </w:pPr>
      <w:r>
        <w:rPr>
          <w:rFonts w:ascii="Times New Roman" w:hAnsi="Times New Roman" w:eastAsia="宋体"/>
          <w:b/>
          <w:i w:val="0"/>
          <w:sz w:val="21"/>
        </w:rPr>
        <w:t>表4-3  PSO超参数搜索空间与最优解</w:t>
      </w:r>
    </w:p>
    <w:p>
      <w:pPr>
        <w:spacing w:before="160" w:after="80"/>
      </w:pPr>
      <w:r>
        <w:rPr>
          <w:rFonts w:ascii="Times New Roman" w:hAnsi="Times New Roman" w:eastAsia="宋体"/>
          <w:b/>
          <w:i w:val="0"/>
          <w:sz w:val="28"/>
        </w:rPr>
        <w:t>4.5  模型性能评估</w:t>
      </w:r>
    </w:p>
    <w:p>
      <w:pPr>
        <w:spacing w:before="80" w:after="80"/>
      </w:pPr>
      <w:r>
        <w:rPr>
          <w:rFonts w:ascii="Times New Roman" w:hAnsi="Times New Roman" w:eastAsia="宋体"/>
          <w:b/>
          <w:i w:val="0"/>
          <w:sz w:val="24"/>
        </w:rPr>
        <w:t>4.5.1  评估指标</w:t>
      </w:r>
    </w:p>
    <w:p>
      <w:pPr>
        <w:spacing w:line="440" w:lineRule="exact" w:after="0"/>
        <w:ind w:firstLine="420"/>
      </w:pPr>
      <w:r>
        <w:rPr>
          <w:rFonts w:ascii="Times New Roman" w:hAnsi="Times New Roman" w:eastAsia="宋体"/>
          <w:b w:val="0"/>
          <w:i w:val="0"/>
          <w:sz w:val="24"/>
        </w:rPr>
        <w:t>采用以下三项指标综合评估模型预测性能：</w:t>
      </w:r>
    </w:p>
    <w:p>
      <w:pPr>
        <w:spacing w:before="60" w:after="60"/>
        <w:jc w:val="center"/>
      </w:pPr>
      <w:r>
        <w:rPr>
          <w:rFonts w:ascii="Times New Roman" w:hAnsi="Times New Roman" w:eastAsia="宋体"/>
          <w:i/>
          <w:sz w:val="24"/>
        </w:rPr>
        <w:t>R² = 1 − Σ(yᵢ−ŷᵢ)² / Σ(yᵢ−ȳ)²    (18)</w:t>
      </w:r>
    </w:p>
    <w:p>
      <w:pPr>
        <w:spacing w:before="60" w:after="60"/>
        <w:jc w:val="center"/>
      </w:pPr>
      <w:r>
        <w:rPr>
          <w:rFonts w:ascii="Times New Roman" w:hAnsi="Times New Roman" w:eastAsia="宋体"/>
          <w:i/>
          <w:sz w:val="24"/>
        </w:rPr>
        <w:t>MAE = (1/n) Σ|yᵢ−ŷᵢ|    (19)</w:t>
      </w:r>
    </w:p>
    <w:p>
      <w:pPr>
        <w:spacing w:before="60" w:after="60"/>
        <w:jc w:val="center"/>
      </w:pPr>
      <w:r>
        <w:rPr>
          <w:rFonts w:ascii="Times New Roman" w:hAnsi="Times New Roman" w:eastAsia="宋体"/>
          <w:i/>
          <w:sz w:val="24"/>
        </w:rPr>
        <w:t>RMSE = √[(1/n) Σ(yᵢ−ŷᵢ)²]    (20)</w:t>
      </w:r>
    </w:p>
    <w:p>
      <w:pPr>
        <w:spacing w:line="440" w:lineRule="exact" w:after="0"/>
        <w:ind w:firstLine="420"/>
      </w:pPr>
      <w:r>
        <w:rPr>
          <w:rFonts w:ascii="Times New Roman" w:hAnsi="Times New Roman" w:eastAsia="宋体"/>
          <w:b w:val="0"/>
          <w:i w:val="0"/>
          <w:sz w:val="24"/>
        </w:rPr>
        <w:t>R²越接近1表示模型解释的方差比例越高；MAE和RMSE越小越好，RMSE对大误差惩罚更重，对离群样本的敏感度高于MAE。</w:t>
      </w:r>
    </w:p>
    <w:p>
      <w:pPr>
        <w:spacing w:before="80" w:after="80"/>
      </w:pPr>
      <w:r>
        <w:rPr>
          <w:rFonts w:ascii="Times New Roman" w:hAnsi="Times New Roman" w:eastAsia="宋体"/>
          <w:b/>
          <w:i w:val="0"/>
          <w:sz w:val="24"/>
        </w:rPr>
        <w:t>4.5.2  五种模型性能对比</w:t>
      </w:r>
    </w:p>
    <w:p>
      <w:pPr>
        <w:spacing w:line="440" w:lineRule="exact" w:after="0"/>
        <w:ind w:firstLine="420"/>
      </w:pPr>
      <w:r>
        <w:rPr>
          <w:rFonts w:ascii="Times New Roman" w:hAnsi="Times New Roman" w:eastAsia="宋体"/>
          <w:b w:val="0"/>
          <w:i w:val="0"/>
          <w:sz w:val="24"/>
        </w:rPr>
        <w:t>图4-4展示了五种预测模型在测试集（695条）上R²、MAE和RMSE三项指标的对比结果。PSO-XGBoost在全部三项指标上均显著优于四种对比基线模型。</w:t>
      </w:r>
    </w:p>
    <w:p>
      <w:pPr>
        <w:spacing w:before="80"/>
        <w:jc w:val="center"/>
      </w:pPr>
      <w:r>
        <w:drawing>
          <wp:inline xmlns:a="http://schemas.openxmlformats.org/drawingml/2006/main" xmlns:pic="http://schemas.openxmlformats.org/drawingml/2006/picture">
            <wp:extent cx="5040000" cy="1938647"/>
            <wp:docPr id="5" name="Picture 5"/>
            <wp:cNvGraphicFramePr>
              <a:graphicFrameLocks noChangeAspect="1"/>
            </wp:cNvGraphicFramePr>
            <a:graphic>
              <a:graphicData uri="http://schemas.openxmlformats.org/drawingml/2006/picture">
                <pic:pic>
                  <pic:nvPicPr>
                    <pic:cNvPr id="0" name="fig4_4_model_comparison.png"/>
                    <pic:cNvPicPr/>
                  </pic:nvPicPr>
                  <pic:blipFill>
                    <a:blip r:embed="rId13"/>
                    <a:stretch>
                      <a:fillRect/>
                    </a:stretch>
                  </pic:blipFill>
                  <pic:spPr>
                    <a:xfrm>
                      <a:off x="0" y="0"/>
                      <a:ext cx="5040000" cy="1938647"/>
                    </a:xfrm>
                    <a:prstGeom prst="rect"/>
                  </pic:spPr>
                </pic:pic>
              </a:graphicData>
            </a:graphic>
          </wp:inline>
        </w:drawing>
      </w:r>
    </w:p>
    <w:p>
      <w:pPr>
        <w:spacing w:before="40" w:after="160"/>
        <w:jc w:val="center"/>
      </w:pPr>
      <w:r>
        <w:rPr>
          <w:rFonts w:ascii="Times New Roman" w:hAnsi="Times New Roman" w:eastAsia="宋体"/>
          <w:b/>
          <w:i w:val="0"/>
          <w:sz w:val="21"/>
        </w:rPr>
        <w:t>图4-4  五种预测模型测试集性能对比（R²、MAE、RMSE）</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vAlign w:val="center"/>
          </w:tcPr>
          <w:p>
            <w:pPr>
              <w:jc w:val="center"/>
            </w:pPr>
            <w:r>
              <w:rPr>
                <w:rFonts w:ascii="Times New Roman" w:hAnsi="Times New Roman" w:eastAsia="宋体"/>
                <w:b/>
                <w:i w:val="0"/>
                <w:sz w:val="21"/>
              </w:rPr>
              <w:t>模型</w:t>
            </w:r>
          </w:p>
        </w:tc>
        <w:tc>
          <w:tcPr>
            <w:tcW w:type="dxa" w:w="1805"/>
            <w:vAlign w:val="center"/>
          </w:tcPr>
          <w:p>
            <w:pPr>
              <w:jc w:val="center"/>
            </w:pPr>
            <w:r>
              <w:rPr>
                <w:rFonts w:ascii="Times New Roman" w:hAnsi="Times New Roman" w:eastAsia="宋体"/>
                <w:b/>
                <w:i w:val="0"/>
                <w:sz w:val="21"/>
              </w:rPr>
              <w:t>测试集R²</w:t>
            </w:r>
          </w:p>
        </w:tc>
        <w:tc>
          <w:tcPr>
            <w:tcW w:type="dxa" w:w="1805"/>
            <w:vAlign w:val="center"/>
          </w:tcPr>
          <w:p>
            <w:pPr>
              <w:jc w:val="center"/>
            </w:pPr>
            <w:r>
              <w:rPr>
                <w:rFonts w:ascii="Times New Roman" w:hAnsi="Times New Roman" w:eastAsia="宋体"/>
                <w:b/>
                <w:i w:val="0"/>
                <w:sz w:val="21"/>
              </w:rPr>
              <w:t>MAE (mg/m³)</w:t>
            </w:r>
          </w:p>
        </w:tc>
        <w:tc>
          <w:tcPr>
            <w:tcW w:type="dxa" w:w="1805"/>
            <w:vAlign w:val="center"/>
          </w:tcPr>
          <w:p>
            <w:pPr>
              <w:jc w:val="center"/>
            </w:pPr>
            <w:r>
              <w:rPr>
                <w:rFonts w:ascii="Times New Roman" w:hAnsi="Times New Roman" w:eastAsia="宋体"/>
                <w:b/>
                <w:i w:val="0"/>
                <w:sz w:val="21"/>
              </w:rPr>
              <w:t>RMSE (mg/m³)</w:t>
            </w:r>
          </w:p>
        </w:tc>
        <w:tc>
          <w:tcPr>
            <w:tcW w:type="dxa" w:w="1805"/>
            <w:vAlign w:val="center"/>
          </w:tcPr>
          <w:p>
            <w:pPr>
              <w:jc w:val="center"/>
            </w:pPr>
            <w:r>
              <w:rPr>
                <w:rFonts w:ascii="Times New Roman" w:hAnsi="Times New Roman" w:eastAsia="宋体"/>
                <w:b/>
                <w:i w:val="0"/>
                <w:sz w:val="21"/>
              </w:rPr>
              <w:t>相对R²提升</w:t>
            </w:r>
          </w:p>
        </w:tc>
      </w:tr>
      <w:tr>
        <w:tc>
          <w:tcPr>
            <w:tcW w:type="dxa" w:w="1805"/>
            <w:vAlign w:val="center"/>
          </w:tcPr>
          <w:p>
            <w:pPr>
              <w:jc w:val="center"/>
            </w:pPr>
            <w:r>
              <w:rPr>
                <w:rFonts w:ascii="Times New Roman" w:hAnsi="Times New Roman" w:eastAsia="宋体"/>
                <w:b w:val="0"/>
                <w:i w:val="0"/>
                <w:sz w:val="21"/>
              </w:rPr>
              <w:t>SVM (RBF)</w:t>
            </w:r>
          </w:p>
        </w:tc>
        <w:tc>
          <w:tcPr>
            <w:tcW w:type="dxa" w:w="1805"/>
            <w:vAlign w:val="center"/>
          </w:tcPr>
          <w:p>
            <w:pPr>
              <w:jc w:val="center"/>
            </w:pPr>
            <w:r>
              <w:rPr>
                <w:rFonts w:ascii="Times New Roman" w:hAnsi="Times New Roman" w:eastAsia="宋体"/>
                <w:b w:val="0"/>
                <w:i w:val="0"/>
                <w:sz w:val="21"/>
              </w:rPr>
              <w:t>0.71</w:t>
            </w:r>
          </w:p>
        </w:tc>
        <w:tc>
          <w:tcPr>
            <w:tcW w:type="dxa" w:w="1805"/>
            <w:vAlign w:val="center"/>
          </w:tcPr>
          <w:p>
            <w:pPr>
              <w:jc w:val="center"/>
            </w:pPr>
            <w:r>
              <w:rPr>
                <w:rFonts w:ascii="Times New Roman" w:hAnsi="Times New Roman" w:eastAsia="宋体"/>
                <w:b w:val="0"/>
                <w:i w:val="0"/>
                <w:sz w:val="21"/>
              </w:rPr>
              <w:t>~120</w:t>
            </w:r>
          </w:p>
        </w:tc>
        <w:tc>
          <w:tcPr>
            <w:tcW w:type="dxa" w:w="1805"/>
            <w:vAlign w:val="center"/>
          </w:tcPr>
          <w:p>
            <w:pPr>
              <w:jc w:val="center"/>
            </w:pPr>
            <w:r>
              <w:rPr>
                <w:rFonts w:ascii="Times New Roman" w:hAnsi="Times New Roman" w:eastAsia="宋体"/>
                <w:b w:val="0"/>
                <w:i w:val="0"/>
                <w:sz w:val="21"/>
              </w:rPr>
              <w:t>~180</w:t>
            </w:r>
          </w:p>
        </w:tc>
        <w:tc>
          <w:tcPr>
            <w:tcW w:type="dxa" w:w="1805"/>
            <w:vAlign w:val="center"/>
          </w:tcPr>
          <w:p>
            <w:pPr>
              <w:jc w:val="center"/>
            </w:pPr>
            <w:r>
              <w:rPr>
                <w:rFonts w:ascii="Times New Roman" w:hAnsi="Times New Roman" w:eastAsia="宋体"/>
                <w:b w:val="0"/>
                <w:i w:val="0"/>
                <w:sz w:val="21"/>
              </w:rPr>
              <w:t>—（基准）</w:t>
            </w:r>
          </w:p>
        </w:tc>
      </w:tr>
      <w:tr>
        <w:tc>
          <w:tcPr>
            <w:tcW w:type="dxa" w:w="1805"/>
            <w:vAlign w:val="center"/>
          </w:tcPr>
          <w:p>
            <w:pPr>
              <w:jc w:val="center"/>
            </w:pPr>
            <w:r>
              <w:rPr>
                <w:rFonts w:ascii="Times New Roman" w:hAnsi="Times New Roman" w:eastAsia="宋体"/>
                <w:b w:val="0"/>
                <w:i w:val="0"/>
                <w:sz w:val="21"/>
              </w:rPr>
              <w:t>DNN (4层FC)</w:t>
            </w:r>
          </w:p>
        </w:tc>
        <w:tc>
          <w:tcPr>
            <w:tcW w:type="dxa" w:w="1805"/>
            <w:vAlign w:val="center"/>
          </w:tcPr>
          <w:p>
            <w:pPr>
              <w:jc w:val="center"/>
            </w:pPr>
            <w:r>
              <w:rPr>
                <w:rFonts w:ascii="Times New Roman" w:hAnsi="Times New Roman" w:eastAsia="宋体"/>
                <w:b w:val="0"/>
                <w:i w:val="0"/>
                <w:sz w:val="21"/>
              </w:rPr>
              <w:t>0.82</w:t>
            </w:r>
          </w:p>
        </w:tc>
        <w:tc>
          <w:tcPr>
            <w:tcW w:type="dxa" w:w="1805"/>
            <w:vAlign w:val="center"/>
          </w:tcPr>
          <w:p>
            <w:pPr>
              <w:jc w:val="center"/>
            </w:pPr>
            <w:r>
              <w:rPr>
                <w:rFonts w:ascii="Times New Roman" w:hAnsi="Times New Roman" w:eastAsia="宋体"/>
                <w:b w:val="0"/>
                <w:i w:val="0"/>
                <w:sz w:val="21"/>
              </w:rPr>
              <w:t>~85</w:t>
            </w:r>
          </w:p>
        </w:tc>
        <w:tc>
          <w:tcPr>
            <w:tcW w:type="dxa" w:w="1805"/>
            <w:vAlign w:val="center"/>
          </w:tcPr>
          <w:p>
            <w:pPr>
              <w:jc w:val="center"/>
            </w:pPr>
            <w:r>
              <w:rPr>
                <w:rFonts w:ascii="Times New Roman" w:hAnsi="Times New Roman" w:eastAsia="宋体"/>
                <w:b w:val="0"/>
                <w:i w:val="0"/>
                <w:sz w:val="21"/>
              </w:rPr>
              <w:t>~150</w:t>
            </w:r>
          </w:p>
        </w:tc>
        <w:tc>
          <w:tcPr>
            <w:tcW w:type="dxa" w:w="1805"/>
            <w:vAlign w:val="center"/>
          </w:tcPr>
          <w:p>
            <w:pPr>
              <w:jc w:val="center"/>
            </w:pPr>
            <w:r>
              <w:rPr>
                <w:rFonts w:ascii="Times New Roman" w:hAnsi="Times New Roman" w:eastAsia="宋体"/>
                <w:b w:val="0"/>
                <w:i w:val="0"/>
                <w:sz w:val="21"/>
              </w:rPr>
              <w:t>+15.5%</w:t>
            </w:r>
          </w:p>
        </w:tc>
      </w:tr>
      <w:tr>
        <w:tc>
          <w:tcPr>
            <w:tcW w:type="dxa" w:w="1805"/>
            <w:vAlign w:val="center"/>
          </w:tcPr>
          <w:p>
            <w:pPr>
              <w:jc w:val="center"/>
            </w:pPr>
            <w:r>
              <w:rPr>
                <w:rFonts w:ascii="Times New Roman" w:hAnsi="Times New Roman" w:eastAsia="宋体"/>
                <w:b w:val="0"/>
                <w:i w:val="0"/>
                <w:sz w:val="21"/>
              </w:rPr>
              <w:t>LSTM (2层)</w:t>
            </w:r>
          </w:p>
        </w:tc>
        <w:tc>
          <w:tcPr>
            <w:tcW w:type="dxa" w:w="1805"/>
            <w:vAlign w:val="center"/>
          </w:tcPr>
          <w:p>
            <w:pPr>
              <w:jc w:val="center"/>
            </w:pPr>
            <w:r>
              <w:rPr>
                <w:rFonts w:ascii="Times New Roman" w:hAnsi="Times New Roman" w:eastAsia="宋体"/>
                <w:b w:val="0"/>
                <w:i w:val="0"/>
                <w:sz w:val="21"/>
              </w:rPr>
              <w:t>0.85</w:t>
            </w:r>
          </w:p>
        </w:tc>
        <w:tc>
          <w:tcPr>
            <w:tcW w:type="dxa" w:w="1805"/>
            <w:vAlign w:val="center"/>
          </w:tcPr>
          <w:p>
            <w:pPr>
              <w:jc w:val="center"/>
            </w:pPr>
            <w:r>
              <w:rPr>
                <w:rFonts w:ascii="Times New Roman" w:hAnsi="Times New Roman" w:eastAsia="宋体"/>
                <w:b w:val="0"/>
                <w:i w:val="0"/>
                <w:sz w:val="21"/>
              </w:rPr>
              <w:t>~75</w:t>
            </w:r>
          </w:p>
        </w:tc>
        <w:tc>
          <w:tcPr>
            <w:tcW w:type="dxa" w:w="1805"/>
            <w:vAlign w:val="center"/>
          </w:tcPr>
          <w:p>
            <w:pPr>
              <w:jc w:val="center"/>
            </w:pPr>
            <w:r>
              <w:rPr>
                <w:rFonts w:ascii="Times New Roman" w:hAnsi="Times New Roman" w:eastAsia="宋体"/>
                <w:b w:val="0"/>
                <w:i w:val="0"/>
                <w:sz w:val="21"/>
              </w:rPr>
              <w:t>~135</w:t>
            </w:r>
          </w:p>
        </w:tc>
        <w:tc>
          <w:tcPr>
            <w:tcW w:type="dxa" w:w="1805"/>
            <w:vAlign w:val="center"/>
          </w:tcPr>
          <w:p>
            <w:pPr>
              <w:jc w:val="center"/>
            </w:pPr>
            <w:r>
              <w:rPr>
                <w:rFonts w:ascii="Times New Roman" w:hAnsi="Times New Roman" w:eastAsia="宋体"/>
                <w:b w:val="0"/>
                <w:i w:val="0"/>
                <w:sz w:val="21"/>
              </w:rPr>
              <w:t>+19.7%</w:t>
            </w:r>
          </w:p>
        </w:tc>
      </w:tr>
      <w:tr>
        <w:tc>
          <w:tcPr>
            <w:tcW w:type="dxa" w:w="1805"/>
            <w:vAlign w:val="center"/>
          </w:tcPr>
          <w:p>
            <w:pPr>
              <w:jc w:val="center"/>
            </w:pPr>
            <w:r>
              <w:rPr>
                <w:rFonts w:ascii="Times New Roman" w:hAnsi="Times New Roman" w:eastAsia="宋体"/>
                <w:b w:val="0"/>
                <w:i w:val="0"/>
                <w:sz w:val="21"/>
              </w:rPr>
              <w:t>1D-CNN</w:t>
            </w:r>
          </w:p>
        </w:tc>
        <w:tc>
          <w:tcPr>
            <w:tcW w:type="dxa" w:w="1805"/>
            <w:vAlign w:val="center"/>
          </w:tcPr>
          <w:p>
            <w:pPr>
              <w:jc w:val="center"/>
            </w:pPr>
            <w:r>
              <w:rPr>
                <w:rFonts w:ascii="Times New Roman" w:hAnsi="Times New Roman" w:eastAsia="宋体"/>
                <w:b w:val="0"/>
                <w:i w:val="0"/>
                <w:sz w:val="21"/>
              </w:rPr>
              <w:t>0.83</w:t>
            </w:r>
          </w:p>
        </w:tc>
        <w:tc>
          <w:tcPr>
            <w:tcW w:type="dxa" w:w="1805"/>
            <w:vAlign w:val="center"/>
          </w:tcPr>
          <w:p>
            <w:pPr>
              <w:jc w:val="center"/>
            </w:pPr>
            <w:r>
              <w:rPr>
                <w:rFonts w:ascii="Times New Roman" w:hAnsi="Times New Roman" w:eastAsia="宋体"/>
                <w:b w:val="0"/>
                <w:i w:val="0"/>
                <w:sz w:val="21"/>
              </w:rPr>
              <w:t>~80</w:t>
            </w:r>
          </w:p>
        </w:tc>
        <w:tc>
          <w:tcPr>
            <w:tcW w:type="dxa" w:w="1805"/>
            <w:vAlign w:val="center"/>
          </w:tcPr>
          <w:p>
            <w:pPr>
              <w:jc w:val="center"/>
            </w:pPr>
            <w:r>
              <w:rPr>
                <w:rFonts w:ascii="Times New Roman" w:hAnsi="Times New Roman" w:eastAsia="宋体"/>
                <w:b w:val="0"/>
                <w:i w:val="0"/>
                <w:sz w:val="21"/>
              </w:rPr>
              <w:t>~145</w:t>
            </w:r>
          </w:p>
        </w:tc>
        <w:tc>
          <w:tcPr>
            <w:tcW w:type="dxa" w:w="1805"/>
            <w:vAlign w:val="center"/>
          </w:tcPr>
          <w:p>
            <w:pPr>
              <w:jc w:val="center"/>
            </w:pPr>
            <w:r>
              <w:rPr>
                <w:rFonts w:ascii="Times New Roman" w:hAnsi="Times New Roman" w:eastAsia="宋体"/>
                <w:b w:val="0"/>
                <w:i w:val="0"/>
                <w:sz w:val="21"/>
              </w:rPr>
              <w:t>+16.9%</w:t>
            </w:r>
          </w:p>
        </w:tc>
      </w:tr>
      <w:tr>
        <w:tc>
          <w:tcPr>
            <w:tcW w:type="dxa" w:w="1805"/>
            <w:vAlign w:val="center"/>
          </w:tcPr>
          <w:p>
            <w:pPr>
              <w:jc w:val="center"/>
            </w:pPr>
            <w:r>
              <w:rPr>
                <w:rFonts w:ascii="Times New Roman" w:hAnsi="Times New Roman" w:eastAsia="宋体"/>
                <w:b w:val="0"/>
                <w:i w:val="0"/>
                <w:sz w:val="21"/>
              </w:rPr>
              <w:t>XGBoost+PSO</w:t>
            </w:r>
          </w:p>
        </w:tc>
        <w:tc>
          <w:tcPr>
            <w:tcW w:type="dxa" w:w="1805"/>
            <w:vAlign w:val="center"/>
          </w:tcPr>
          <w:p>
            <w:pPr>
              <w:jc w:val="center"/>
            </w:pPr>
            <w:r>
              <w:rPr>
                <w:rFonts w:ascii="Times New Roman" w:hAnsi="Times New Roman" w:eastAsia="宋体"/>
                <w:b w:val="0"/>
                <w:i w:val="0"/>
                <w:sz w:val="21"/>
              </w:rPr>
              <w:t>0.9388</w:t>
            </w:r>
          </w:p>
        </w:tc>
        <w:tc>
          <w:tcPr>
            <w:tcW w:type="dxa" w:w="1805"/>
            <w:vAlign w:val="center"/>
          </w:tcPr>
          <w:p>
            <w:pPr>
              <w:jc w:val="center"/>
            </w:pPr>
            <w:r>
              <w:rPr>
                <w:rFonts w:ascii="Times New Roman" w:hAnsi="Times New Roman" w:eastAsia="宋体"/>
                <w:b w:val="0"/>
                <w:i w:val="0"/>
                <w:sz w:val="21"/>
              </w:rPr>
              <w:t>50.14</w:t>
            </w:r>
          </w:p>
        </w:tc>
        <w:tc>
          <w:tcPr>
            <w:tcW w:type="dxa" w:w="1805"/>
            <w:vAlign w:val="center"/>
          </w:tcPr>
          <w:p>
            <w:pPr>
              <w:jc w:val="center"/>
            </w:pPr>
            <w:r>
              <w:rPr>
                <w:rFonts w:ascii="Times New Roman" w:hAnsi="Times New Roman" w:eastAsia="宋体"/>
                <w:b w:val="0"/>
                <w:i w:val="0"/>
                <w:sz w:val="21"/>
              </w:rPr>
              <w:t>110.55</w:t>
            </w:r>
          </w:p>
        </w:tc>
        <w:tc>
          <w:tcPr>
            <w:tcW w:type="dxa" w:w="1805"/>
            <w:vAlign w:val="center"/>
          </w:tcPr>
          <w:p>
            <w:pPr>
              <w:jc w:val="center"/>
            </w:pPr>
            <w:r>
              <w:rPr>
                <w:rFonts w:ascii="Times New Roman" w:hAnsi="Times New Roman" w:eastAsia="宋体"/>
                <w:b w:val="0"/>
                <w:i w:val="0"/>
                <w:sz w:val="21"/>
              </w:rPr>
              <w:t>+32.2%</w:t>
            </w:r>
          </w:p>
        </w:tc>
      </w:tr>
    </w:tbl>
    <w:p>
      <w:pPr>
        <w:spacing w:before="40" w:after="160"/>
        <w:jc w:val="center"/>
      </w:pPr>
      <w:r>
        <w:rPr>
          <w:rFonts w:ascii="Times New Roman" w:hAnsi="Times New Roman" w:eastAsia="宋体"/>
          <w:b/>
          <w:i w:val="0"/>
          <w:sz w:val="21"/>
        </w:rPr>
        <w:t>表4-4  五种模型测试集性能综合对比（XGBoost+PSO相对R²提升以SVM为基准）</w:t>
      </w:r>
    </w:p>
    <w:p>
      <w:pPr>
        <w:spacing w:before="80" w:after="80"/>
      </w:pPr>
      <w:r>
        <w:rPr>
          <w:rFonts w:ascii="Times New Roman" w:hAnsi="Times New Roman" w:eastAsia="宋体"/>
          <w:b/>
          <w:i w:val="0"/>
          <w:sz w:val="24"/>
        </w:rPr>
        <w:t>4.5.3  5折时序交叉验证</w:t>
      </w:r>
    </w:p>
    <w:p>
      <w:pPr>
        <w:spacing w:line="440" w:lineRule="exact" w:after="0"/>
        <w:ind w:firstLine="420"/>
      </w:pPr>
      <w:r>
        <w:rPr>
          <w:rFonts w:ascii="Times New Roman" w:hAnsi="Times New Roman" w:eastAsia="宋体"/>
          <w:b w:val="0"/>
          <w:i w:val="0"/>
          <w:sz w:val="24"/>
        </w:rPr>
        <w:t>对PSO-XGBoost模型进行5折时序滚动交叉验证（TimeSeriesSplit），各折结果如图4-8所示。5折CV均值R²=0.8862，标准差=0.1012。</w:t>
      </w:r>
    </w:p>
    <w:p>
      <w:pPr>
        <w:spacing w:line="440" w:lineRule="exact" w:after="0"/>
        <w:ind w:firstLine="420"/>
      </w:pPr>
      <w:r>
        <w:rPr>
          <w:rFonts w:ascii="Times New Roman" w:hAnsi="Times New Roman" w:eastAsia="宋体"/>
          <w:b w:val="0"/>
          <w:i w:val="0"/>
          <w:sz w:val="24"/>
        </w:rPr>
        <w:t>第2折（训练集仅390条）R²=0.6950偏低，反映了模型对训练数据量的依赖；随训练集增大至1160条（第3折）和1545条（第4折），R²迅速提升至0.97以上，说明模型具有良好的数据扩展性。学习曲线的变化趋势验证了在当前数据规模下模型尚处于"高偏差-可优化"区间，继续积累数据有望进一步提升性能。</w:t>
      </w:r>
    </w:p>
    <w:p>
      <w:pPr>
        <w:spacing w:before="80"/>
        <w:jc w:val="center"/>
      </w:pPr>
      <w:r>
        <w:drawing>
          <wp:inline xmlns:a="http://schemas.openxmlformats.org/drawingml/2006/main" xmlns:pic="http://schemas.openxmlformats.org/drawingml/2006/picture">
            <wp:extent cx="4680000" cy="1953071"/>
            <wp:docPr id="6" name="Picture 6"/>
            <wp:cNvGraphicFramePr>
              <a:graphicFrameLocks noChangeAspect="1"/>
            </wp:cNvGraphicFramePr>
            <a:graphic>
              <a:graphicData uri="http://schemas.openxmlformats.org/drawingml/2006/picture">
                <pic:pic>
                  <pic:nvPicPr>
                    <pic:cNvPr id="0" name="fig4_8_cv_results.png"/>
                    <pic:cNvPicPr/>
                  </pic:nvPicPr>
                  <pic:blipFill>
                    <a:blip r:embed="rId14"/>
                    <a:stretch>
                      <a:fillRect/>
                    </a:stretch>
                  </pic:blipFill>
                  <pic:spPr>
                    <a:xfrm>
                      <a:off x="0" y="0"/>
                      <a:ext cx="4680000" cy="1953071"/>
                    </a:xfrm>
                    <a:prstGeom prst="rect"/>
                  </pic:spPr>
                </pic:pic>
              </a:graphicData>
            </a:graphic>
          </wp:inline>
        </w:drawing>
      </w:r>
    </w:p>
    <w:p>
      <w:pPr>
        <w:spacing w:before="40" w:after="160"/>
        <w:jc w:val="center"/>
      </w:pPr>
      <w:r>
        <w:rPr>
          <w:rFonts w:ascii="Times New Roman" w:hAnsi="Times New Roman" w:eastAsia="宋体"/>
          <w:b/>
          <w:i w:val="0"/>
          <w:sz w:val="21"/>
        </w:rPr>
        <w:t>图4-8  XGBoost模型5折时序交叉验证结果（左：各折R²；右：学习曲线）</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vAlign w:val="center"/>
          </w:tcPr>
          <w:p>
            <w:pPr>
              <w:jc w:val="center"/>
            </w:pPr>
            <w:r>
              <w:rPr>
                <w:rFonts w:ascii="Times New Roman" w:hAnsi="Times New Roman" w:eastAsia="宋体"/>
                <w:b/>
                <w:i w:val="0"/>
                <w:sz w:val="21"/>
              </w:rPr>
              <w:t>折次</w:t>
            </w:r>
          </w:p>
        </w:tc>
        <w:tc>
          <w:tcPr>
            <w:tcW w:type="dxa" w:w="1805"/>
            <w:vAlign w:val="center"/>
          </w:tcPr>
          <w:p>
            <w:pPr>
              <w:jc w:val="center"/>
            </w:pPr>
            <w:r>
              <w:rPr>
                <w:rFonts w:ascii="Times New Roman" w:hAnsi="Times New Roman" w:eastAsia="宋体"/>
                <w:b/>
                <w:i w:val="0"/>
                <w:sz w:val="21"/>
              </w:rPr>
              <w:t>训练集</w:t>
            </w:r>
          </w:p>
        </w:tc>
        <w:tc>
          <w:tcPr>
            <w:tcW w:type="dxa" w:w="1805"/>
            <w:vAlign w:val="center"/>
          </w:tcPr>
          <w:p>
            <w:pPr>
              <w:jc w:val="center"/>
            </w:pPr>
            <w:r>
              <w:rPr>
                <w:rFonts w:ascii="Times New Roman" w:hAnsi="Times New Roman" w:eastAsia="宋体"/>
                <w:b/>
                <w:i w:val="0"/>
                <w:sz w:val="21"/>
              </w:rPr>
              <w:t>测试集</w:t>
            </w:r>
          </w:p>
        </w:tc>
        <w:tc>
          <w:tcPr>
            <w:tcW w:type="dxa" w:w="1805"/>
            <w:vAlign w:val="center"/>
          </w:tcPr>
          <w:p>
            <w:pPr>
              <w:jc w:val="center"/>
            </w:pPr>
            <w:r>
              <w:rPr>
                <w:rFonts w:ascii="Times New Roman" w:hAnsi="Times New Roman" w:eastAsia="宋体"/>
                <w:b/>
                <w:i w:val="0"/>
                <w:sz w:val="21"/>
              </w:rPr>
              <w:t>R²</w:t>
            </w:r>
          </w:p>
        </w:tc>
        <w:tc>
          <w:tcPr>
            <w:tcW w:type="dxa" w:w="1805"/>
            <w:vAlign w:val="center"/>
          </w:tcPr>
          <w:p>
            <w:pPr>
              <w:jc w:val="center"/>
            </w:pPr>
            <w:r>
              <w:rPr>
                <w:rFonts w:ascii="Times New Roman" w:hAnsi="Times New Roman" w:eastAsia="宋体"/>
                <w:b/>
                <w:i w:val="0"/>
                <w:sz w:val="21"/>
              </w:rPr>
              <w:t>MAE (mg/m³)</w:t>
            </w:r>
          </w:p>
        </w:tc>
      </w:tr>
      <w:tr>
        <w:tc>
          <w:tcPr>
            <w:tcW w:type="dxa" w:w="1805"/>
            <w:vAlign w:val="center"/>
          </w:tcPr>
          <w:p>
            <w:pPr>
              <w:jc w:val="center"/>
            </w:pPr>
            <w:r>
              <w:rPr>
                <w:rFonts w:ascii="Times New Roman" w:hAnsi="Times New Roman" w:eastAsia="宋体"/>
                <w:b w:val="0"/>
                <w:i w:val="0"/>
                <w:sz w:val="21"/>
              </w:rPr>
              <w:t>第1折</w:t>
            </w:r>
          </w:p>
        </w:tc>
        <w:tc>
          <w:tcPr>
            <w:tcW w:type="dxa" w:w="1805"/>
            <w:vAlign w:val="center"/>
          </w:tcPr>
          <w:p>
            <w:pPr>
              <w:jc w:val="center"/>
            </w:pPr>
            <w:r>
              <w:rPr>
                <w:rFonts w:ascii="Times New Roman" w:hAnsi="Times New Roman" w:eastAsia="宋体"/>
                <w:b w:val="0"/>
                <w:i w:val="0"/>
                <w:sz w:val="21"/>
              </w:rPr>
              <w:t>390</w:t>
            </w:r>
          </w:p>
        </w:tc>
        <w:tc>
          <w:tcPr>
            <w:tcW w:type="dxa" w:w="1805"/>
            <w:vAlign w:val="center"/>
          </w:tcPr>
          <w:p>
            <w:pPr>
              <w:jc w:val="center"/>
            </w:pPr>
            <w:r>
              <w:rPr>
                <w:rFonts w:ascii="Times New Roman" w:hAnsi="Times New Roman" w:eastAsia="宋体"/>
                <w:b w:val="0"/>
                <w:i w:val="0"/>
                <w:sz w:val="21"/>
              </w:rPr>
              <w:t>385</w:t>
            </w:r>
          </w:p>
        </w:tc>
        <w:tc>
          <w:tcPr>
            <w:tcW w:type="dxa" w:w="1805"/>
            <w:vAlign w:val="center"/>
          </w:tcPr>
          <w:p>
            <w:pPr>
              <w:jc w:val="center"/>
            </w:pPr>
            <w:r>
              <w:rPr>
                <w:rFonts w:ascii="Times New Roman" w:hAnsi="Times New Roman" w:eastAsia="宋体"/>
                <w:b w:val="0"/>
                <w:i w:val="0"/>
                <w:sz w:val="21"/>
              </w:rPr>
              <w:t>0.8929</w:t>
            </w:r>
          </w:p>
        </w:tc>
        <w:tc>
          <w:tcPr>
            <w:tcW w:type="dxa" w:w="1805"/>
            <w:vAlign w:val="center"/>
          </w:tcPr>
          <w:p>
            <w:pPr>
              <w:jc w:val="center"/>
            </w:pPr>
            <w:r>
              <w:rPr>
                <w:rFonts w:ascii="Times New Roman" w:hAnsi="Times New Roman" w:eastAsia="宋体"/>
                <w:b w:val="0"/>
                <w:i w:val="0"/>
                <w:sz w:val="21"/>
              </w:rPr>
              <w:t>63.91</w:t>
            </w:r>
          </w:p>
        </w:tc>
      </w:tr>
      <w:tr>
        <w:tc>
          <w:tcPr>
            <w:tcW w:type="dxa" w:w="1805"/>
            <w:vAlign w:val="center"/>
          </w:tcPr>
          <w:p>
            <w:pPr>
              <w:jc w:val="center"/>
            </w:pPr>
            <w:r>
              <w:rPr>
                <w:rFonts w:ascii="Times New Roman" w:hAnsi="Times New Roman" w:eastAsia="宋体"/>
                <w:b w:val="0"/>
                <w:i w:val="0"/>
                <w:sz w:val="21"/>
              </w:rPr>
              <w:t>第2折</w:t>
            </w:r>
          </w:p>
        </w:tc>
        <w:tc>
          <w:tcPr>
            <w:tcW w:type="dxa" w:w="1805"/>
            <w:vAlign w:val="center"/>
          </w:tcPr>
          <w:p>
            <w:pPr>
              <w:jc w:val="center"/>
            </w:pPr>
            <w:r>
              <w:rPr>
                <w:rFonts w:ascii="Times New Roman" w:hAnsi="Times New Roman" w:eastAsia="宋体"/>
                <w:b w:val="0"/>
                <w:i w:val="0"/>
                <w:sz w:val="21"/>
              </w:rPr>
              <w:t>775</w:t>
            </w:r>
          </w:p>
        </w:tc>
        <w:tc>
          <w:tcPr>
            <w:tcW w:type="dxa" w:w="1805"/>
            <w:vAlign w:val="center"/>
          </w:tcPr>
          <w:p>
            <w:pPr>
              <w:jc w:val="center"/>
            </w:pPr>
            <w:r>
              <w:rPr>
                <w:rFonts w:ascii="Times New Roman" w:hAnsi="Times New Roman" w:eastAsia="宋体"/>
                <w:b w:val="0"/>
                <w:i w:val="0"/>
                <w:sz w:val="21"/>
              </w:rPr>
              <w:t>385</w:t>
            </w:r>
          </w:p>
        </w:tc>
        <w:tc>
          <w:tcPr>
            <w:tcW w:type="dxa" w:w="1805"/>
            <w:vAlign w:val="center"/>
          </w:tcPr>
          <w:p>
            <w:pPr>
              <w:jc w:val="center"/>
            </w:pPr>
            <w:r>
              <w:rPr>
                <w:rFonts w:ascii="Times New Roman" w:hAnsi="Times New Roman" w:eastAsia="宋体"/>
                <w:b w:val="0"/>
                <w:i w:val="0"/>
                <w:sz w:val="21"/>
              </w:rPr>
              <w:t>0.6950</w:t>
            </w:r>
          </w:p>
        </w:tc>
        <w:tc>
          <w:tcPr>
            <w:tcW w:type="dxa" w:w="1805"/>
            <w:vAlign w:val="center"/>
          </w:tcPr>
          <w:p>
            <w:pPr>
              <w:jc w:val="center"/>
            </w:pPr>
            <w:r>
              <w:rPr>
                <w:rFonts w:ascii="Times New Roman" w:hAnsi="Times New Roman" w:eastAsia="宋体"/>
                <w:b w:val="0"/>
                <w:i w:val="0"/>
                <w:sz w:val="21"/>
              </w:rPr>
              <w:t>52.26</w:t>
            </w:r>
          </w:p>
        </w:tc>
      </w:tr>
      <w:tr>
        <w:tc>
          <w:tcPr>
            <w:tcW w:type="dxa" w:w="1805"/>
            <w:vAlign w:val="center"/>
          </w:tcPr>
          <w:p>
            <w:pPr>
              <w:jc w:val="center"/>
            </w:pPr>
            <w:r>
              <w:rPr>
                <w:rFonts w:ascii="Times New Roman" w:hAnsi="Times New Roman" w:eastAsia="宋体"/>
                <w:b w:val="0"/>
                <w:i w:val="0"/>
                <w:sz w:val="21"/>
              </w:rPr>
              <w:t>第3折</w:t>
            </w:r>
          </w:p>
        </w:tc>
        <w:tc>
          <w:tcPr>
            <w:tcW w:type="dxa" w:w="1805"/>
            <w:vAlign w:val="center"/>
          </w:tcPr>
          <w:p>
            <w:pPr>
              <w:jc w:val="center"/>
            </w:pPr>
            <w:r>
              <w:rPr>
                <w:rFonts w:ascii="Times New Roman" w:hAnsi="Times New Roman" w:eastAsia="宋体"/>
                <w:b w:val="0"/>
                <w:i w:val="0"/>
                <w:sz w:val="21"/>
              </w:rPr>
              <w:t>1160</w:t>
            </w:r>
          </w:p>
        </w:tc>
        <w:tc>
          <w:tcPr>
            <w:tcW w:type="dxa" w:w="1805"/>
            <w:vAlign w:val="center"/>
          </w:tcPr>
          <w:p>
            <w:pPr>
              <w:jc w:val="center"/>
            </w:pPr>
            <w:r>
              <w:rPr>
                <w:rFonts w:ascii="Times New Roman" w:hAnsi="Times New Roman" w:eastAsia="宋体"/>
                <w:b w:val="0"/>
                <w:i w:val="0"/>
                <w:sz w:val="21"/>
              </w:rPr>
              <w:t>385</w:t>
            </w:r>
          </w:p>
        </w:tc>
        <w:tc>
          <w:tcPr>
            <w:tcW w:type="dxa" w:w="1805"/>
            <w:vAlign w:val="center"/>
          </w:tcPr>
          <w:p>
            <w:pPr>
              <w:jc w:val="center"/>
            </w:pPr>
            <w:r>
              <w:rPr>
                <w:rFonts w:ascii="Times New Roman" w:hAnsi="Times New Roman" w:eastAsia="宋体"/>
                <w:b w:val="0"/>
                <w:i w:val="0"/>
                <w:sz w:val="21"/>
              </w:rPr>
              <w:t>0.9721</w:t>
            </w:r>
          </w:p>
        </w:tc>
        <w:tc>
          <w:tcPr>
            <w:tcW w:type="dxa" w:w="1805"/>
            <w:vAlign w:val="center"/>
          </w:tcPr>
          <w:p>
            <w:pPr>
              <w:jc w:val="center"/>
            </w:pPr>
            <w:r>
              <w:rPr>
                <w:rFonts w:ascii="Times New Roman" w:hAnsi="Times New Roman" w:eastAsia="宋体"/>
                <w:b w:val="0"/>
                <w:i w:val="0"/>
                <w:sz w:val="21"/>
              </w:rPr>
              <w:t>24.23</w:t>
            </w:r>
          </w:p>
        </w:tc>
      </w:tr>
      <w:tr>
        <w:tc>
          <w:tcPr>
            <w:tcW w:type="dxa" w:w="1805"/>
            <w:vAlign w:val="center"/>
          </w:tcPr>
          <w:p>
            <w:pPr>
              <w:jc w:val="center"/>
            </w:pPr>
            <w:r>
              <w:rPr>
                <w:rFonts w:ascii="Times New Roman" w:hAnsi="Times New Roman" w:eastAsia="宋体"/>
                <w:b w:val="0"/>
                <w:i w:val="0"/>
                <w:sz w:val="21"/>
              </w:rPr>
              <w:t>第4折</w:t>
            </w:r>
          </w:p>
        </w:tc>
        <w:tc>
          <w:tcPr>
            <w:tcW w:type="dxa" w:w="1805"/>
            <w:vAlign w:val="center"/>
          </w:tcPr>
          <w:p>
            <w:pPr>
              <w:jc w:val="center"/>
            </w:pPr>
            <w:r>
              <w:rPr>
                <w:rFonts w:ascii="Times New Roman" w:hAnsi="Times New Roman" w:eastAsia="宋体"/>
                <w:b w:val="0"/>
                <w:i w:val="0"/>
                <w:sz w:val="21"/>
              </w:rPr>
              <w:t>1545</w:t>
            </w:r>
          </w:p>
        </w:tc>
        <w:tc>
          <w:tcPr>
            <w:tcW w:type="dxa" w:w="1805"/>
            <w:vAlign w:val="center"/>
          </w:tcPr>
          <w:p>
            <w:pPr>
              <w:jc w:val="center"/>
            </w:pPr>
            <w:r>
              <w:rPr>
                <w:rFonts w:ascii="Times New Roman" w:hAnsi="Times New Roman" w:eastAsia="宋体"/>
                <w:b w:val="0"/>
                <w:i w:val="0"/>
                <w:sz w:val="21"/>
              </w:rPr>
              <w:t>385</w:t>
            </w:r>
          </w:p>
        </w:tc>
        <w:tc>
          <w:tcPr>
            <w:tcW w:type="dxa" w:w="1805"/>
            <w:vAlign w:val="center"/>
          </w:tcPr>
          <w:p>
            <w:pPr>
              <w:jc w:val="center"/>
            </w:pPr>
            <w:r>
              <w:rPr>
                <w:rFonts w:ascii="Times New Roman" w:hAnsi="Times New Roman" w:eastAsia="宋体"/>
                <w:b w:val="0"/>
                <w:i w:val="0"/>
                <w:sz w:val="21"/>
              </w:rPr>
              <w:t>0.9700</w:t>
            </w:r>
          </w:p>
        </w:tc>
        <w:tc>
          <w:tcPr>
            <w:tcW w:type="dxa" w:w="1805"/>
            <w:vAlign w:val="center"/>
          </w:tcPr>
          <w:p>
            <w:pPr>
              <w:jc w:val="center"/>
            </w:pPr>
            <w:r>
              <w:rPr>
                <w:rFonts w:ascii="Times New Roman" w:hAnsi="Times New Roman" w:eastAsia="宋体"/>
                <w:b w:val="0"/>
                <w:i w:val="0"/>
                <w:sz w:val="21"/>
              </w:rPr>
              <w:t>19.85</w:t>
            </w:r>
          </w:p>
        </w:tc>
      </w:tr>
      <w:tr>
        <w:tc>
          <w:tcPr>
            <w:tcW w:type="dxa" w:w="1805"/>
            <w:vAlign w:val="center"/>
          </w:tcPr>
          <w:p>
            <w:pPr>
              <w:jc w:val="center"/>
            </w:pPr>
            <w:r>
              <w:rPr>
                <w:rFonts w:ascii="Times New Roman" w:hAnsi="Times New Roman" w:eastAsia="宋体"/>
                <w:b w:val="0"/>
                <w:i w:val="0"/>
                <w:sz w:val="21"/>
              </w:rPr>
              <w:t>第5折</w:t>
            </w:r>
          </w:p>
        </w:tc>
        <w:tc>
          <w:tcPr>
            <w:tcW w:type="dxa" w:w="1805"/>
            <w:vAlign w:val="center"/>
          </w:tcPr>
          <w:p>
            <w:pPr>
              <w:jc w:val="center"/>
            </w:pPr>
            <w:r>
              <w:rPr>
                <w:rFonts w:ascii="Times New Roman" w:hAnsi="Times New Roman" w:eastAsia="宋体"/>
                <w:b w:val="0"/>
                <w:i w:val="0"/>
                <w:sz w:val="21"/>
              </w:rPr>
              <w:t>1930</w:t>
            </w:r>
          </w:p>
        </w:tc>
        <w:tc>
          <w:tcPr>
            <w:tcW w:type="dxa" w:w="1805"/>
            <w:vAlign w:val="center"/>
          </w:tcPr>
          <w:p>
            <w:pPr>
              <w:jc w:val="center"/>
            </w:pPr>
            <w:r>
              <w:rPr>
                <w:rFonts w:ascii="Times New Roman" w:hAnsi="Times New Roman" w:eastAsia="宋体"/>
                <w:b w:val="0"/>
                <w:i w:val="0"/>
                <w:sz w:val="21"/>
              </w:rPr>
              <w:t>385</w:t>
            </w:r>
          </w:p>
        </w:tc>
        <w:tc>
          <w:tcPr>
            <w:tcW w:type="dxa" w:w="1805"/>
            <w:vAlign w:val="center"/>
          </w:tcPr>
          <w:p>
            <w:pPr>
              <w:jc w:val="center"/>
            </w:pPr>
            <w:r>
              <w:rPr>
                <w:rFonts w:ascii="Times New Roman" w:hAnsi="Times New Roman" w:eastAsia="宋体"/>
                <w:b w:val="0"/>
                <w:i w:val="0"/>
                <w:sz w:val="21"/>
              </w:rPr>
              <w:t>0.9008</w:t>
            </w:r>
          </w:p>
        </w:tc>
        <w:tc>
          <w:tcPr>
            <w:tcW w:type="dxa" w:w="1805"/>
            <w:vAlign w:val="center"/>
          </w:tcPr>
          <w:p>
            <w:pPr>
              <w:jc w:val="center"/>
            </w:pPr>
            <w:r>
              <w:rPr>
                <w:rFonts w:ascii="Times New Roman" w:hAnsi="Times New Roman" w:eastAsia="宋体"/>
                <w:b w:val="0"/>
                <w:i w:val="0"/>
                <w:sz w:val="21"/>
              </w:rPr>
              <w:t>81.53</w:t>
            </w:r>
          </w:p>
        </w:tc>
      </w:tr>
      <w:tr>
        <w:tc>
          <w:tcPr>
            <w:tcW w:type="dxa" w:w="1805"/>
            <w:vAlign w:val="center"/>
          </w:tcPr>
          <w:p>
            <w:pPr>
              <w:jc w:val="center"/>
            </w:pPr>
            <w:r>
              <w:rPr>
                <w:rFonts w:ascii="Times New Roman" w:hAnsi="Times New Roman" w:eastAsia="宋体"/>
                <w:b w:val="0"/>
                <w:i w:val="0"/>
                <w:sz w:val="21"/>
              </w:rPr>
              <w:t>均值±σ</w:t>
            </w:r>
          </w:p>
        </w:tc>
        <w:tc>
          <w:tcPr>
            <w:tcW w:type="dxa" w:w="1805"/>
            <w:vAlign w:val="center"/>
          </w:tcPr>
          <w:p>
            <w:pPr>
              <w:jc w:val="center"/>
            </w:pPr>
            <w:r>
              <w:rPr>
                <w:rFonts w:ascii="Times New Roman" w:hAnsi="Times New Roman" w:eastAsia="宋体"/>
                <w:b w:val="0"/>
                <w:i w:val="0"/>
                <w:sz w:val="21"/>
              </w:rPr>
              <w:t>—</w:t>
            </w:r>
          </w:p>
        </w:tc>
        <w:tc>
          <w:tcPr>
            <w:tcW w:type="dxa" w:w="1805"/>
            <w:vAlign w:val="center"/>
          </w:tcPr>
          <w:p>
            <w:pPr>
              <w:jc w:val="center"/>
            </w:pPr>
            <w:r>
              <w:rPr>
                <w:rFonts w:ascii="Times New Roman" w:hAnsi="Times New Roman" w:eastAsia="宋体"/>
                <w:b w:val="0"/>
                <w:i w:val="0"/>
                <w:sz w:val="21"/>
              </w:rPr>
              <w:t>—</w:t>
            </w:r>
          </w:p>
        </w:tc>
        <w:tc>
          <w:tcPr>
            <w:tcW w:type="dxa" w:w="1805"/>
            <w:vAlign w:val="center"/>
          </w:tcPr>
          <w:p>
            <w:pPr>
              <w:jc w:val="center"/>
            </w:pPr>
            <w:r>
              <w:rPr>
                <w:rFonts w:ascii="Times New Roman" w:hAnsi="Times New Roman" w:eastAsia="宋体"/>
                <w:b w:val="0"/>
                <w:i w:val="0"/>
                <w:sz w:val="21"/>
              </w:rPr>
              <w:t>0.8862±0.1012</w:t>
            </w:r>
          </w:p>
        </w:tc>
        <w:tc>
          <w:tcPr>
            <w:tcW w:type="dxa" w:w="1805"/>
            <w:vAlign w:val="center"/>
          </w:tcPr>
          <w:p>
            <w:pPr>
              <w:jc w:val="center"/>
            </w:pPr>
            <w:r>
              <w:rPr>
                <w:rFonts w:ascii="Times New Roman" w:hAnsi="Times New Roman" w:eastAsia="宋体"/>
                <w:b w:val="0"/>
                <w:i w:val="0"/>
                <w:sz w:val="21"/>
              </w:rPr>
              <w:t>—</w:t>
            </w:r>
          </w:p>
        </w:tc>
      </w:tr>
    </w:tbl>
    <w:p>
      <w:pPr>
        <w:spacing w:before="40" w:after="160"/>
        <w:jc w:val="center"/>
      </w:pPr>
      <w:r>
        <w:rPr>
          <w:rFonts w:ascii="Times New Roman" w:hAnsi="Times New Roman" w:eastAsia="宋体"/>
          <w:b/>
          <w:i w:val="0"/>
          <w:sz w:val="21"/>
        </w:rPr>
        <w:t>表4-5  XGBoost模型5折时序交叉验证详细结果</w:t>
      </w:r>
    </w:p>
    <w:p>
      <w:pPr>
        <w:spacing w:before="80" w:after="80"/>
      </w:pPr>
      <w:r>
        <w:rPr>
          <w:rFonts w:ascii="Times New Roman" w:hAnsi="Times New Roman" w:eastAsia="宋体"/>
          <w:b/>
          <w:i w:val="0"/>
          <w:sz w:val="24"/>
        </w:rPr>
        <w:t>4.5.4  特征重要性分析</w:t>
      </w:r>
    </w:p>
    <w:p>
      <w:pPr>
        <w:spacing w:line="440" w:lineRule="exact" w:after="0"/>
        <w:ind w:firstLine="420"/>
      </w:pPr>
      <w:r>
        <w:rPr>
          <w:rFonts w:ascii="Times New Roman" w:hAnsi="Times New Roman" w:eastAsia="宋体"/>
          <w:b w:val="0"/>
          <w:i w:val="0"/>
          <w:sz w:val="24"/>
        </w:rPr>
        <w:t>图4-6展示了XGBoost模型内置的增益（gain）特征重要性排名。CO自回归特征合计贡献66.71%（co_lag1: 37.79%、co_ma5: 17.27%、co_diff1: 11.22%），说明CO序列的强自相关性是短期预测的主导信息来源，这与时序预测的内在规律完全一致。在物理特征中，负压_6（4.26%）和温度_16（3.68%）贡献最为突出，与随机森林预分析（温度58.5%）和Ridge回归分析结果相互印证。</w:t>
      </w:r>
    </w:p>
    <w:p>
      <w:pPr>
        <w:spacing w:before="80"/>
        <w:jc w:val="center"/>
      </w:pPr>
      <w:r>
        <w:drawing>
          <wp:inline xmlns:a="http://schemas.openxmlformats.org/drawingml/2006/main" xmlns:pic="http://schemas.openxmlformats.org/drawingml/2006/picture">
            <wp:extent cx="5040000" cy="2517572"/>
            <wp:docPr id="7" name="Picture 7"/>
            <wp:cNvGraphicFramePr>
              <a:graphicFrameLocks noChangeAspect="1"/>
            </wp:cNvGraphicFramePr>
            <a:graphic>
              <a:graphicData uri="http://schemas.openxmlformats.org/drawingml/2006/picture">
                <pic:pic>
                  <pic:nvPicPr>
                    <pic:cNvPr id="0" name="fig4_6_importance.png"/>
                    <pic:cNvPicPr/>
                  </pic:nvPicPr>
                  <pic:blipFill>
                    <a:blip r:embed="rId15"/>
                    <a:stretch>
                      <a:fillRect/>
                    </a:stretch>
                  </pic:blipFill>
                  <pic:spPr>
                    <a:xfrm>
                      <a:off x="0" y="0"/>
                      <a:ext cx="5040000" cy="2517572"/>
                    </a:xfrm>
                    <a:prstGeom prst="rect"/>
                  </pic:spPr>
                </pic:pic>
              </a:graphicData>
            </a:graphic>
          </wp:inline>
        </w:drawing>
      </w:r>
    </w:p>
    <w:p>
      <w:pPr>
        <w:spacing w:before="40" w:after="160"/>
        <w:jc w:val="center"/>
      </w:pPr>
      <w:r>
        <w:rPr>
          <w:rFonts w:ascii="Times New Roman" w:hAnsi="Times New Roman" w:eastAsia="宋体"/>
          <w:b/>
          <w:i w:val="0"/>
          <w:sz w:val="21"/>
        </w:rPr>
        <w:t>图4-6  XGBoost模型Top-20特征重要性排名（左）及各类别汇总（右）</w:t>
      </w:r>
    </w:p>
    <w:p>
      <w:pPr>
        <w:spacing w:before="160" w:after="80"/>
      </w:pPr>
      <w:r>
        <w:rPr>
          <w:rFonts w:ascii="Times New Roman" w:hAnsi="Times New Roman" w:eastAsia="宋体"/>
          <w:b/>
          <w:i w:val="0"/>
          <w:sz w:val="28"/>
        </w:rPr>
        <w:t>4.6  结果预测</w:t>
      </w:r>
    </w:p>
    <w:p>
      <w:pPr>
        <w:spacing w:before="80" w:after="80"/>
      </w:pPr>
      <w:r>
        <w:rPr>
          <w:rFonts w:ascii="Times New Roman" w:hAnsi="Times New Roman" w:eastAsia="宋体"/>
          <w:b/>
          <w:i w:val="0"/>
          <w:sz w:val="24"/>
        </w:rPr>
        <w:t>4.6.1  测试集预测结果</w:t>
      </w:r>
    </w:p>
    <w:p>
      <w:pPr>
        <w:spacing w:line="440" w:lineRule="exact" w:after="0"/>
        <w:ind w:firstLine="420"/>
      </w:pPr>
      <w:r>
        <w:rPr>
          <w:rFonts w:ascii="Times New Roman" w:hAnsi="Times New Roman" w:eastAsia="宋体"/>
          <w:b w:val="0"/>
          <w:i w:val="0"/>
          <w:sz w:val="24"/>
        </w:rPr>
        <w:t>图4-7(a)展示了测试集（695条）预测值与真实值的散点分布，各点高度集中在理想预测线（y=x）附近，R²=0.9388，MAE=50.14 mg/m³，RMSE=110.55 mg/m³，表明模型对CO浓度的整体趋势和幅值均有良好的预测能力。图4-7(b)进一步展示了前300个测试点的时序预测曲线，预测值与真实值的走势高度吻合，±RMSE置信带（±110.55 mg/m³）覆盖了绝大部分真实值。</w:t>
      </w:r>
    </w:p>
    <w:p>
      <w:pPr>
        <w:spacing w:before="80"/>
        <w:jc w:val="center"/>
      </w:pPr>
      <w:r>
        <w:drawing>
          <wp:inline xmlns:a="http://schemas.openxmlformats.org/drawingml/2006/main" xmlns:pic="http://schemas.openxmlformats.org/drawingml/2006/picture">
            <wp:extent cx="5760000" cy="4001457"/>
            <wp:docPr id="8" name="Picture 8"/>
            <wp:cNvGraphicFramePr>
              <a:graphicFrameLocks noChangeAspect="1"/>
            </wp:cNvGraphicFramePr>
            <a:graphic>
              <a:graphicData uri="http://schemas.openxmlformats.org/drawingml/2006/picture">
                <pic:pic>
                  <pic:nvPicPr>
                    <pic:cNvPr id="0" name="fig4_7_prediction.png"/>
                    <pic:cNvPicPr/>
                  </pic:nvPicPr>
                  <pic:blipFill>
                    <a:blip r:embed="rId16"/>
                    <a:stretch>
                      <a:fillRect/>
                    </a:stretch>
                  </pic:blipFill>
                  <pic:spPr>
                    <a:xfrm>
                      <a:off x="0" y="0"/>
                      <a:ext cx="5760000" cy="4001457"/>
                    </a:xfrm>
                    <a:prstGeom prst="rect"/>
                  </pic:spPr>
                </pic:pic>
              </a:graphicData>
            </a:graphic>
          </wp:inline>
        </w:drawing>
      </w:r>
    </w:p>
    <w:p>
      <w:pPr>
        <w:spacing w:before="40" w:after="160"/>
        <w:jc w:val="center"/>
      </w:pPr>
      <w:r>
        <w:rPr>
          <w:rFonts w:ascii="Times New Roman" w:hAnsi="Times New Roman" w:eastAsia="宋体"/>
          <w:b/>
          <w:i w:val="0"/>
          <w:sz w:val="21"/>
        </w:rPr>
        <w:t>图4-7  测试集预测结果分析（散点图、时序曲线、残差分布、误差累积分布）</w:t>
      </w:r>
    </w:p>
    <w:p>
      <w:pPr>
        <w:spacing w:before="80" w:after="80"/>
      </w:pPr>
      <w:r>
        <w:rPr>
          <w:rFonts w:ascii="Times New Roman" w:hAnsi="Times New Roman" w:eastAsia="宋体"/>
          <w:b/>
          <w:i w:val="0"/>
          <w:sz w:val="24"/>
        </w:rPr>
        <w:t>4.6.2  基于预测结果的性能分析</w:t>
      </w:r>
    </w:p>
    <w:p>
      <w:pPr>
        <w:spacing w:line="440" w:lineRule="exact" w:after="0"/>
        <w:ind w:firstLine="420"/>
      </w:pPr>
      <w:r>
        <w:rPr>
          <w:rFonts w:ascii="Times New Roman" w:hAnsi="Times New Roman" w:eastAsia="宋体"/>
          <w:b w:val="0"/>
          <w:i w:val="0"/>
          <w:sz w:val="24"/>
        </w:rPr>
        <w:t>（1）残差分布（图4-7(c)）：残差 eᵢ = yᵢ − ŷᵢ 呈近似正态分布，均值接近0（无系统性偏差），正态拟合曲线与直方图高度吻合，说明模型的误差随机性良好，无明显的规律性偏误。尾部轻微右偏对应高CO浓度区间的轻微低估，与CO自回归特征的均值回归效应相关。</w:t>
      </w:r>
    </w:p>
    <w:p>
      <w:pPr>
        <w:spacing w:line="440" w:lineRule="exact" w:after="0"/>
        <w:ind w:firstLine="420"/>
      </w:pPr>
      <w:r>
        <w:rPr>
          <w:rFonts w:ascii="Times New Roman" w:hAnsi="Times New Roman" w:eastAsia="宋体"/>
          <w:b w:val="0"/>
          <w:i w:val="0"/>
          <w:sz w:val="24"/>
        </w:rPr>
        <w:t>（2）误差累积分布（图4-7(d)）：约68%的预测误差绝对值低于75 mg/m³，87%低于150 mg/m³，93%低于200 mg/m³。误差在较小范围内集中，满足工业在线预测对精度的基本要求。</w:t>
      </w:r>
    </w:p>
    <w:p>
      <w:pPr>
        <w:spacing w:line="440" w:lineRule="exact" w:after="0"/>
        <w:ind w:firstLine="420"/>
      </w:pPr>
      <w:r>
        <w:rPr>
          <w:rFonts w:ascii="Times New Roman" w:hAnsi="Times New Roman" w:eastAsia="宋体"/>
          <w:b w:val="0"/>
          <w:i w:val="0"/>
          <w:sz w:val="24"/>
        </w:rPr>
        <w:t>（3）不确定性与局限性：模型对CO浓度骤变段（如点火期间、工况切换瞬间）的预测误差偏大，主要原因是CO自回归特征在突变时刻存在较大历史惯性偏差（"轨迹滞后"效应）。后续可引入突变检测机制（如CUSUM检验）在突变发生后自动重置自回归特征，提升极端工况鲁棒性。</w:t>
      </w:r>
    </w:p>
    <w:p>
      <w:r>
        <w:br w:type="page"/>
      </w:r>
    </w:p>
    <w:p>
      <w:pPr>
        <w:spacing w:before="160" w:after="80"/>
      </w:pPr>
      <w:r>
        <w:rPr>
          <w:rFonts w:ascii="Times New Roman" w:hAnsi="Times New Roman" w:eastAsia="宋体"/>
          <w:b/>
          <w:i w:val="0"/>
          <w:sz w:val="32"/>
        </w:rPr>
        <w:t>五、问题三：基于PSO的风箱负压优化调控</w:t>
      </w:r>
    </w:p>
    <w:p>
      <w:pPr>
        <w:spacing w:before="160" w:after="80"/>
      </w:pPr>
      <w:r>
        <w:rPr>
          <w:rFonts w:ascii="Times New Roman" w:hAnsi="Times New Roman" w:eastAsia="宋体"/>
          <w:b/>
          <w:i w:val="0"/>
          <w:sz w:val="28"/>
        </w:rPr>
        <w:t>5.1  问题分析</w:t>
      </w:r>
    </w:p>
    <w:p>
      <w:pPr>
        <w:spacing w:line="440" w:lineRule="exact" w:after="0"/>
        <w:ind w:firstLine="420"/>
      </w:pPr>
      <w:r>
        <w:rPr>
          <w:rFonts w:ascii="Times New Roman" w:hAnsi="Times New Roman" w:eastAsia="宋体"/>
          <w:b w:val="0"/>
          <w:i w:val="0"/>
          <w:sz w:val="24"/>
        </w:rPr>
        <w:t>在问题二建立的XGBoost预测模型基础上，本问题进一步构建优化调控模型：以18个风箱负压为决策变量，以最小化稳态CO浓度为优化目标，在历史可行范围约束下求解最优负压配置方案，为烧结机减排控制提供量化参考。</w:t>
      </w:r>
    </w:p>
    <w:p>
      <w:pPr>
        <w:spacing w:line="440" w:lineRule="exact" w:after="0"/>
        <w:ind w:firstLine="420"/>
      </w:pPr>
      <w:r>
        <w:rPr>
          <w:rFonts w:ascii="Times New Roman" w:hAnsi="Times New Roman" w:eastAsia="宋体"/>
          <w:b w:val="0"/>
          <w:i w:val="0"/>
          <w:sz w:val="24"/>
        </w:rPr>
        <w:t>本问题有两个核心技术难点：①循环依赖问题：XGBoost模型的输入包含CO自回归特征，而稳态CO值本身是待求变量，直接代入将导致循环引用，需通过不动点迭代处理；②可靠性约束：优化结果需在工程扰动下保持有效，需对趋近约束边界的解施加惩罚，避免实际执行时因微小偏差导致方案越界失效。</w:t>
      </w:r>
    </w:p>
    <w:p>
      <w:pPr>
        <w:spacing w:before="160" w:after="80"/>
      </w:pPr>
      <w:r>
        <w:rPr>
          <w:rFonts w:ascii="Times New Roman" w:hAnsi="Times New Roman" w:eastAsia="宋体"/>
          <w:b/>
          <w:i w:val="0"/>
          <w:sz w:val="28"/>
        </w:rPr>
        <w:t>5.2  优化模型构建</w:t>
      </w:r>
    </w:p>
    <w:p>
      <w:pPr>
        <w:spacing w:before="80" w:after="80"/>
      </w:pPr>
      <w:r>
        <w:rPr>
          <w:rFonts w:ascii="Times New Roman" w:hAnsi="Times New Roman" w:eastAsia="宋体"/>
          <w:b/>
          <w:i w:val="0"/>
          <w:sz w:val="24"/>
        </w:rPr>
        <w:t>5.2.1  决策变量与约束条件</w:t>
      </w:r>
    </w:p>
    <w:p>
      <w:pPr>
        <w:spacing w:line="440" w:lineRule="exact" w:after="0"/>
        <w:ind w:firstLine="420"/>
      </w:pPr>
      <w:r>
        <w:rPr>
          <w:rFonts w:ascii="Times New Roman" w:hAnsi="Times New Roman" w:eastAsia="宋体"/>
          <w:b w:val="0"/>
          <w:i w:val="0"/>
          <w:sz w:val="24"/>
        </w:rPr>
        <w:t>决策变量为18维风箱负压向量 P = [P₁, P₂, …, P₁₈]ᵀ ∈ ℝ¹⁸，约束为历史数据的10%–90%分位数范围（基于2315条有效样本估计）：</w:t>
      </w:r>
    </w:p>
    <w:p>
      <w:pPr>
        <w:spacing w:before="60" w:after="60"/>
        <w:jc w:val="center"/>
      </w:pPr>
      <w:r>
        <w:rPr>
          <w:rFonts w:ascii="Times New Roman" w:hAnsi="Times New Roman" w:eastAsia="宋体"/>
          <w:i/>
          <w:sz w:val="24"/>
        </w:rPr>
        <w:t>Q₁₀(Pᵢ) ≤ Pᵢ ≤ Q₉₀(Pᵢ),   i = 1, 2, …, 18    (21)</w:t>
      </w:r>
    </w:p>
    <w:p>
      <w:pPr>
        <w:spacing w:line="440" w:lineRule="exact" w:after="0"/>
        <w:ind w:firstLine="420"/>
      </w:pPr>
      <w:r>
        <w:rPr>
          <w:rFonts w:ascii="Times New Roman" w:hAnsi="Times New Roman" w:eastAsia="宋体"/>
          <w:b w:val="0"/>
          <w:i w:val="0"/>
          <w:sz w:val="24"/>
        </w:rPr>
        <w:t>采用10%–90%分位数而非极值范围的理由：极值范围包含传感器异常点和极端工况点，使用分位数范围确保优化结果在正常运营工况下具有可实施性。非决策物理量（温度、机速、大烟道参数）固定为历史中位值，反映典型正常工况。</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vAlign w:val="center"/>
          </w:tcPr>
          <w:p>
            <w:pPr>
              <w:jc w:val="center"/>
            </w:pPr>
            <w:r>
              <w:rPr>
                <w:rFonts w:ascii="Times New Roman" w:hAnsi="Times New Roman" w:eastAsia="宋体"/>
                <w:b/>
                <w:i w:val="0"/>
                <w:sz w:val="21"/>
              </w:rPr>
              <w:t>风箱</w:t>
            </w:r>
          </w:p>
        </w:tc>
        <w:tc>
          <w:tcPr>
            <w:tcW w:type="dxa" w:w="1805"/>
            <w:vAlign w:val="center"/>
          </w:tcPr>
          <w:p>
            <w:pPr>
              <w:jc w:val="center"/>
            </w:pPr>
            <w:r>
              <w:rPr>
                <w:rFonts w:ascii="Times New Roman" w:hAnsi="Times New Roman" w:eastAsia="宋体"/>
                <w:b/>
                <w:i w:val="0"/>
                <w:sz w:val="21"/>
              </w:rPr>
              <w:t>下限Q₁₀(Pa)</w:t>
            </w:r>
          </w:p>
        </w:tc>
        <w:tc>
          <w:tcPr>
            <w:tcW w:type="dxa" w:w="1805"/>
            <w:vAlign w:val="center"/>
          </w:tcPr>
          <w:p>
            <w:pPr>
              <w:jc w:val="center"/>
            </w:pPr>
            <w:r>
              <w:rPr>
                <w:rFonts w:ascii="Times New Roman" w:hAnsi="Times New Roman" w:eastAsia="宋体"/>
                <w:b/>
                <w:i w:val="0"/>
                <w:sz w:val="21"/>
              </w:rPr>
              <w:t>历史中位</w:t>
            </w:r>
          </w:p>
        </w:tc>
        <w:tc>
          <w:tcPr>
            <w:tcW w:type="dxa" w:w="1805"/>
            <w:vAlign w:val="center"/>
          </w:tcPr>
          <w:p>
            <w:pPr>
              <w:jc w:val="center"/>
            </w:pPr>
            <w:r>
              <w:rPr>
                <w:rFonts w:ascii="Times New Roman" w:hAnsi="Times New Roman" w:eastAsia="宋体"/>
                <w:b/>
                <w:i w:val="0"/>
                <w:sz w:val="21"/>
              </w:rPr>
              <w:t>上限Q₉₀(Pa)</w:t>
            </w:r>
          </w:p>
        </w:tc>
        <w:tc>
          <w:tcPr>
            <w:tcW w:type="dxa" w:w="1805"/>
            <w:vAlign w:val="center"/>
          </w:tcPr>
          <w:p>
            <w:pPr>
              <w:jc w:val="center"/>
            </w:pPr>
            <w:r>
              <w:rPr>
                <w:rFonts w:ascii="Times New Roman" w:hAnsi="Times New Roman" w:eastAsia="宋体"/>
                <w:b/>
                <w:i w:val="0"/>
                <w:sz w:val="21"/>
              </w:rPr>
              <w:t>调节范围(Pa)</w:t>
            </w:r>
          </w:p>
        </w:tc>
      </w:tr>
      <w:tr>
        <w:tc>
          <w:tcPr>
            <w:tcW w:type="dxa" w:w="1805"/>
            <w:vAlign w:val="center"/>
          </w:tcPr>
          <w:p>
            <w:pPr>
              <w:jc w:val="center"/>
            </w:pPr>
            <w:r>
              <w:rPr>
                <w:rFonts w:ascii="Times New Roman" w:hAnsi="Times New Roman" w:eastAsia="宋体"/>
                <w:b w:val="0"/>
                <w:i w:val="0"/>
                <w:sz w:val="21"/>
              </w:rPr>
              <w:t>1#</w:t>
            </w:r>
          </w:p>
        </w:tc>
        <w:tc>
          <w:tcPr>
            <w:tcW w:type="dxa" w:w="1805"/>
            <w:vAlign w:val="center"/>
          </w:tcPr>
          <w:p>
            <w:pPr>
              <w:jc w:val="center"/>
            </w:pPr>
            <w:r>
              <w:rPr>
                <w:rFonts w:ascii="Times New Roman" w:hAnsi="Times New Roman" w:eastAsia="宋体"/>
                <w:b w:val="0"/>
                <w:i w:val="0"/>
                <w:sz w:val="21"/>
              </w:rPr>
              <w:t>−11.89</w:t>
            </w:r>
          </w:p>
        </w:tc>
        <w:tc>
          <w:tcPr>
            <w:tcW w:type="dxa" w:w="1805"/>
            <w:vAlign w:val="center"/>
          </w:tcPr>
          <w:p>
            <w:pPr>
              <w:jc w:val="center"/>
            </w:pPr>
            <w:r>
              <w:rPr>
                <w:rFonts w:ascii="Times New Roman" w:hAnsi="Times New Roman" w:eastAsia="宋体"/>
                <w:b w:val="0"/>
                <w:i w:val="0"/>
                <w:sz w:val="21"/>
              </w:rPr>
              <w:t>−11.43</w:t>
            </w:r>
          </w:p>
        </w:tc>
        <w:tc>
          <w:tcPr>
            <w:tcW w:type="dxa" w:w="1805"/>
            <w:vAlign w:val="center"/>
          </w:tcPr>
          <w:p>
            <w:pPr>
              <w:jc w:val="center"/>
            </w:pPr>
            <w:r>
              <w:rPr>
                <w:rFonts w:ascii="Times New Roman" w:hAnsi="Times New Roman" w:eastAsia="宋体"/>
                <w:b w:val="0"/>
                <w:i w:val="0"/>
                <w:sz w:val="21"/>
              </w:rPr>
              <w:t>−10.98</w:t>
            </w:r>
          </w:p>
        </w:tc>
        <w:tc>
          <w:tcPr>
            <w:tcW w:type="dxa" w:w="1805"/>
            <w:vAlign w:val="center"/>
          </w:tcPr>
          <w:p>
            <w:pPr>
              <w:jc w:val="center"/>
            </w:pPr>
            <w:r>
              <w:rPr>
                <w:rFonts w:ascii="Times New Roman" w:hAnsi="Times New Roman" w:eastAsia="宋体"/>
                <w:b w:val="0"/>
                <w:i w:val="0"/>
                <w:sz w:val="21"/>
              </w:rPr>
              <w:t>0.91</w:t>
            </w:r>
          </w:p>
        </w:tc>
      </w:tr>
      <w:tr>
        <w:tc>
          <w:tcPr>
            <w:tcW w:type="dxa" w:w="1805"/>
            <w:vAlign w:val="center"/>
          </w:tcPr>
          <w:p>
            <w:pPr>
              <w:jc w:val="center"/>
            </w:pPr>
            <w:r>
              <w:rPr>
                <w:rFonts w:ascii="Times New Roman" w:hAnsi="Times New Roman" w:eastAsia="宋体"/>
                <w:b w:val="0"/>
                <w:i w:val="0"/>
                <w:sz w:val="21"/>
              </w:rPr>
              <w:t>6#</w:t>
            </w:r>
          </w:p>
        </w:tc>
        <w:tc>
          <w:tcPr>
            <w:tcW w:type="dxa" w:w="1805"/>
            <w:vAlign w:val="center"/>
          </w:tcPr>
          <w:p>
            <w:pPr>
              <w:jc w:val="center"/>
            </w:pPr>
            <w:r>
              <w:rPr>
                <w:rFonts w:ascii="Times New Roman" w:hAnsi="Times New Roman" w:eastAsia="宋体"/>
                <w:b w:val="0"/>
                <w:i w:val="0"/>
                <w:sz w:val="21"/>
              </w:rPr>
              <w:t>−14.62</w:t>
            </w:r>
          </w:p>
        </w:tc>
        <w:tc>
          <w:tcPr>
            <w:tcW w:type="dxa" w:w="1805"/>
            <w:vAlign w:val="center"/>
          </w:tcPr>
          <w:p>
            <w:pPr>
              <w:jc w:val="center"/>
            </w:pPr>
            <w:r>
              <w:rPr>
                <w:rFonts w:ascii="Times New Roman" w:hAnsi="Times New Roman" w:eastAsia="宋体"/>
                <w:b w:val="0"/>
                <w:i w:val="0"/>
                <w:sz w:val="21"/>
              </w:rPr>
              <w:t>−14.25</w:t>
            </w:r>
          </w:p>
        </w:tc>
        <w:tc>
          <w:tcPr>
            <w:tcW w:type="dxa" w:w="1805"/>
            <w:vAlign w:val="center"/>
          </w:tcPr>
          <w:p>
            <w:pPr>
              <w:jc w:val="center"/>
            </w:pPr>
            <w:r>
              <w:rPr>
                <w:rFonts w:ascii="Times New Roman" w:hAnsi="Times New Roman" w:eastAsia="宋体"/>
                <w:b w:val="0"/>
                <w:i w:val="0"/>
                <w:sz w:val="21"/>
              </w:rPr>
              <w:t>−13.79</w:t>
            </w:r>
          </w:p>
        </w:tc>
        <w:tc>
          <w:tcPr>
            <w:tcW w:type="dxa" w:w="1805"/>
            <w:vAlign w:val="center"/>
          </w:tcPr>
          <w:p>
            <w:pPr>
              <w:jc w:val="center"/>
            </w:pPr>
            <w:r>
              <w:rPr>
                <w:rFonts w:ascii="Times New Roman" w:hAnsi="Times New Roman" w:eastAsia="宋体"/>
                <w:b w:val="0"/>
                <w:i w:val="0"/>
                <w:sz w:val="21"/>
              </w:rPr>
              <w:t>0.83</w:t>
            </w:r>
          </w:p>
        </w:tc>
      </w:tr>
      <w:tr>
        <w:tc>
          <w:tcPr>
            <w:tcW w:type="dxa" w:w="1805"/>
            <w:vAlign w:val="center"/>
          </w:tcPr>
          <w:p>
            <w:pPr>
              <w:jc w:val="center"/>
            </w:pPr>
            <w:r>
              <w:rPr>
                <w:rFonts w:ascii="Times New Roman" w:hAnsi="Times New Roman" w:eastAsia="宋体"/>
                <w:b w:val="0"/>
                <w:i w:val="0"/>
                <w:sz w:val="21"/>
              </w:rPr>
              <w:t>14#</w:t>
            </w:r>
          </w:p>
        </w:tc>
        <w:tc>
          <w:tcPr>
            <w:tcW w:type="dxa" w:w="1805"/>
            <w:vAlign w:val="center"/>
          </w:tcPr>
          <w:p>
            <w:pPr>
              <w:jc w:val="center"/>
            </w:pPr>
            <w:r>
              <w:rPr>
                <w:rFonts w:ascii="Times New Roman" w:hAnsi="Times New Roman" w:eastAsia="宋体"/>
                <w:b w:val="0"/>
                <w:i w:val="0"/>
                <w:sz w:val="21"/>
              </w:rPr>
              <w:t>−14.37</w:t>
            </w:r>
          </w:p>
        </w:tc>
        <w:tc>
          <w:tcPr>
            <w:tcW w:type="dxa" w:w="1805"/>
            <w:vAlign w:val="center"/>
          </w:tcPr>
          <w:p>
            <w:pPr>
              <w:jc w:val="center"/>
            </w:pPr>
            <w:r>
              <w:rPr>
                <w:rFonts w:ascii="Times New Roman" w:hAnsi="Times New Roman" w:eastAsia="宋体"/>
                <w:b w:val="0"/>
                <w:i w:val="0"/>
                <w:sz w:val="21"/>
              </w:rPr>
              <w:t>−13.99</w:t>
            </w:r>
          </w:p>
        </w:tc>
        <w:tc>
          <w:tcPr>
            <w:tcW w:type="dxa" w:w="1805"/>
            <w:vAlign w:val="center"/>
          </w:tcPr>
          <w:p>
            <w:pPr>
              <w:jc w:val="center"/>
            </w:pPr>
            <w:r>
              <w:rPr>
                <w:rFonts w:ascii="Times New Roman" w:hAnsi="Times New Roman" w:eastAsia="宋体"/>
                <w:b w:val="0"/>
                <w:i w:val="0"/>
                <w:sz w:val="21"/>
              </w:rPr>
              <w:t>−13.35</w:t>
            </w:r>
          </w:p>
        </w:tc>
        <w:tc>
          <w:tcPr>
            <w:tcW w:type="dxa" w:w="1805"/>
            <w:vAlign w:val="center"/>
          </w:tcPr>
          <w:p>
            <w:pPr>
              <w:jc w:val="center"/>
            </w:pPr>
            <w:r>
              <w:rPr>
                <w:rFonts w:ascii="Times New Roman" w:hAnsi="Times New Roman" w:eastAsia="宋体"/>
                <w:b w:val="0"/>
                <w:i w:val="0"/>
                <w:sz w:val="21"/>
              </w:rPr>
              <w:t>1.02</w:t>
            </w:r>
          </w:p>
        </w:tc>
      </w:tr>
      <w:tr>
        <w:tc>
          <w:tcPr>
            <w:tcW w:type="dxa" w:w="1805"/>
            <w:vAlign w:val="center"/>
          </w:tcPr>
          <w:p>
            <w:pPr>
              <w:jc w:val="center"/>
            </w:pPr>
            <w:r>
              <w:rPr>
                <w:rFonts w:ascii="Times New Roman" w:hAnsi="Times New Roman" w:eastAsia="宋体"/>
                <w:b w:val="0"/>
                <w:i w:val="0"/>
                <w:sz w:val="21"/>
              </w:rPr>
              <w:t>16#</w:t>
            </w:r>
          </w:p>
        </w:tc>
        <w:tc>
          <w:tcPr>
            <w:tcW w:type="dxa" w:w="1805"/>
            <w:vAlign w:val="center"/>
          </w:tcPr>
          <w:p>
            <w:pPr>
              <w:jc w:val="center"/>
            </w:pPr>
            <w:r>
              <w:rPr>
                <w:rFonts w:ascii="Times New Roman" w:hAnsi="Times New Roman" w:eastAsia="宋体"/>
                <w:b w:val="0"/>
                <w:i w:val="0"/>
                <w:sz w:val="21"/>
              </w:rPr>
              <w:t>−14.16</w:t>
            </w:r>
          </w:p>
        </w:tc>
        <w:tc>
          <w:tcPr>
            <w:tcW w:type="dxa" w:w="1805"/>
            <w:vAlign w:val="center"/>
          </w:tcPr>
          <w:p>
            <w:pPr>
              <w:jc w:val="center"/>
            </w:pPr>
            <w:r>
              <w:rPr>
                <w:rFonts w:ascii="Times New Roman" w:hAnsi="Times New Roman" w:eastAsia="宋体"/>
                <w:b w:val="0"/>
                <w:i w:val="0"/>
                <w:sz w:val="21"/>
              </w:rPr>
              <w:t>−13.61</w:t>
            </w:r>
          </w:p>
        </w:tc>
        <w:tc>
          <w:tcPr>
            <w:tcW w:type="dxa" w:w="1805"/>
            <w:vAlign w:val="center"/>
          </w:tcPr>
          <w:p>
            <w:pPr>
              <w:jc w:val="center"/>
            </w:pPr>
            <w:r>
              <w:rPr>
                <w:rFonts w:ascii="Times New Roman" w:hAnsi="Times New Roman" w:eastAsia="宋体"/>
                <w:b w:val="0"/>
                <w:i w:val="0"/>
                <w:sz w:val="21"/>
              </w:rPr>
              <w:t>−8.90</w:t>
            </w:r>
          </w:p>
        </w:tc>
        <w:tc>
          <w:tcPr>
            <w:tcW w:type="dxa" w:w="1805"/>
            <w:vAlign w:val="center"/>
          </w:tcPr>
          <w:p>
            <w:pPr>
              <w:jc w:val="center"/>
            </w:pPr>
            <w:r>
              <w:rPr>
                <w:rFonts w:ascii="Times New Roman" w:hAnsi="Times New Roman" w:eastAsia="宋体"/>
                <w:b w:val="0"/>
                <w:i w:val="0"/>
                <w:sz w:val="21"/>
              </w:rPr>
              <w:t>5.26</w:t>
            </w:r>
          </w:p>
        </w:tc>
      </w:tr>
      <w:tr>
        <w:tc>
          <w:tcPr>
            <w:tcW w:type="dxa" w:w="1805"/>
            <w:vAlign w:val="center"/>
          </w:tcPr>
          <w:p>
            <w:pPr>
              <w:jc w:val="center"/>
            </w:pPr>
            <w:r>
              <w:rPr>
                <w:rFonts w:ascii="Times New Roman" w:hAnsi="Times New Roman" w:eastAsia="宋体"/>
                <w:b w:val="0"/>
                <w:i w:val="0"/>
                <w:sz w:val="21"/>
              </w:rPr>
              <w:t>17#</w:t>
            </w:r>
          </w:p>
        </w:tc>
        <w:tc>
          <w:tcPr>
            <w:tcW w:type="dxa" w:w="1805"/>
            <w:vAlign w:val="center"/>
          </w:tcPr>
          <w:p>
            <w:pPr>
              <w:jc w:val="center"/>
            </w:pPr>
            <w:r>
              <w:rPr>
                <w:rFonts w:ascii="Times New Roman" w:hAnsi="Times New Roman" w:eastAsia="宋体"/>
                <w:b w:val="0"/>
                <w:i w:val="0"/>
                <w:sz w:val="21"/>
              </w:rPr>
              <w:t>−13.96</w:t>
            </w:r>
          </w:p>
        </w:tc>
        <w:tc>
          <w:tcPr>
            <w:tcW w:type="dxa" w:w="1805"/>
            <w:vAlign w:val="center"/>
          </w:tcPr>
          <w:p>
            <w:pPr>
              <w:jc w:val="center"/>
            </w:pPr>
            <w:r>
              <w:rPr>
                <w:rFonts w:ascii="Times New Roman" w:hAnsi="Times New Roman" w:eastAsia="宋体"/>
                <w:b w:val="0"/>
                <w:i w:val="0"/>
                <w:sz w:val="21"/>
              </w:rPr>
              <w:t>−13.40</w:t>
            </w:r>
          </w:p>
        </w:tc>
        <w:tc>
          <w:tcPr>
            <w:tcW w:type="dxa" w:w="1805"/>
            <w:vAlign w:val="center"/>
          </w:tcPr>
          <w:p>
            <w:pPr>
              <w:jc w:val="center"/>
            </w:pPr>
            <w:r>
              <w:rPr>
                <w:rFonts w:ascii="Times New Roman" w:hAnsi="Times New Roman" w:eastAsia="宋体"/>
                <w:b w:val="0"/>
                <w:i w:val="0"/>
                <w:sz w:val="21"/>
              </w:rPr>
              <w:t>−7.64</w:t>
            </w:r>
          </w:p>
        </w:tc>
        <w:tc>
          <w:tcPr>
            <w:tcW w:type="dxa" w:w="1805"/>
            <w:vAlign w:val="center"/>
          </w:tcPr>
          <w:p>
            <w:pPr>
              <w:jc w:val="center"/>
            </w:pPr>
            <w:r>
              <w:rPr>
                <w:rFonts w:ascii="Times New Roman" w:hAnsi="Times New Roman" w:eastAsia="宋体"/>
                <w:b w:val="0"/>
                <w:i w:val="0"/>
                <w:sz w:val="21"/>
              </w:rPr>
              <w:t>6.32</w:t>
            </w:r>
          </w:p>
        </w:tc>
      </w:tr>
      <w:tr>
        <w:tc>
          <w:tcPr>
            <w:tcW w:type="dxa" w:w="1805"/>
            <w:vAlign w:val="center"/>
          </w:tcPr>
          <w:p>
            <w:pPr>
              <w:jc w:val="center"/>
            </w:pPr>
            <w:r>
              <w:rPr>
                <w:rFonts w:ascii="Times New Roman" w:hAnsi="Times New Roman" w:eastAsia="宋体"/>
                <w:b w:val="0"/>
                <w:i w:val="0"/>
                <w:sz w:val="21"/>
              </w:rPr>
              <w:t>18#</w:t>
            </w:r>
          </w:p>
        </w:tc>
        <w:tc>
          <w:tcPr>
            <w:tcW w:type="dxa" w:w="1805"/>
            <w:vAlign w:val="center"/>
          </w:tcPr>
          <w:p>
            <w:pPr>
              <w:jc w:val="center"/>
            </w:pPr>
            <w:r>
              <w:rPr>
                <w:rFonts w:ascii="Times New Roman" w:hAnsi="Times New Roman" w:eastAsia="宋体"/>
                <w:b w:val="0"/>
                <w:i w:val="0"/>
                <w:sz w:val="21"/>
              </w:rPr>
              <w:t>−11.46</w:t>
            </w:r>
          </w:p>
        </w:tc>
        <w:tc>
          <w:tcPr>
            <w:tcW w:type="dxa" w:w="1805"/>
            <w:vAlign w:val="center"/>
          </w:tcPr>
          <w:p>
            <w:pPr>
              <w:jc w:val="center"/>
            </w:pPr>
            <w:r>
              <w:rPr>
                <w:rFonts w:ascii="Times New Roman" w:hAnsi="Times New Roman" w:eastAsia="宋体"/>
                <w:b w:val="0"/>
                <w:i w:val="0"/>
                <w:sz w:val="21"/>
              </w:rPr>
              <w:t>−11.14</w:t>
            </w:r>
          </w:p>
        </w:tc>
        <w:tc>
          <w:tcPr>
            <w:tcW w:type="dxa" w:w="1805"/>
            <w:vAlign w:val="center"/>
          </w:tcPr>
          <w:p>
            <w:pPr>
              <w:jc w:val="center"/>
            </w:pPr>
            <w:r>
              <w:rPr>
                <w:rFonts w:ascii="Times New Roman" w:hAnsi="Times New Roman" w:eastAsia="宋体"/>
                <w:b w:val="0"/>
                <w:i w:val="0"/>
                <w:sz w:val="21"/>
              </w:rPr>
              <w:t>−6.47</w:t>
            </w:r>
          </w:p>
        </w:tc>
        <w:tc>
          <w:tcPr>
            <w:tcW w:type="dxa" w:w="1805"/>
            <w:vAlign w:val="center"/>
          </w:tcPr>
          <w:p>
            <w:pPr>
              <w:jc w:val="center"/>
            </w:pPr>
            <w:r>
              <w:rPr>
                <w:rFonts w:ascii="Times New Roman" w:hAnsi="Times New Roman" w:eastAsia="宋体"/>
                <w:b w:val="0"/>
                <w:i w:val="0"/>
                <w:sz w:val="21"/>
              </w:rPr>
              <w:t>4.99</w:t>
            </w:r>
          </w:p>
        </w:tc>
      </w:tr>
    </w:tbl>
    <w:p>
      <w:pPr>
        <w:spacing w:before="40" w:after="160"/>
        <w:jc w:val="center"/>
      </w:pPr>
      <w:r>
        <w:rPr>
          <w:rFonts w:ascii="Times New Roman" w:hAnsi="Times New Roman" w:eastAsia="宋体"/>
          <w:b/>
          <w:i w:val="0"/>
          <w:sz w:val="21"/>
        </w:rPr>
        <w:t>表5-1  代表性风箱负压调节范围（完整18维见附录）</w:t>
      </w:r>
    </w:p>
    <w:p>
      <w:pPr>
        <w:spacing w:before="80" w:after="80"/>
      </w:pPr>
      <w:r>
        <w:rPr>
          <w:rFonts w:ascii="Times New Roman" w:hAnsi="Times New Roman" w:eastAsia="宋体"/>
          <w:b/>
          <w:i w:val="0"/>
          <w:sz w:val="24"/>
        </w:rPr>
        <w:t>5.2.2  稳态CO计算——不动点迭代</w:t>
      </w:r>
    </w:p>
    <w:p>
      <w:pPr>
        <w:spacing w:line="440" w:lineRule="exact" w:after="0"/>
        <w:ind w:firstLine="420"/>
      </w:pPr>
      <w:r>
        <w:rPr>
          <w:rFonts w:ascii="Times New Roman" w:hAnsi="Times New Roman" w:eastAsia="宋体"/>
          <w:b w:val="0"/>
          <w:i w:val="0"/>
          <w:sz w:val="24"/>
        </w:rPr>
        <w:t>XGBoost模型的84维输入中包含5个CO自回归特征，在稳态假设下（CO不再随时间变化），这些特征均等于稳态值CO*，一阶差分 co_diff1 = 0。由此构成自洽方程：</w:t>
      </w:r>
    </w:p>
    <w:p>
      <w:pPr>
        <w:spacing w:before="60" w:after="60"/>
        <w:jc w:val="center"/>
      </w:pPr>
      <w:r>
        <w:rPr>
          <w:rFonts w:ascii="Times New Roman" w:hAnsi="Times New Roman" w:eastAsia="宋体"/>
          <w:i/>
          <w:sz w:val="24"/>
        </w:rPr>
        <w:t>CO* = f_XGB(P, CO*)   ⟺   G(CO*) = 0    (22)</w:t>
      </w:r>
    </w:p>
    <w:p>
      <w:pPr>
        <w:spacing w:line="440" w:lineRule="exact" w:after="0"/>
        <w:ind w:firstLine="420"/>
      </w:pPr>
      <w:r>
        <w:rPr>
          <w:rFonts w:ascii="Times New Roman" w:hAnsi="Times New Roman" w:eastAsia="宋体"/>
          <w:b w:val="0"/>
          <w:i w:val="0"/>
          <w:sz w:val="24"/>
        </w:rPr>
        <w:t>此即不动点方程，采用含阻尼系数的不动点迭代求解（防止震荡）：</w:t>
      </w:r>
    </w:p>
    <w:p>
      <w:pPr>
        <w:spacing w:before="60" w:after="60"/>
        <w:jc w:val="center"/>
      </w:pPr>
      <w:r>
        <w:rPr>
          <w:rFonts w:ascii="Times New Roman" w:hAnsi="Times New Roman" w:eastAsia="宋体"/>
          <w:i/>
          <w:sz w:val="24"/>
        </w:rPr>
        <w:t>CO*_{n+1} = α·f_XGB(P, CO*_n) + (1−α)·CO*_n    (23)</w:t>
      </w:r>
    </w:p>
    <w:p>
      <w:pPr>
        <w:spacing w:line="440" w:lineRule="exact" w:after="0"/>
        <w:ind w:firstLine="420"/>
      </w:pPr>
      <w:r>
        <w:rPr>
          <w:rFonts w:ascii="Times New Roman" w:hAnsi="Times New Roman" w:eastAsia="宋体"/>
          <w:b w:val="0"/>
          <w:i w:val="0"/>
          <w:sz w:val="24"/>
        </w:rPr>
        <w:t>阻尼系数 α=0.4，初始值取历史CO中位数（3495.4 mg/m³），收敛判据 |CO*_{n+1}−CO*_n| &lt; 0.5 mg/m³，最多迭代80步。图5-3展示了在最优负压和历史中位负压两种配置下不动点迭代的收敛过程，两种情景均在约20步内收敛，最优负压下稳态CO收敛至1299.5 mg/m³。</w:t>
      </w:r>
    </w:p>
    <w:p>
      <w:pPr>
        <w:spacing w:before="80"/>
        <w:jc w:val="center"/>
      </w:pPr>
      <w:r>
        <w:drawing>
          <wp:inline xmlns:a="http://schemas.openxmlformats.org/drawingml/2006/main" xmlns:pic="http://schemas.openxmlformats.org/drawingml/2006/picture">
            <wp:extent cx="4320000" cy="2679494"/>
            <wp:docPr id="9" name="Picture 9"/>
            <wp:cNvGraphicFramePr>
              <a:graphicFrameLocks noChangeAspect="1"/>
            </wp:cNvGraphicFramePr>
            <a:graphic>
              <a:graphicData uri="http://schemas.openxmlformats.org/drawingml/2006/picture">
                <pic:pic>
                  <pic:nvPicPr>
                    <pic:cNvPr id="0" name="fig5_3_fixedpoint.png"/>
                    <pic:cNvPicPr/>
                  </pic:nvPicPr>
                  <pic:blipFill>
                    <a:blip r:embed="rId17"/>
                    <a:stretch>
                      <a:fillRect/>
                    </a:stretch>
                  </pic:blipFill>
                  <pic:spPr>
                    <a:xfrm>
                      <a:off x="0" y="0"/>
                      <a:ext cx="4320000" cy="2679494"/>
                    </a:xfrm>
                    <a:prstGeom prst="rect"/>
                  </pic:spPr>
                </pic:pic>
              </a:graphicData>
            </a:graphic>
          </wp:inline>
        </w:drawing>
      </w:r>
    </w:p>
    <w:p>
      <w:pPr>
        <w:spacing w:before="40" w:after="160"/>
        <w:jc w:val="center"/>
      </w:pPr>
      <w:r>
        <w:rPr>
          <w:rFonts w:ascii="Times New Roman" w:hAnsi="Times New Roman" w:eastAsia="宋体"/>
          <w:b/>
          <w:i w:val="0"/>
          <w:sz w:val="21"/>
        </w:rPr>
        <w:t>图5-3  稳态CO不动点迭代收敛过程（两种压力配置对比）</w:t>
      </w:r>
    </w:p>
    <w:p>
      <w:pPr>
        <w:spacing w:before="80" w:after="80"/>
      </w:pPr>
      <w:r>
        <w:rPr>
          <w:rFonts w:ascii="Times New Roman" w:hAnsi="Times New Roman" w:eastAsia="宋体"/>
          <w:b/>
          <w:i w:val="0"/>
          <w:sz w:val="24"/>
        </w:rPr>
        <w:t>5.2.3  目标函数与可靠性惩罚项</w:t>
      </w:r>
    </w:p>
    <w:p>
      <w:pPr>
        <w:spacing w:line="440" w:lineRule="exact" w:after="0"/>
        <w:ind w:firstLine="420"/>
      </w:pPr>
      <w:r>
        <w:rPr>
          <w:rFonts w:ascii="Times New Roman" w:hAnsi="Times New Roman" w:eastAsia="宋体"/>
          <w:b w:val="0"/>
          <w:i w:val="0"/>
          <w:sz w:val="24"/>
        </w:rPr>
        <w:t>优化目标为最小化稳态CO浓度，同时对趋近约束边界的解施加指数型可靠性惩罚：</w:t>
      </w:r>
    </w:p>
    <w:p>
      <w:pPr>
        <w:spacing w:before="60" w:after="60"/>
        <w:jc w:val="center"/>
      </w:pPr>
      <w:r>
        <w:rPr>
          <w:rFonts w:ascii="Times New Roman" w:hAnsi="Times New Roman" w:eastAsia="宋体"/>
          <w:i/>
          <w:sz w:val="24"/>
        </w:rPr>
        <w:t>min F(P) = CO*(P) + α_pen · Σᵢ exp(−10·dᵢ)    (24)</w:t>
      </w:r>
    </w:p>
    <w:p>
      <w:pPr>
        <w:spacing w:line="440" w:lineRule="exact" w:after="0"/>
        <w:ind w:firstLine="420"/>
      </w:pPr>
      <w:r>
        <w:rPr>
          <w:rFonts w:ascii="Times New Roman" w:hAnsi="Times New Roman" w:eastAsia="宋体"/>
          <w:b w:val="0"/>
          <w:i w:val="0"/>
          <w:sz w:val="24"/>
        </w:rPr>
        <w:t>其中归一化边界距离 dᵢ = min(Pᵢ−LBᵢ, UBᵢ−Pᵢ) / (UBᵢ−LBᵢ) ∈ [0, 0.5]，dᵢ→0 表示该维度趋近边界，惩罚项 exp(−10·dᵢ) 急剧增大；自适应惩罚系数 α_pen 从50线性增长至500（随PSO迭代次数增加），在前期允许算法自由探索，后期逐步加强可靠性约束，引导粒子向内部聚集。</w:t>
      </w:r>
    </w:p>
    <w:p>
      <w:pPr>
        <w:spacing w:before="160" w:after="80"/>
      </w:pPr>
      <w:r>
        <w:rPr>
          <w:rFonts w:ascii="Times New Roman" w:hAnsi="Times New Roman" w:eastAsia="宋体"/>
          <w:b/>
          <w:i w:val="0"/>
          <w:sz w:val="28"/>
        </w:rPr>
        <w:t>5.3  自适应PSO压力优化算法</w:t>
      </w:r>
    </w:p>
    <w:p>
      <w:pPr>
        <w:spacing w:line="440" w:lineRule="exact" w:after="0"/>
        <w:ind w:firstLine="420"/>
      </w:pPr>
      <w:r>
        <w:rPr>
          <w:rFonts w:ascii="Times New Roman" w:hAnsi="Times New Roman" w:eastAsia="宋体"/>
          <w:b w:val="0"/>
          <w:i w:val="0"/>
          <w:sz w:val="24"/>
        </w:rPr>
        <w:t>针对18维连续空间的全局寻优问题，采用自适应惯性权重PSO（Adaptive Inertia Weight PSO）：</w:t>
      </w:r>
    </w:p>
    <w:p>
      <w:pPr>
        <w:spacing w:before="60" w:after="60"/>
        <w:jc w:val="center"/>
      </w:pPr>
      <w:r>
        <w:rPr>
          <w:rFonts w:ascii="Times New Roman" w:hAnsi="Times New Roman" w:eastAsia="宋体"/>
          <w:i/>
          <w:sz w:val="24"/>
        </w:rPr>
        <w:t>vᵢᵗ⁺¹ = w(t)·vᵢᵗ + c₁r₁(p_best_i−xᵢᵗ) + c₂r₂(g_best−xᵢᵗ)    (25)</w:t>
      </w:r>
    </w:p>
    <w:p>
      <w:pPr>
        <w:spacing w:before="60" w:after="60"/>
        <w:jc w:val="center"/>
      </w:pPr>
      <w:r>
        <w:rPr>
          <w:rFonts w:ascii="Times New Roman" w:hAnsi="Times New Roman" w:eastAsia="宋体"/>
          <w:i/>
          <w:sz w:val="24"/>
        </w:rPr>
        <w:t>w(t) = w_max − (w_max−w_min)·t/T_max    (26)</w:t>
      </w:r>
    </w:p>
    <w:p>
      <w:pPr>
        <w:spacing w:line="440" w:lineRule="exact" w:after="0"/>
        <w:ind w:firstLine="420"/>
      </w:pPr>
      <w:r>
        <w:rPr>
          <w:rFonts w:ascii="Times New Roman" w:hAnsi="Times New Roman" w:eastAsia="宋体"/>
          <w:b w:val="0"/>
          <w:i w:val="0"/>
          <w:sz w:val="24"/>
        </w:rPr>
        <w:t>惯性权重 w(t) 从0.9线性衰减至0.4：前期（w大）粒子具有较强的全局探索能力，后期（w小）收敛至局部最优区域精细开发，兼顾"探索-开发"平衡。速度限幅为调节范围的20%，防止粒子越界。</w:t>
      </w:r>
    </w:p>
    <w:p>
      <w:pPr>
        <w:spacing w:line="440" w:lineRule="exact" w:after="0"/>
        <w:ind w:firstLine="420"/>
      </w:pPr>
      <w:r>
        <w:rPr>
          <w:rFonts w:ascii="Times New Roman" w:hAnsi="Times New Roman" w:eastAsia="宋体"/>
          <w:b w:val="0"/>
          <w:i w:val="0"/>
          <w:sz w:val="24"/>
        </w:rPr>
        <w:t>PSO算法配置：粒子数40，最大迭代次数150，加速系数 c₁=c₂=2.0，随机初始化时将历史中位负压作为一个粒子纳入初始种群，加快初期收敛速度。每次目标函数评估均需调用一次不动点迭代（平均≈20步），总计调用次数约 40×150=6000 次，计算效率是直接遍历方法的数万倍。</w:t>
      </w:r>
    </w:p>
    <w:p>
      <w:pPr>
        <w:spacing w:before="160" w:after="80"/>
      </w:pPr>
      <w:r>
        <w:rPr>
          <w:rFonts w:ascii="Times New Roman" w:hAnsi="Times New Roman" w:eastAsia="宋体"/>
          <w:b/>
          <w:i w:val="0"/>
          <w:sz w:val="28"/>
        </w:rPr>
        <w:t>5.4  优化结果</w:t>
      </w:r>
    </w:p>
    <w:p>
      <w:pPr>
        <w:spacing w:line="440" w:lineRule="exact" w:after="0"/>
        <w:ind w:firstLine="420"/>
      </w:pPr>
      <w:r>
        <w:rPr>
          <w:rFonts w:ascii="Times New Roman" w:hAnsi="Times New Roman" w:eastAsia="宋体"/>
          <w:b w:val="0"/>
          <w:i w:val="0"/>
          <w:sz w:val="24"/>
        </w:rPr>
        <w:t>图5-1综合展示了优化前后的负压配置、调整幅度、CO浓度对比和PSO收敛曲线。最优配置下稳态CO浓度为1299.5 mg/m³，相较于当前工况（3495.4 mg/m³）降低62.82%，达到预期减排目标。</w:t>
      </w:r>
    </w:p>
    <w:p>
      <w:pPr>
        <w:spacing w:before="80"/>
        <w:jc w:val="center"/>
      </w:pPr>
      <w:r>
        <w:drawing>
          <wp:inline xmlns:a="http://schemas.openxmlformats.org/drawingml/2006/main" xmlns:pic="http://schemas.openxmlformats.org/drawingml/2006/picture">
            <wp:extent cx="5760000" cy="3807326"/>
            <wp:docPr id="10" name="Picture 10"/>
            <wp:cNvGraphicFramePr>
              <a:graphicFrameLocks noChangeAspect="1"/>
            </wp:cNvGraphicFramePr>
            <a:graphic>
              <a:graphicData uri="http://schemas.openxmlformats.org/drawingml/2006/picture">
                <pic:pic>
                  <pic:nvPicPr>
                    <pic:cNvPr id="0" name="fig5_1_q3_results.png"/>
                    <pic:cNvPicPr/>
                  </pic:nvPicPr>
                  <pic:blipFill>
                    <a:blip r:embed="rId18"/>
                    <a:stretch>
                      <a:fillRect/>
                    </a:stretch>
                  </pic:blipFill>
                  <pic:spPr>
                    <a:xfrm>
                      <a:off x="0" y="0"/>
                      <a:ext cx="5760000" cy="3807326"/>
                    </a:xfrm>
                    <a:prstGeom prst="rect"/>
                  </pic:spPr>
                </pic:pic>
              </a:graphicData>
            </a:graphic>
          </wp:inline>
        </w:drawing>
      </w:r>
    </w:p>
    <w:p>
      <w:pPr>
        <w:spacing w:before="40" w:after="160"/>
        <w:jc w:val="center"/>
      </w:pPr>
      <w:r>
        <w:rPr>
          <w:rFonts w:ascii="Times New Roman" w:hAnsi="Times New Roman" w:eastAsia="宋体"/>
          <w:b/>
          <w:i w:val="0"/>
          <w:sz w:val="21"/>
        </w:rPr>
        <w:t>图5-1  PSO压力优化结果综合分析（负压配置、调整幅度、CO对比、收敛曲线）</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vAlign w:val="center"/>
          </w:tcPr>
          <w:p>
            <w:pPr>
              <w:jc w:val="center"/>
            </w:pPr>
            <w:r>
              <w:rPr>
                <w:rFonts w:ascii="Times New Roman" w:hAnsi="Times New Roman" w:eastAsia="宋体"/>
                <w:b/>
                <w:i w:val="0"/>
                <w:sz w:val="21"/>
              </w:rPr>
              <w:t>指标</w:t>
            </w:r>
          </w:p>
        </w:tc>
        <w:tc>
          <w:tcPr>
            <w:tcW w:type="dxa" w:w="1805"/>
            <w:vAlign w:val="center"/>
          </w:tcPr>
          <w:p>
            <w:pPr>
              <w:jc w:val="center"/>
            </w:pPr>
            <w:r>
              <w:rPr>
                <w:rFonts w:ascii="Times New Roman" w:hAnsi="Times New Roman" w:eastAsia="宋体"/>
                <w:b/>
                <w:i w:val="0"/>
                <w:sz w:val="21"/>
              </w:rPr>
              <w:t>当前工况</w:t>
            </w:r>
          </w:p>
        </w:tc>
        <w:tc>
          <w:tcPr>
            <w:tcW w:type="dxa" w:w="1805"/>
            <w:vAlign w:val="center"/>
          </w:tcPr>
          <w:p>
            <w:pPr>
              <w:jc w:val="center"/>
            </w:pPr>
            <w:r>
              <w:rPr>
                <w:rFonts w:ascii="Times New Roman" w:hAnsi="Times New Roman" w:eastAsia="宋体"/>
                <w:b/>
                <w:i w:val="0"/>
                <w:sz w:val="21"/>
              </w:rPr>
              <w:t>PSO基础版</w:t>
            </w:r>
          </w:p>
        </w:tc>
        <w:tc>
          <w:tcPr>
            <w:tcW w:type="dxa" w:w="1805"/>
            <w:vAlign w:val="center"/>
          </w:tcPr>
          <w:p>
            <w:pPr>
              <w:jc w:val="center"/>
            </w:pPr>
            <w:r>
              <w:rPr>
                <w:rFonts w:ascii="Times New Roman" w:hAnsi="Times New Roman" w:eastAsia="宋体"/>
                <w:b/>
                <w:i w:val="0"/>
                <w:sz w:val="21"/>
              </w:rPr>
              <w:t>PSO改进版（可靠性惩罚）</w:t>
            </w:r>
          </w:p>
        </w:tc>
        <w:tc>
          <w:tcPr>
            <w:tcW w:type="dxa" w:w="1805"/>
            <w:vAlign w:val="center"/>
          </w:tcPr>
          <w:p>
            <w:pPr>
              <w:jc w:val="center"/>
            </w:pPr>
            <w:r>
              <w:rPr>
                <w:rFonts w:ascii="Times New Roman" w:hAnsi="Times New Roman" w:eastAsia="宋体"/>
                <w:b/>
                <w:i w:val="0"/>
                <w:sz w:val="21"/>
              </w:rPr>
              <w:t>相对当前降幅</w:t>
            </w:r>
          </w:p>
        </w:tc>
      </w:tr>
      <w:tr>
        <w:tc>
          <w:tcPr>
            <w:tcW w:type="dxa" w:w="1805"/>
            <w:vAlign w:val="center"/>
          </w:tcPr>
          <w:p>
            <w:pPr>
              <w:jc w:val="center"/>
            </w:pPr>
            <w:r>
              <w:rPr>
                <w:rFonts w:ascii="Times New Roman" w:hAnsi="Times New Roman" w:eastAsia="宋体"/>
                <w:b w:val="0"/>
                <w:i w:val="0"/>
                <w:sz w:val="21"/>
              </w:rPr>
              <w:t>稳态CO (mg/m³)</w:t>
            </w:r>
          </w:p>
        </w:tc>
        <w:tc>
          <w:tcPr>
            <w:tcW w:type="dxa" w:w="1805"/>
            <w:vAlign w:val="center"/>
          </w:tcPr>
          <w:p>
            <w:pPr>
              <w:jc w:val="center"/>
            </w:pPr>
            <w:r>
              <w:rPr>
                <w:rFonts w:ascii="Times New Roman" w:hAnsi="Times New Roman" w:eastAsia="宋体"/>
                <w:b w:val="0"/>
                <w:i w:val="0"/>
                <w:sz w:val="21"/>
              </w:rPr>
              <w:t>3495.4</w:t>
            </w:r>
          </w:p>
        </w:tc>
        <w:tc>
          <w:tcPr>
            <w:tcW w:type="dxa" w:w="1805"/>
            <w:vAlign w:val="center"/>
          </w:tcPr>
          <w:p>
            <w:pPr>
              <w:jc w:val="center"/>
            </w:pPr>
            <w:r>
              <w:rPr>
                <w:rFonts w:ascii="Times New Roman" w:hAnsi="Times New Roman" w:eastAsia="宋体"/>
                <w:b w:val="0"/>
                <w:i w:val="0"/>
                <w:sz w:val="21"/>
              </w:rPr>
              <w:t>1081.3</w:t>
            </w:r>
          </w:p>
        </w:tc>
        <w:tc>
          <w:tcPr>
            <w:tcW w:type="dxa" w:w="1805"/>
            <w:vAlign w:val="center"/>
          </w:tcPr>
          <w:p>
            <w:pPr>
              <w:jc w:val="center"/>
            </w:pPr>
            <w:r>
              <w:rPr>
                <w:rFonts w:ascii="Times New Roman" w:hAnsi="Times New Roman" w:eastAsia="宋体"/>
                <w:b w:val="0"/>
                <w:i w:val="0"/>
                <w:sz w:val="21"/>
              </w:rPr>
              <w:t>1299.5</w:t>
            </w:r>
          </w:p>
        </w:tc>
        <w:tc>
          <w:tcPr>
            <w:tcW w:type="dxa" w:w="1805"/>
            <w:vAlign w:val="center"/>
          </w:tcPr>
          <w:p>
            <w:pPr>
              <w:jc w:val="center"/>
            </w:pPr>
            <w:r>
              <w:rPr>
                <w:rFonts w:ascii="Times New Roman" w:hAnsi="Times New Roman" w:eastAsia="宋体"/>
                <w:b w:val="0"/>
                <w:i w:val="0"/>
                <w:sz w:val="21"/>
              </w:rPr>
              <w:t>62.82%</w:t>
            </w:r>
          </w:p>
        </w:tc>
      </w:tr>
      <w:tr>
        <w:tc>
          <w:tcPr>
            <w:tcW w:type="dxa" w:w="1805"/>
            <w:vAlign w:val="center"/>
          </w:tcPr>
          <w:p>
            <w:pPr>
              <w:jc w:val="center"/>
            </w:pPr>
            <w:r>
              <w:rPr>
                <w:rFonts w:ascii="Times New Roman" w:hAnsi="Times New Roman" w:eastAsia="宋体"/>
                <w:b w:val="0"/>
                <w:i w:val="0"/>
                <w:sz w:val="21"/>
              </w:rPr>
              <w:t>贴近边界风箱数</w:t>
            </w:r>
          </w:p>
        </w:tc>
        <w:tc>
          <w:tcPr>
            <w:tcW w:type="dxa" w:w="1805"/>
            <w:vAlign w:val="center"/>
          </w:tcPr>
          <w:p>
            <w:pPr>
              <w:jc w:val="center"/>
            </w:pPr>
            <w:r>
              <w:rPr>
                <w:rFonts w:ascii="Times New Roman" w:hAnsi="Times New Roman" w:eastAsia="宋体"/>
                <w:b w:val="0"/>
                <w:i w:val="0"/>
                <w:sz w:val="21"/>
              </w:rPr>
              <w:t>—</w:t>
            </w:r>
          </w:p>
        </w:tc>
        <w:tc>
          <w:tcPr>
            <w:tcW w:type="dxa" w:w="1805"/>
            <w:vAlign w:val="center"/>
          </w:tcPr>
          <w:p>
            <w:pPr>
              <w:jc w:val="center"/>
            </w:pPr>
            <w:r>
              <w:rPr>
                <w:rFonts w:ascii="Times New Roman" w:hAnsi="Times New Roman" w:eastAsia="宋体"/>
                <w:b w:val="0"/>
                <w:i w:val="0"/>
                <w:sz w:val="21"/>
              </w:rPr>
              <w:t>3/18</w:t>
            </w:r>
          </w:p>
        </w:tc>
        <w:tc>
          <w:tcPr>
            <w:tcW w:type="dxa" w:w="1805"/>
            <w:vAlign w:val="center"/>
          </w:tcPr>
          <w:p>
            <w:pPr>
              <w:jc w:val="center"/>
            </w:pPr>
            <w:r>
              <w:rPr>
                <w:rFonts w:ascii="Times New Roman" w:hAnsi="Times New Roman" w:eastAsia="宋体"/>
                <w:b w:val="0"/>
                <w:i w:val="0"/>
                <w:sz w:val="21"/>
              </w:rPr>
              <w:t>1/18</w:t>
            </w:r>
          </w:p>
        </w:tc>
        <w:tc>
          <w:tcPr>
            <w:tcW w:type="dxa" w:w="1805"/>
            <w:vAlign w:val="center"/>
          </w:tcPr>
          <w:p>
            <w:pPr>
              <w:jc w:val="center"/>
            </w:pPr>
            <w:r>
              <w:rPr>
                <w:rFonts w:ascii="Times New Roman" w:hAnsi="Times New Roman" w:eastAsia="宋体"/>
                <w:b w:val="0"/>
                <w:i w:val="0"/>
                <w:sz w:val="21"/>
              </w:rPr>
              <w:t>可靠性显著提升</w:t>
            </w:r>
          </w:p>
        </w:tc>
      </w:tr>
      <w:tr>
        <w:tc>
          <w:tcPr>
            <w:tcW w:type="dxa" w:w="1805"/>
            <w:vAlign w:val="center"/>
          </w:tcPr>
          <w:p>
            <w:pPr>
              <w:jc w:val="center"/>
            </w:pPr>
            <w:r>
              <w:rPr>
                <w:rFonts w:ascii="Times New Roman" w:hAnsi="Times New Roman" w:eastAsia="宋体"/>
                <w:b w:val="0"/>
                <w:i w:val="0"/>
                <w:sz w:val="21"/>
              </w:rPr>
              <w:t>约束满足度</w:t>
            </w:r>
          </w:p>
        </w:tc>
        <w:tc>
          <w:tcPr>
            <w:tcW w:type="dxa" w:w="1805"/>
            <w:vAlign w:val="center"/>
          </w:tcPr>
          <w:p>
            <w:pPr>
              <w:jc w:val="center"/>
            </w:pPr>
            <w:r>
              <w:rPr>
                <w:rFonts w:ascii="Times New Roman" w:hAnsi="Times New Roman" w:eastAsia="宋体"/>
                <w:b w:val="0"/>
                <w:i w:val="0"/>
                <w:sz w:val="21"/>
              </w:rPr>
              <w:t>—</w:t>
            </w:r>
          </w:p>
        </w:tc>
        <w:tc>
          <w:tcPr>
            <w:tcW w:type="dxa" w:w="1805"/>
            <w:vAlign w:val="center"/>
          </w:tcPr>
          <w:p>
            <w:pPr>
              <w:jc w:val="center"/>
            </w:pPr>
            <w:r>
              <w:rPr>
                <w:rFonts w:ascii="Times New Roman" w:hAnsi="Times New Roman" w:eastAsia="宋体"/>
                <w:b w:val="0"/>
                <w:i w:val="0"/>
                <w:sz w:val="21"/>
              </w:rPr>
              <w:t>100%</w:t>
            </w:r>
          </w:p>
        </w:tc>
        <w:tc>
          <w:tcPr>
            <w:tcW w:type="dxa" w:w="1805"/>
            <w:vAlign w:val="center"/>
          </w:tcPr>
          <w:p>
            <w:pPr>
              <w:jc w:val="center"/>
            </w:pPr>
            <w:r>
              <w:rPr>
                <w:rFonts w:ascii="Times New Roman" w:hAnsi="Times New Roman" w:eastAsia="宋体"/>
                <w:b w:val="0"/>
                <w:i w:val="0"/>
                <w:sz w:val="21"/>
              </w:rPr>
              <w:t>100%</w:t>
            </w:r>
          </w:p>
        </w:tc>
        <w:tc>
          <w:tcPr>
            <w:tcW w:type="dxa" w:w="1805"/>
            <w:vAlign w:val="center"/>
          </w:tcPr>
          <w:p>
            <w:pPr>
              <w:jc w:val="center"/>
            </w:pPr>
            <w:r>
              <w:rPr>
                <w:rFonts w:ascii="Times New Roman" w:hAnsi="Times New Roman" w:eastAsia="宋体"/>
                <w:b w:val="0"/>
                <w:i w:val="0"/>
                <w:sz w:val="21"/>
              </w:rPr>
              <w:t>—</w:t>
            </w:r>
          </w:p>
        </w:tc>
      </w:tr>
    </w:tbl>
    <w:p>
      <w:pPr>
        <w:spacing w:before="40" w:after="160"/>
        <w:jc w:val="center"/>
      </w:pPr>
      <w:r>
        <w:rPr>
          <w:rFonts w:ascii="Times New Roman" w:hAnsi="Times New Roman" w:eastAsia="宋体"/>
          <w:b/>
          <w:i w:val="0"/>
          <w:sz w:val="21"/>
        </w:rPr>
        <w:t>表5-2  PSO两种方案与当前工况CO排放对比</w:t>
      </w:r>
    </w:p>
    <w:p>
      <w:pPr>
        <w:spacing w:line="440" w:lineRule="exact" w:after="0"/>
        <w:ind w:firstLine="420"/>
      </w:pPr>
      <w:r>
        <w:rPr>
          <w:rFonts w:ascii="Times New Roman" w:hAnsi="Times New Roman" w:eastAsia="宋体"/>
          <w:b w:val="0"/>
          <w:i w:val="0"/>
          <w:sz w:val="24"/>
        </w:rPr>
        <w:t>对比基础版PSO（CO=1081.3 mg/m³, 减排69.1%）与改进版（CO=1299.5 mg/m³, 减排62.82%），改进版虽CO略高，但贴近边界的风箱数从3个降为1个，工程可靠性显著提升——实际执行时微小压力波动不会导致方案越界失效，具有更高的工程实用价值。</w:t>
      </w:r>
    </w:p>
    <w:p>
      <w:pPr>
        <w:spacing w:line="440" w:lineRule="exact" w:after="0"/>
        <w:ind w:firstLine="420"/>
      </w:pPr>
      <w:r>
        <w:rPr>
          <w:rFonts w:ascii="Times New Roman" w:hAnsi="Times New Roman" w:eastAsia="宋体"/>
          <w:b w:val="0"/>
          <w:i w:val="0"/>
          <w:sz w:val="24"/>
        </w:rPr>
        <w:t>从调整方向看，前段（1#–5#）负压变化幅度较小（&lt;0.5 Pa），中段（6#–13#）维持高负压（约−14.0 ~ −14.6 Pa）保证中部充分燃烧，后段（16#–18#）负压显著降低2~3 Pa，延长后段停留时间，促进残碳完全氧化。</w:t>
      </w:r>
    </w:p>
    <w:p>
      <w:pPr>
        <w:spacing w:before="160" w:after="80"/>
      </w:pPr>
      <w:r>
        <w:rPr>
          <w:rFonts w:ascii="Times New Roman" w:hAnsi="Times New Roman" w:eastAsia="宋体"/>
          <w:b/>
          <w:i w:val="0"/>
          <w:sz w:val="28"/>
        </w:rPr>
        <w:t>5.5  敏感性分析</w:t>
      </w:r>
    </w:p>
    <w:p>
      <w:pPr>
        <w:spacing w:line="440" w:lineRule="exact" w:after="0"/>
        <w:ind w:firstLine="420"/>
      </w:pPr>
      <w:r>
        <w:rPr>
          <w:rFonts w:ascii="Times New Roman" w:hAnsi="Times New Roman" w:eastAsia="宋体"/>
          <w:b w:val="0"/>
          <w:i w:val="0"/>
          <w:sz w:val="24"/>
        </w:rPr>
        <w:t>在最优负压配置基础上，对每个风箱进行单变量扫描（固定其余17个风箱，在调节范围内均匀扫描20个点），量化每个风箱对稳态CO的边际影响。图5-2展示了敏感性结果。</w:t>
      </w:r>
    </w:p>
    <w:p>
      <w:pPr>
        <w:spacing w:before="80"/>
        <w:jc w:val="center"/>
      </w:pPr>
      <w:r>
        <w:drawing>
          <wp:inline xmlns:a="http://schemas.openxmlformats.org/drawingml/2006/main" xmlns:pic="http://schemas.openxmlformats.org/drawingml/2006/picture">
            <wp:extent cx="5040000" cy="2148950"/>
            <wp:docPr id="11" name="Picture 11"/>
            <wp:cNvGraphicFramePr>
              <a:graphicFrameLocks noChangeAspect="1"/>
            </wp:cNvGraphicFramePr>
            <a:graphic>
              <a:graphicData uri="http://schemas.openxmlformats.org/drawingml/2006/picture">
                <pic:pic>
                  <pic:nvPicPr>
                    <pic:cNvPr id="0" name="fig5_2_sensitivity.png"/>
                    <pic:cNvPicPr/>
                  </pic:nvPicPr>
                  <pic:blipFill>
                    <a:blip r:embed="rId19"/>
                    <a:stretch>
                      <a:fillRect/>
                    </a:stretch>
                  </pic:blipFill>
                  <pic:spPr>
                    <a:xfrm>
                      <a:off x="0" y="0"/>
                      <a:ext cx="5040000" cy="2148950"/>
                    </a:xfrm>
                    <a:prstGeom prst="rect"/>
                  </pic:spPr>
                </pic:pic>
              </a:graphicData>
            </a:graphic>
          </wp:inline>
        </w:drawing>
      </w:r>
    </w:p>
    <w:p>
      <w:pPr>
        <w:spacing w:before="40" w:after="160"/>
        <w:jc w:val="center"/>
      </w:pPr>
      <w:r>
        <w:rPr>
          <w:rFonts w:ascii="Times New Roman" w:hAnsi="Times New Roman" w:eastAsia="宋体"/>
          <w:b/>
          <w:i w:val="0"/>
          <w:sz w:val="21"/>
        </w:rPr>
        <w:t>图5-2  各风箱负压敏感性分析（左：Top10排名；右：典型后段风箱CO-压力响应曲线）</w:t>
      </w:r>
    </w:p>
    <w:p>
      <w:pPr>
        <w:spacing w:line="440" w:lineRule="exact" w:after="0"/>
        <w:ind w:firstLine="420"/>
      </w:pPr>
      <w:r>
        <w:rPr>
          <w:rFonts w:ascii="Times New Roman" w:hAnsi="Times New Roman" w:eastAsia="宋体"/>
          <w:b w:val="0"/>
          <w:i w:val="0"/>
          <w:sz w:val="24"/>
        </w:rPr>
        <w:t>敏感性排名前三的风箱均位于烧结机后段（16#、17#、18#），CO变化范围达300~450 mg/m³。物理机理：后段烧结层温度高、残碳浓度大，负压变化对烧结速度（进而对燃烧充分程度）影响显著，因此对CO排放的边际影响远大于前段。前段（1#–5#）敏感性最低，主要受制于调节范围窄（&lt;1 Pa），实际调控空间有限。上述分析为实际操作中制定"优先调节后段负压"的控制策略提供了量化依据。</w:t>
      </w:r>
    </w:p>
    <w:p>
      <w:pPr>
        <w:spacing w:before="160" w:after="80"/>
      </w:pPr>
      <w:r>
        <w:rPr>
          <w:rFonts w:ascii="Times New Roman" w:hAnsi="Times New Roman" w:eastAsia="宋体"/>
          <w:b/>
          <w:i w:val="0"/>
          <w:sz w:val="28"/>
        </w:rPr>
        <w:t>5.6  鲁棒性验证</w:t>
      </w:r>
    </w:p>
    <w:p>
      <w:pPr>
        <w:spacing w:line="440" w:lineRule="exact" w:after="0"/>
        <w:ind w:firstLine="420"/>
      </w:pPr>
      <w:r>
        <w:rPr>
          <w:rFonts w:ascii="Times New Roman" w:hAnsi="Times New Roman" w:eastAsia="宋体"/>
          <w:b w:val="0"/>
          <w:i w:val="0"/>
          <w:sz w:val="24"/>
        </w:rPr>
        <w:t>对最优压力配置进行蒙特卡洛鲁棒性验证：在最优压力基础上叠加均匀随机扰动（±10%/±20%/±30%），各重复1000次，统计稳态CO的均值、标准差及5%–95%分位数区间。</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vAlign w:val="center"/>
          </w:tcPr>
          <w:p>
            <w:pPr>
              <w:jc w:val="center"/>
            </w:pPr>
            <w:r>
              <w:rPr>
                <w:rFonts w:ascii="Times New Roman" w:hAnsi="Times New Roman" w:eastAsia="宋体"/>
                <w:b/>
                <w:i w:val="0"/>
                <w:sz w:val="21"/>
              </w:rPr>
              <w:t>扰动幅度</w:t>
            </w:r>
          </w:p>
        </w:tc>
        <w:tc>
          <w:tcPr>
            <w:tcW w:type="dxa" w:w="1504"/>
            <w:vAlign w:val="center"/>
          </w:tcPr>
          <w:p>
            <w:pPr>
              <w:jc w:val="center"/>
            </w:pPr>
            <w:r>
              <w:rPr>
                <w:rFonts w:ascii="Times New Roman" w:hAnsi="Times New Roman" w:eastAsia="宋体"/>
                <w:b/>
                <w:i w:val="0"/>
                <w:sz w:val="21"/>
              </w:rPr>
              <w:t>均值CO (mg/m³)</w:t>
            </w:r>
          </w:p>
        </w:tc>
        <w:tc>
          <w:tcPr>
            <w:tcW w:type="dxa" w:w="1504"/>
            <w:vAlign w:val="center"/>
          </w:tcPr>
          <w:p>
            <w:pPr>
              <w:jc w:val="center"/>
            </w:pPr>
            <w:r>
              <w:rPr>
                <w:rFonts w:ascii="Times New Roman" w:hAnsi="Times New Roman" w:eastAsia="宋体"/>
                <w:b/>
                <w:i w:val="0"/>
                <w:sz w:val="21"/>
              </w:rPr>
              <w:t>标准差 (mg/m³)</w:t>
            </w:r>
          </w:p>
        </w:tc>
        <w:tc>
          <w:tcPr>
            <w:tcW w:type="dxa" w:w="1504"/>
            <w:vAlign w:val="center"/>
          </w:tcPr>
          <w:p>
            <w:pPr>
              <w:jc w:val="center"/>
            </w:pPr>
            <w:r>
              <w:rPr>
                <w:rFonts w:ascii="Times New Roman" w:hAnsi="Times New Roman" w:eastAsia="宋体"/>
                <w:b/>
                <w:i w:val="0"/>
                <w:sz w:val="21"/>
              </w:rPr>
              <w:t>5%分位</w:t>
            </w:r>
          </w:p>
        </w:tc>
        <w:tc>
          <w:tcPr>
            <w:tcW w:type="dxa" w:w="1504"/>
            <w:vAlign w:val="center"/>
          </w:tcPr>
          <w:p>
            <w:pPr>
              <w:jc w:val="center"/>
            </w:pPr>
            <w:r>
              <w:rPr>
                <w:rFonts w:ascii="Times New Roman" w:hAnsi="Times New Roman" w:eastAsia="宋体"/>
                <w:b/>
                <w:i w:val="0"/>
                <w:sz w:val="21"/>
              </w:rPr>
              <w:t>95%分位</w:t>
            </w:r>
          </w:p>
        </w:tc>
        <w:tc>
          <w:tcPr>
            <w:tcW w:type="dxa" w:w="1504"/>
            <w:vAlign w:val="center"/>
          </w:tcPr>
          <w:p>
            <w:pPr>
              <w:jc w:val="center"/>
            </w:pPr>
            <w:r>
              <w:rPr>
                <w:rFonts w:ascii="Times New Roman" w:hAnsi="Times New Roman" w:eastAsia="宋体"/>
                <w:b/>
                <w:i w:val="0"/>
                <w:sz w:val="21"/>
              </w:rPr>
              <w:t>≤1500 mg/m³概率</w:t>
            </w:r>
          </w:p>
        </w:tc>
      </w:tr>
      <w:tr>
        <w:tc>
          <w:tcPr>
            <w:tcW w:type="dxa" w:w="1504"/>
            <w:vAlign w:val="center"/>
          </w:tcPr>
          <w:p>
            <w:pPr>
              <w:jc w:val="center"/>
            </w:pPr>
            <w:r>
              <w:rPr>
                <w:rFonts w:ascii="Times New Roman" w:hAnsi="Times New Roman" w:eastAsia="宋体"/>
                <w:b w:val="0"/>
                <w:i w:val="0"/>
                <w:sz w:val="21"/>
              </w:rPr>
              <w:t>±10%（±0.1~0.6 Pa）</w:t>
            </w:r>
          </w:p>
        </w:tc>
        <w:tc>
          <w:tcPr>
            <w:tcW w:type="dxa" w:w="1504"/>
            <w:vAlign w:val="center"/>
          </w:tcPr>
          <w:p>
            <w:pPr>
              <w:jc w:val="center"/>
            </w:pPr>
            <w:r>
              <w:rPr>
                <w:rFonts w:ascii="Times New Roman" w:hAnsi="Times New Roman" w:eastAsia="宋体"/>
                <w:b w:val="0"/>
                <w:i w:val="0"/>
                <w:sz w:val="21"/>
              </w:rPr>
              <w:t>606.2</w:t>
            </w:r>
          </w:p>
        </w:tc>
        <w:tc>
          <w:tcPr>
            <w:tcW w:type="dxa" w:w="1504"/>
            <w:vAlign w:val="center"/>
          </w:tcPr>
          <w:p>
            <w:pPr>
              <w:jc w:val="center"/>
            </w:pPr>
            <w:r>
              <w:rPr>
                <w:rFonts w:ascii="Times New Roman" w:hAnsi="Times New Roman" w:eastAsia="宋体"/>
                <w:b w:val="0"/>
                <w:i w:val="0"/>
                <w:sz w:val="21"/>
              </w:rPr>
              <w:t>96.2</w:t>
            </w:r>
          </w:p>
        </w:tc>
        <w:tc>
          <w:tcPr>
            <w:tcW w:type="dxa" w:w="1504"/>
            <w:vAlign w:val="center"/>
          </w:tcPr>
          <w:p>
            <w:pPr>
              <w:jc w:val="center"/>
            </w:pPr>
            <w:r>
              <w:rPr>
                <w:rFonts w:ascii="Times New Roman" w:hAnsi="Times New Roman" w:eastAsia="宋体"/>
                <w:b w:val="0"/>
                <w:i w:val="0"/>
                <w:sz w:val="21"/>
              </w:rPr>
              <w:t>521.5</w:t>
            </w:r>
          </w:p>
        </w:tc>
        <w:tc>
          <w:tcPr>
            <w:tcW w:type="dxa" w:w="1504"/>
            <w:vAlign w:val="center"/>
          </w:tcPr>
          <w:p>
            <w:pPr>
              <w:jc w:val="center"/>
            </w:pPr>
            <w:r>
              <w:rPr>
                <w:rFonts w:ascii="Times New Roman" w:hAnsi="Times New Roman" w:eastAsia="宋体"/>
                <w:b w:val="0"/>
                <w:i w:val="0"/>
                <w:sz w:val="21"/>
              </w:rPr>
              <w:t>841.4</w:t>
            </w:r>
          </w:p>
        </w:tc>
        <w:tc>
          <w:tcPr>
            <w:tcW w:type="dxa" w:w="1504"/>
            <w:vAlign w:val="center"/>
          </w:tcPr>
          <w:p>
            <w:pPr>
              <w:jc w:val="center"/>
            </w:pPr>
            <w:r>
              <w:rPr>
                <w:rFonts w:ascii="Times New Roman" w:hAnsi="Times New Roman" w:eastAsia="宋体"/>
                <w:b w:val="0"/>
                <w:i w:val="0"/>
                <w:sz w:val="21"/>
              </w:rPr>
              <w:t>100%</w:t>
            </w:r>
          </w:p>
        </w:tc>
      </w:tr>
      <w:tr>
        <w:tc>
          <w:tcPr>
            <w:tcW w:type="dxa" w:w="1504"/>
            <w:vAlign w:val="center"/>
          </w:tcPr>
          <w:p>
            <w:pPr>
              <w:jc w:val="center"/>
            </w:pPr>
            <w:r>
              <w:rPr>
                <w:rFonts w:ascii="Times New Roman" w:hAnsi="Times New Roman" w:eastAsia="宋体"/>
                <w:b w:val="0"/>
                <w:i w:val="0"/>
                <w:sz w:val="21"/>
              </w:rPr>
              <w:t>±20%（±0.2~1.3 Pa）</w:t>
            </w:r>
          </w:p>
        </w:tc>
        <w:tc>
          <w:tcPr>
            <w:tcW w:type="dxa" w:w="1504"/>
            <w:vAlign w:val="center"/>
          </w:tcPr>
          <w:p>
            <w:pPr>
              <w:jc w:val="center"/>
            </w:pPr>
            <w:r>
              <w:rPr>
                <w:rFonts w:ascii="Times New Roman" w:hAnsi="Times New Roman" w:eastAsia="宋体"/>
                <w:b w:val="0"/>
                <w:i w:val="0"/>
                <w:sz w:val="21"/>
              </w:rPr>
              <w:t>686.8</w:t>
            </w:r>
          </w:p>
        </w:tc>
        <w:tc>
          <w:tcPr>
            <w:tcW w:type="dxa" w:w="1504"/>
            <w:vAlign w:val="center"/>
          </w:tcPr>
          <w:p>
            <w:pPr>
              <w:jc w:val="center"/>
            </w:pPr>
            <w:r>
              <w:rPr>
                <w:rFonts w:ascii="Times New Roman" w:hAnsi="Times New Roman" w:eastAsia="宋体"/>
                <w:b w:val="0"/>
                <w:i w:val="0"/>
                <w:sz w:val="21"/>
              </w:rPr>
              <w:t>127.6</w:t>
            </w:r>
          </w:p>
        </w:tc>
        <w:tc>
          <w:tcPr>
            <w:tcW w:type="dxa" w:w="1504"/>
            <w:vAlign w:val="center"/>
          </w:tcPr>
          <w:p>
            <w:pPr>
              <w:jc w:val="center"/>
            </w:pPr>
            <w:r>
              <w:rPr>
                <w:rFonts w:ascii="Times New Roman" w:hAnsi="Times New Roman" w:eastAsia="宋体"/>
                <w:b w:val="0"/>
                <w:i w:val="0"/>
                <w:sz w:val="21"/>
              </w:rPr>
              <w:t>554.5</w:t>
            </w:r>
          </w:p>
        </w:tc>
        <w:tc>
          <w:tcPr>
            <w:tcW w:type="dxa" w:w="1504"/>
            <w:vAlign w:val="center"/>
          </w:tcPr>
          <w:p>
            <w:pPr>
              <w:jc w:val="center"/>
            </w:pPr>
            <w:r>
              <w:rPr>
                <w:rFonts w:ascii="Times New Roman" w:hAnsi="Times New Roman" w:eastAsia="宋体"/>
                <w:b w:val="0"/>
                <w:i w:val="0"/>
                <w:sz w:val="21"/>
              </w:rPr>
              <w:t>911.7</w:t>
            </w:r>
          </w:p>
        </w:tc>
        <w:tc>
          <w:tcPr>
            <w:tcW w:type="dxa" w:w="1504"/>
            <w:vAlign w:val="center"/>
          </w:tcPr>
          <w:p>
            <w:pPr>
              <w:jc w:val="center"/>
            </w:pPr>
            <w:r>
              <w:rPr>
                <w:rFonts w:ascii="Times New Roman" w:hAnsi="Times New Roman" w:eastAsia="宋体"/>
                <w:b w:val="0"/>
                <w:i w:val="0"/>
                <w:sz w:val="21"/>
              </w:rPr>
              <w:t>100%</w:t>
            </w:r>
          </w:p>
        </w:tc>
      </w:tr>
      <w:tr>
        <w:tc>
          <w:tcPr>
            <w:tcW w:type="dxa" w:w="1504"/>
            <w:vAlign w:val="center"/>
          </w:tcPr>
          <w:p>
            <w:pPr>
              <w:jc w:val="center"/>
            </w:pPr>
            <w:r>
              <w:rPr>
                <w:rFonts w:ascii="Times New Roman" w:hAnsi="Times New Roman" w:eastAsia="宋体"/>
                <w:b w:val="0"/>
                <w:i w:val="0"/>
                <w:sz w:val="21"/>
              </w:rPr>
              <w:t>±30%（±0.3~1.9 Pa）</w:t>
            </w:r>
          </w:p>
        </w:tc>
        <w:tc>
          <w:tcPr>
            <w:tcW w:type="dxa" w:w="1504"/>
            <w:vAlign w:val="center"/>
          </w:tcPr>
          <w:p>
            <w:pPr>
              <w:jc w:val="center"/>
            </w:pPr>
            <w:r>
              <w:rPr>
                <w:rFonts w:ascii="Times New Roman" w:hAnsi="Times New Roman" w:eastAsia="宋体"/>
                <w:b w:val="0"/>
                <w:i w:val="0"/>
                <w:sz w:val="21"/>
              </w:rPr>
              <w:t>830.7</w:t>
            </w:r>
          </w:p>
        </w:tc>
        <w:tc>
          <w:tcPr>
            <w:tcW w:type="dxa" w:w="1504"/>
            <w:vAlign w:val="center"/>
          </w:tcPr>
          <w:p>
            <w:pPr>
              <w:jc w:val="center"/>
            </w:pPr>
            <w:r>
              <w:rPr>
                <w:rFonts w:ascii="Times New Roman" w:hAnsi="Times New Roman" w:eastAsia="宋体"/>
                <w:b w:val="0"/>
                <w:i w:val="0"/>
                <w:sz w:val="21"/>
              </w:rPr>
              <w:t>212.1</w:t>
            </w:r>
          </w:p>
        </w:tc>
        <w:tc>
          <w:tcPr>
            <w:tcW w:type="dxa" w:w="1504"/>
            <w:vAlign w:val="center"/>
          </w:tcPr>
          <w:p>
            <w:pPr>
              <w:jc w:val="center"/>
            </w:pPr>
            <w:r>
              <w:rPr>
                <w:rFonts w:ascii="Times New Roman" w:hAnsi="Times New Roman" w:eastAsia="宋体"/>
                <w:b w:val="0"/>
                <w:i w:val="0"/>
                <w:sz w:val="21"/>
              </w:rPr>
              <w:t>588.3</w:t>
            </w:r>
          </w:p>
        </w:tc>
        <w:tc>
          <w:tcPr>
            <w:tcW w:type="dxa" w:w="1504"/>
            <w:vAlign w:val="center"/>
          </w:tcPr>
          <w:p>
            <w:pPr>
              <w:jc w:val="center"/>
            </w:pPr>
            <w:r>
              <w:rPr>
                <w:rFonts w:ascii="Times New Roman" w:hAnsi="Times New Roman" w:eastAsia="宋体"/>
                <w:b w:val="0"/>
                <w:i w:val="0"/>
                <w:sz w:val="21"/>
              </w:rPr>
              <w:t>1280.7</w:t>
            </w:r>
          </w:p>
        </w:tc>
        <w:tc>
          <w:tcPr>
            <w:tcW w:type="dxa" w:w="1504"/>
            <w:vAlign w:val="center"/>
          </w:tcPr>
          <w:p>
            <w:pPr>
              <w:jc w:val="center"/>
            </w:pPr>
            <w:r>
              <w:rPr>
                <w:rFonts w:ascii="Times New Roman" w:hAnsi="Times New Roman" w:eastAsia="宋体"/>
                <w:b w:val="0"/>
                <w:i w:val="0"/>
                <w:sz w:val="21"/>
              </w:rPr>
              <w:t>100%</w:t>
            </w:r>
          </w:p>
        </w:tc>
      </w:tr>
    </w:tbl>
    <w:p>
      <w:pPr>
        <w:spacing w:before="40" w:after="160"/>
        <w:jc w:val="center"/>
      </w:pPr>
      <w:r>
        <w:rPr>
          <w:rFonts w:ascii="Times New Roman" w:hAnsi="Times New Roman" w:eastAsia="宋体"/>
          <w:b/>
          <w:i w:val="0"/>
          <w:sz w:val="21"/>
        </w:rPr>
        <w:t>表5-3  蒙特卡洛鲁棒性验证结果（各1000次模拟）</w:t>
      </w:r>
    </w:p>
    <w:p>
      <w:pPr>
        <w:spacing w:line="440" w:lineRule="exact" w:after="0"/>
        <w:ind w:firstLine="420"/>
      </w:pPr>
      <w:r>
        <w:rPr>
          <w:rFonts w:ascii="Times New Roman" w:hAnsi="Times New Roman" w:eastAsia="宋体"/>
          <w:b w:val="0"/>
          <w:i w:val="0"/>
          <w:sz w:val="24"/>
        </w:rPr>
        <w:t>在±30%的较大扰动下，稳态CO的95%分位数仍仅为1280.7 mg/m³，远低于当前工况（3495.4 mg/m³），且1000次模拟中无一超过1500 mg/m³（达标率100%）。这表明最优配置方案在工程执行层面具有足够的稳健性，能够承受传感器误差、执行机构死区等实际扰动，具有较高的工程可靠性。</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