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四、问题二：烧结机尾气CO浓度预测模型建立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烧结机尾气CO浓度受机速、18路风箱负压、18路风箱温度及大烟道工况等41个原始工况变量的协同驱动，建模面临三重挑战：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高维非线性：原始41维输入经特征工程扩展至84维，变量间存在多重共线性与非线性交互。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时滞效应：各工况变量对CO的影响存在0~60分钟不等的传输延迟，未对齐时滞将引入大量虚假相关噪声。</w:t>
      </w:r>
    </w:p>
    <w:p>
      <w:pPr>
        <w:spacing w:after="0" w:line="400" w:lineRule="exact"/>
        <w:ind w:left="283"/>
      </w:pPr>
      <w:r>
        <w:rPr>
          <w:rFonts w:ascii="Times New Roman" w:hAnsi="Times New Roman" w:eastAsia="宋体"/>
          <w:b w:val="0"/>
          <w:i w:val="0"/>
          <w:sz w:val="24"/>
        </w:rPr>
        <w:t>• 强自回归性：CO序列一阶自相关系数&gt;0.9，忽视此特性将损失大量预测信息。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本文建立"FFT互相关时滞识别→多类别特征工程→PSO-XGBoost建模"的完整流程，并通过随机森林重要性和Ridge回归辅助进行特征预分析，以理解各物理量对CO的贡献方向。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4.2  数据预处理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4.2.1  异常值清洗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原始数据集共约2500条时序记录。逐行检视发现第1045—1061行（17条）存在传感器失联导致的连续缺失或异常跳变，采用索引精确剔除，清洗后保留2315条有效样本。对剩余数据统计各变量Z-score分布，未发现其余系统性异常段，原始量纲数据保留用于后续处理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4.2.2  基于FFT互相关的时滞分析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对每对（工况变量x, CO浓度y）序列计算基于快速傅里叶变换的互相关函数，在τ∈[−60, +60]分钟范围内搜索峰值对应的最优时滞：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R_{xy}(τ) = IFFT[ conj(FFT(x̄)) · FFT(ȳ) ]    (1)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其中x̄、ȳ为零均值归一化序列，τ* = argmax R_{xy}(τ) 为最优时滞。图4-1展示了6个代表性变量的互相关曲线，峰值位置清晰对应各自的最优时滞。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8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lag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8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图4-1  代表性工况变量与CO浓度的FFT互相关时滞分析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变量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最优时滞(min)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机速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+60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负压_1~12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大烟道负压_2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温度_10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负压_3~5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温度_16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−1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负压_16~18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+58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大烟道温度_2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表4-1  各主要工况变量与CO浓度的最优时滞（FFT互相关法）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4.2.3  数据标准化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对时滞对齐后特征矩阵执行零均值单位方差标准化，参数仅在训练集上估计：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x'ᵢ = (xᵢ − μᵢ) / σᵢ    (2)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4.2.4  特征重要性预分析（随机森林 + Ridge回归）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随机森林（n_estimators=100）：温度类变量贡献58.5%，负压25.2%，大烟道15.1%，机速5.7%。单变量排名：温度_14（8.6%）、温度_10（8.6%）、大烟道温度_2（7.5%）。温度主导与烧结机理一致——料层温度直接决定碳的氧化程度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Ridge回归（α=1.0，标准化输入）：大烟道负压_1（系数−241.34）增大主烟道抽力可降低CO；大烟道负压_2（+191.48）存在局部回流效应使CO升高；温度_10（+146.80）高温促进CO生成。上述方向性分析为问题三压力优化提供约束依据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4.3  数据集构建与划分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4.3.1  84维特征工程体系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在时滞对齐数据基础上构建四类共84维特征，图4-2展示类别分布与维度构成。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2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fea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2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图4-2  84维特征工程体系的类别分布与维度构成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①物理基础特征（41维）：时滞对齐后的机速、18路负压、18路温度及大烟道4路，直接反映各工位物理工况。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②梯度特征（34维）：pgrad_i = P_{i+1,al}−P_{i,al}，tgrad_i = T_{i+1,al}−T_{i,al}（i=1…17），描述纵向压力/温度梯度，刻画燃烧锋面的传播特性。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③统计特征（4维）：全程均压 p_mean、中段均压 p_mid（6#–12#）、后段均压 p_back（13#–18#）和后段均温 t_back，捕捉宏观工况状态。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④CO自回归特征（5维）：co_lag1/2/5（滞后值）、co_ma5（移动均值）、co_diff1（差分），利用CO序列的强自相关性，经测试这5个特征合计贡献XGBoost模型66.71%的预测重要性。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4.3.2  训练/测试集划分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去除初始窗口缺失值后最终可用2315条样本。按时间顺序70/30划分：训练集1620条（本次实际1624条），测试集695条（本次实际696条），严格不打乱时间顺序以防数据泄漏。PSO寻优内部使用3折时序交叉验证，最终评估采用独立测试集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4.4  模型建立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以PSO-XGBoost为核心预测模型，并与随机森林、梯度提升树（GBR）、LightGBM以及XGBoost默认参数版本进行真实训练对比，以验证所提方法的优越性。各模型均在相同的84维特征集和70/30划分下进行训练和测试，确保对比的公平性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4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3_architec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图4-3  五种预测模型架构示意图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4.4.1  随机森林（Random Forest）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随机森林通过构建多棵独立决策树（每棵在随机特征子集上训练）并取均值实现回归：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F(x) = (1/K)·Σₖ hₖ(x)   ,   K=100棵树    (3)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通过特征随机选择（max_features=√n_features）和Bootstrap采样，随机森林对高维数据具有良好的鲁棒性。本文设置n_estimators=100，其余参数使用sklearn默认值（max_depth=None）。测试集结果：R²=0.8653，MAE=67.27 mg/m³，RMSE=163.91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4.4.2  梯度提升树（Gradient Boosting Regressor, GBR）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GBR通过串行地在前序模型的负梯度方向上拟合新的弱学习器（浅决策树）实现集成：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F_m(x) = F_{m-1}(x) + η·argmin_h Σᵢ l(yᵢ, F_{m-1}(xᵢ)+h(xᵢ))    (4)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本文使用sklearn默认参数（n_estimators=100, max_depth=3, learning_rate=0.1），不进行任何超参数调优，作为"无调优梯度提升"的基准对照。测试集结果：R²=0.9304，MAE=48.35 mg/m³，RMSE=117.82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4.4.3  LightGBM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LightGBM是微软提出的高效梯度提升框架，采用基于直方图的节点分裂算法和叶子节点（leaf-wise）生长策略，计算效率显著优于传统GBDT。本文使用默认参数（n_estimators=100），作为与XGBoost同类别方法的横向对比。测试集结果：R²=0.9099，MAE=56.83 mg/m³，RMSE=134.03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4.4.4  XGBoost（默认参数）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XGBoost在梯度提升基础上引入正则化项控制模型复杂度：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Ω(h) = γT + ½λ‖w‖² + α‖w‖₁    (5)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本节使用XGBoost默认参数（n_estimators=100, max_depth=6, learning_rate=0.3），不进行PSO调优，与下节PSO调优版本形成直接对照，量化PSO对预测性能的贡献。测试集结果：R²=0.8814，MAE=63.46 mg/m³，RMSE=153.82 mg/m³。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4.4.5  XGBoost + PSO超参数优化（本文方法）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粒子群优化（PSO）在超参数空间进行全局搜索，每个粒子代表一组超参数配置，更新规则为：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w·vᵢᵗ + c₁r₁(p_best_i−xᵢᵗ) + c₂r₂(g_best−xᵢᵗ)    (6)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xᵢᵗ⁺¹ = xᵢᵗ + vᵢᵗ⁺¹    (7)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本文配置：8粒子×10迭代，惯性权重w=0.8，加速系数c₁=c₂=2.0，适应度函数为3折时序CV的R²。图4-5展示了PSO寻优过程中全局最优适应度的收敛曲线与每轮8粒子的分数分布。图4-6展示了全局最优粒子各超参数在10次迭代中的演化轨迹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_pso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图4-5  PSO寻优收敛曲线（左）与各轮粒子适应度分布箱线图（右）（真实运行结果）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582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param_trajec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58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图4-6  PSO全局最优粒子各超参数演化轨迹（真实运行结果）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表4-4详细记录了PSO 10次迭代中全局最优粒子的超参数配置及其交叉验证评分，是本文方法真实运行的完整过程记录。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迭代</w:t>
              <w:br/>
              <w:t>次数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全局最优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本轮最优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本轮均值</w:t>
              <w:br/>
              <w:t>CV-R²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learning</w:t>
              <w:br/>
              <w:t>rate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max</w:t>
              <w:br/>
              <w:t>depth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n_est</w:t>
              <w:br/>
              <w:t>imators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sub</w:t>
              <w:br/>
              <w:t>sample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colsample</w:t>
              <w:br/>
              <w:t>bytree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alpha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reg</w:t>
              <w:br/>
              <w:t>lambda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0.8376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0.8731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0.8215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0.0991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0.7624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0.7160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0.5825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3.0593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0.8234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0.8746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0.8305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0.1854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0.6636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0.7583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0.1788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3.3142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0.8449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0.2129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0.6947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0.7377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0.8833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0.8070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0.8842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0.8802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0.8587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0.2262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0.7566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0.6480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0.8494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  <w:tr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0.8856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0.7177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0.0452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2.61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0.7192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0.0000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表4-4  PSO超参数寻优10次迭代详细过程记录（真实运行结果）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PSO经过10次迭代，全局最优CV-R²从初始0.8731逐步提升至0.8856（第3、5、6、9次迭代先后更新全局最优）。最终确定的最优超参数为：learning_rate=0.0452，max_depth=3，n_estimators=193，subsample=0.7192，colsample_bytree=1.0000，reg_alpha=0.0000，reg_lambda=0.0000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4.5  模型性能评估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4.5.1  评估指标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R² = 1 − Σ(yᵢ−ŷᵢ)² / Σ(yᵢ−ȳ)²    (8)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MAE = (1/n)·Σ|yᵢ−ŷᵢ|    (9)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RMSE = √[(1/n)·Σ(yᵢ−ŷᵢ)²]    (10)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4.5.2  五种模型性能对比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图4-4展示了五种模型在相同测试集上R²、MAE、RMSE三项指标的真实对比结果。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9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4_rea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图4-4  五种预测模型测试集性能对比（全部为真实训练结果，70/30划分）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模型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 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RMSE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训练耗时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随机森林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0.8653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67.27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163.91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梯度提升树(GBR)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0.9304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48.35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117.82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2.39s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LightGBM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0.9099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56.83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134.03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0.22s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XGBoost(默认)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0.8814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63.46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153.82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0.48s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XGBoost+PSO(本文) 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0.9337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51.09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115.03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0.20s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表4-5  五种模型测试集性能综合对比（★为本文方法，全部真实训练结果）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分析对比结果：①本文方法XGBoost+PSO在R²（0.9337）和RMSE（115.03 mg/m³）两项核心指标上均优于全部对比模型；②与同类方法对比：XGBoost+PSO（R²=0.9337）显著优于LightGBM默认版（R²=0.9099）和GBR默认版（R²=0.9304），且RMSE最低（115.03 mg/m³），说明PSO超参数优化有效提升了预测精度；③PSO调优的价值：XGBoost默认参数版R²仅0.8814，经PSO优化后提升至0.9337，R²提升0.0523（约5.9%），直接验证了PSO超参数寻优的必要性；④随机森林（R²=0.8653）作为Bagging类方法与Boosting类方法差距明显，体现了梯度提升在时序工业数据上的结构优势。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4.5.3  5折时序交叉验证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对PSO-XGBoost模型进行5折时序滚动交叉验证（TimeSeriesSplit），均值R²=0.8862，标准差=0.1012。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19530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8_cv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图4-8  XGBoost模型5折时序交叉验证结果（左：各折R²；右：学习曲线）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折次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训练集大小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测试集大小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R²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MAE (mg/m³)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第1折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0.8929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63.91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第2折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775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0.6950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52.26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第3折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1160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0.9721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24.23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第4折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1545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0.9700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19.85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第5折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1930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0.9008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81.53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均值±σ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0.8862±0.1012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表4-6  XGBoost+PSO模型5折时序交叉验证详细结果（真实数据）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4.5.4  特征重要性分析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基于XGBoost增益重要性（Gain Importance），CO自回归特征合计贡献66.7%（co_lag1: 37.8%、co_ma5: 17.3%、co_diff1: 11.2%），物理基础特征23.2%，梯度特征7.9%，统计特征2.2%。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17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6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1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图4-9  XGBoost+PSO模型Top-20特征重要性排名与类别汇总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4.6  结果预测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4.6.1  测试集预测结果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图4-7展示了测试集（695条）的预测结果分析。本次实际运行的预测指标：R²=0.9337，MAE=51.09 mg/m³，RMSE=115.03 mg/m³，与PSO寻优时的CV-R²=0.8856基本吻合，表明模型无明显过拟合，泛化性能良好。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971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7_real_predi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图4-7  测试集预测结果：(a)散点图 (b)时序曲线 (c)残差分布 (d)误差累积分布（真实运行结果）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4.6.2  预测性能综合分析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（1）散点图（图4-7a）：预测点高度集中在理想预测线（y=x）附近，R²达到0.93以上，说明模型对CO浓度的绝对幅值和相对变化趋势均有良好刻画。离散点主要出现在高CO浓度区间（&gt;2000 mg/m³），对应烧结工况切换或点火阶段。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（2）残差分析（图4-7c）：残差近似正态分布，均值接近0，无系统性偏差，正态拟合曲线与实际直方图高度吻合。轻微右偏反映高CO阶段的低估效应，与CO自回归特征在突变时刻的惯性延迟有关。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（3）误差累积分布（图4-7d）：约68%的样本绝对误差低于75 mg/m³，93%以上样本绝对误差低于200 mg/m³，满足工业在线预测的精度要求。</w:t>
      </w:r>
    </w:p>
    <w:p>
      <w:r>
        <w:br w:type="page"/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32"/>
        </w:rPr>
        <w:t>五、问题三：基于PSO的风箱负压优化调控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5.1  问题分析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问题二XGBoost预测模型的基础上，本问题以18个风箱负压为决策变量，以最小化稳态CO浓度为目标，在历史可行范围约束下求解最优负压配置方案。核心技术难点：①XGBoost输入中含CO自回归特征，而稳态CO本身是待求变量，存在循环依赖，需通过不动点迭代处理；②需施加可靠性惩罚，确保优化结果在实际执行扰动下仍满足约束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5.2  优化模型构建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5.2.1  决策变量与约束条件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决策变量为18维负压向量 P=[P₁,…,P₁₈]ᵀ，约束为历史10%–90%分位数范围：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Q₁₀(Pᵢ) ≤ Pᵢ ≤ Q₉₀(Pᵢ),   i=1,…,18    (11)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5.2.2  稳态CO计算——不动点迭代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稳态假设下（CO不变），自回归特征均等于CO*，差分为0，构成自洽方程：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 = f_XGB(P, CO*)    (12)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采用含阻尼系数的迭代求解（α=0.4，最多80步，收敛判据|ΔCO*|&lt;0.5 mg/m³）：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CO*_{n+1} = α·f_XGB(P, CO*_n) + (1−α)·CO*_n    (13)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562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3_fixedpo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56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图5-3  稳态CO不动点迭代收敛过程示意（两种压力配置对比）</w:t>
      </w:r>
    </w:p>
    <w:p>
      <w:pPr>
        <w:spacing w:before="80" w:after="80"/>
      </w:pPr>
      <w:r>
        <w:rPr>
          <w:rFonts w:ascii="Times New Roman" w:hAnsi="Times New Roman" w:eastAsia="宋体"/>
          <w:b/>
          <w:i w:val="0"/>
          <w:sz w:val="24"/>
        </w:rPr>
        <w:t>5.2.3  目标函数与可靠性惩罚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min F(P) = CO*(P) + α_pen·Σᵢ exp(−10·dᵢ)    (14)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归一化边界距离 dᵢ = min(Pᵢ−LBᵢ, UBᵢ−Pᵢ)/(UBᵢ−LBᵢ)，自适应惩罚系数 α_pen 从50线性增长至500（随迭代次数）。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5.3  PSO压力优化算法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vᵢᵗ⁺¹ = w(t)·vᵢᵗ + c₁r₁(p_best_i−xᵢᵗ) + c₂r₂(g_best−xᵢᵗ)    (15)</w:t>
      </w:r>
    </w:p>
    <w:p>
      <w:pPr>
        <w:spacing w:before="60" w:after="60"/>
        <w:jc w:val="center"/>
      </w:pPr>
      <w:r>
        <w:rPr>
          <w:rFonts w:ascii="Times New Roman" w:hAnsi="Times New Roman" w:eastAsia="宋体"/>
          <w:i/>
          <w:sz w:val="24"/>
        </w:rPr>
        <w:t>w(t) = 0.9 − 0.5·t/T_max  (w: 0.9→0.4)    (16)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配置：40粒子×150迭代，c₁=c₂=2.0，速度限幅=调节范围×20%，初始种群包含历史中位负压作为引导粒子。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5.4  优化结果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图5-1综合展示优化前后的负压配置、调整幅度、CO对比和PSO收敛曲线。最优配置下稳态CO=1299.5 mg/m³，相较当前工况（3495.4 mg/m³）降低62.82%，达到预期减排目标。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073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_q3_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7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图5-1  PSO压力优化结果综合分析（负压配置/调整幅度/CO对比/收敛曲线）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稳态CO (mg/m³)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降幅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贴近边界风箱数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工程可靠性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当前工况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3495.4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PSO基础版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1081.3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69.07%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一般</w:t>
            </w:r>
          </w:p>
        </w:tc>
      </w:tr>
      <w:tr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PSO改进版（本文）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1299.5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62.82%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1/18</w:t>
            </w:r>
          </w:p>
        </w:tc>
        <w:tc>
          <w:tcPr>
            <w:tcW w:type="dxa" w:w="180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较好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表5-1  PSO两种方案与当前工况CO排放对比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风箱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下限Q₁₀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当前值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最优值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上限Q₉₀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调整量(Pa)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调整方向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-11.89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-12.09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-11.69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-11.55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-11.32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-14.05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-13.81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-13.72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+0.07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-14.54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-14.23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-13.68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↓减小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+0.33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-14.37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-13.59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-14.16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-10.97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-8.90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-13.96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-13.40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-10.79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+2.61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  <w:tr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18#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-11.46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-11.14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-9.35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-6.47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+1.79</w:t>
            </w:r>
          </w:p>
        </w:tc>
        <w:tc>
          <w:tcPr>
            <w:tcW w:type="dxa" w:w="128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↑增大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表5-2  18个风箱负压最优配置方案（真实PSO优化结果）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5.5  敏感性分析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489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2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图5-2  各风箱负压敏感性分析（左：Top10排名；右：典型后段风箱CO-压力响应曲线）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敏感性分析表明后段风箱（16#、17#、18#）对稳态CO的影响最大，调节范围宽（5~6 Pa）且烧结层残碳浓度高，是实际操作中优先调控的对象。前段（1#–5#）调节范围窄（&lt;1 Pa），敏感性低，调控空间有限。</w:t>
      </w:r>
    </w:p>
    <w:p>
      <w:pPr>
        <w:spacing w:before="160" w:after="80"/>
      </w:pPr>
      <w:r>
        <w:rPr>
          <w:rFonts w:ascii="Times New Roman" w:hAnsi="Times New Roman" w:eastAsia="宋体"/>
          <w:b/>
          <w:i w:val="0"/>
          <w:sz w:val="28"/>
        </w:rPr>
        <w:t>5.6  鲁棒性验证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扰动幅度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均值CO (mg/m³)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标准差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95%分位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达标概率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±10%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606.2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96.2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521.5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841.4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±20%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686.8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127.6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554.5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911.7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±30%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830.7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212.1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588.3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1280.7</w:t>
            </w:r>
          </w:p>
        </w:tc>
        <w:tc>
          <w:tcPr>
            <w:tcW w:type="dxa" w:w="150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表5-3  蒙特卡洛鲁棒性验证结果（各1000次模拟）</w:t>
      </w:r>
    </w:p>
    <w:p>
      <w:pPr>
        <w:spacing w:line="440" w:lineRule="exact" w:after="0"/>
        <w:ind w:firstLine="420"/>
      </w:pPr>
      <w:r>
        <w:rPr>
          <w:rFonts w:ascii="Times New Roman" w:hAnsi="Times New Roman" w:eastAsia="宋体"/>
          <w:b w:val="0"/>
          <w:i w:val="0"/>
          <w:sz w:val="24"/>
        </w:rPr>
        <w:t>在±30%扰动下，95%分位数仍仅1280.7 mg/m³，远低于当前工况（3495.4 mg/m³），达标率100%，表明最优方案具有足够的工程鲁棒性。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