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6"/>
      </w:tblGrid>
      <w:tr>
        <w:trPr>
          <w:trHeight w:val="14854" w:hRule="atLeast"/>
        </w:trPr>
        <w:tc>
          <w:tcPr>
            <w:tcW w:type="dxa" w:w="10205"/>
            <w:tcBorders>
              <w:top w:val="single" w:sz="8" w:color="000000"/>
              <w:left w:val="single" w:sz="8" w:color="000000"/>
              <w:bottom w:val="single" w:sz="8" w:color="000000"/>
              <w:right w:val="single" w:sz="8" w:color="000000"/>
            </w:tcBorders>
          </w:tcPr>
          <w:tbl>
            <w:tblPr>
              <w:tblW w:type="auto" w:w="0"/>
              <w:jc w:val="center"/>
              <w:tblLayout w:type="fixed"/>
              <w:tblLook w:firstColumn="1" w:firstRow="1" w:lastColumn="0" w:lastRow="0" w:noHBand="0" w:noVBand="1" w:val="04A0"/>
              <w:tblLayout w:type="fixed"/>
            </w:tblPr>
            <w:tblGrid>
              <w:gridCol w:w="1701"/>
              <w:gridCol w:w="5953"/>
              <w:gridCol w:w="1984"/>
            </w:tblGrid>
            <w:tr>
              <w:tc>
                <w:tcPr>
                  <w:tcW w:type="dxa" w:w="1701"/>
                  <w:vAlign w:val="center"/>
                  <w:tcBorders>
                    <w:top w:val="single" w:sz="4" w:color="000000"/>
                    <w:left w:val="single" w:sz="4" w:color="000000"/>
                    <w:bottom w:val="single" w:sz="4" w:color="000000"/>
                    <w:right w:val="single" w:sz="4" w:color="000000"/>
                  </w:tcBorders>
                </w:tcPr>
                <w:p>
                  <w:pPr>
                    <w:jc w:val="center"/>
                  </w:pPr>
                  <w:r>
                    <w:drawing>
                      <wp:inline xmlns:a="http://schemas.openxmlformats.org/drawingml/2006/main" xmlns:pic="http://schemas.openxmlformats.org/drawingml/2006/picture">
                        <wp:extent cx="880626" cy="612000"/>
                        <wp:docPr id="1" name="Picture 1"/>
                        <wp:cNvGraphicFramePr>
                          <a:graphicFrameLocks noChangeAspect="1"/>
                        </wp:cNvGraphicFramePr>
                        <a:graphic>
                          <a:graphicData uri="http://schemas.openxmlformats.org/drawingml/2006/picture">
                            <pic:pic>
                              <pic:nvPicPr>
                                <pic:cNvPr id="0" name="img1_w.png"/>
                                <pic:cNvPicPr/>
                              </pic:nvPicPr>
                              <pic:blipFill>
                                <a:blip r:embed="rId9"/>
                                <a:stretch>
                                  <a:fillRect/>
                                </a:stretch>
                              </pic:blipFill>
                              <pic:spPr>
                                <a:xfrm>
                                  <a:off x="0" y="0"/>
                                  <a:ext cx="880626" cy="612000"/>
                                </a:xfrm>
                                <a:prstGeom prst="rect"/>
                              </pic:spPr>
                            </pic:pic>
                          </a:graphicData>
                        </a:graphic>
                      </wp:inline>
                    </w:drawing>
                  </w:r>
                </w:p>
              </w:tc>
              <w:tc>
                <w:tcPr>
                  <w:tcW w:type="dxa" w:w="5953"/>
                  <w:vAlign w:val="center"/>
                  <w:tcBorders>
                    <w:top w:val="single" w:sz="4" w:color="000000"/>
                    <w:left w:val="single" w:sz="4" w:color="000000"/>
                    <w:bottom w:val="single" w:sz="4" w:color="000000"/>
                    <w:right w:val="single" w:sz="4" w:color="000000"/>
                  </w:tcBorders>
                </w:tcPr>
                <w:p>
                  <w:pPr>
                    <w:jc w:val="center"/>
                  </w:pPr>
                  <w:r>
                    <w:drawing>
                      <wp:inline xmlns:a="http://schemas.openxmlformats.org/drawingml/2006/main" xmlns:pic="http://schemas.openxmlformats.org/drawingml/2006/picture">
                        <wp:extent cx="3312000" cy="598104"/>
                        <wp:docPr id="2" name="Picture 2"/>
                        <wp:cNvGraphicFramePr>
                          <a:graphicFrameLocks noChangeAspect="1"/>
                        </wp:cNvGraphicFramePr>
                        <a:graphic>
                          <a:graphicData uri="http://schemas.openxmlformats.org/drawingml/2006/picture">
                            <pic:pic>
                              <pic:nvPicPr>
                                <pic:cNvPr id="0" name="title_crop.png"/>
                                <pic:cNvPicPr/>
                              </pic:nvPicPr>
                              <pic:blipFill>
                                <a:blip r:embed="rId10"/>
                                <a:stretch>
                                  <a:fillRect/>
                                </a:stretch>
                              </pic:blipFill>
                              <pic:spPr>
                                <a:xfrm>
                                  <a:off x="0" y="0"/>
                                  <a:ext cx="3312000" cy="598104"/>
                                </a:xfrm>
                                <a:prstGeom prst="rect"/>
                              </pic:spPr>
                            </pic:pic>
                          </a:graphicData>
                        </a:graphic>
                      </wp:inline>
                    </w:drawing>
                  </w:r>
                </w:p>
              </w:tc>
              <w:tc>
                <w:tcPr>
                  <w:tcW w:type="dxa" w:w="1984"/>
                  <w:vAlign w:val="center"/>
                  <w:tcBorders>
                    <w:top w:val="single" w:sz="4" w:color="000000"/>
                    <w:left w:val="single" w:sz="4" w:color="000000"/>
                    <w:bottom w:val="single" w:sz="4" w:color="000000"/>
                    <w:right w:val="single" w:sz="4" w:color="000000"/>
                  </w:tcBorders>
                </w:tcPr>
                <w:p>
                  <w:pPr>
                    <w:jc w:val="center"/>
                  </w:pPr>
                  <w:r>
                    <w:drawing>
                      <wp:inline xmlns:a="http://schemas.openxmlformats.org/drawingml/2006/main" xmlns:pic="http://schemas.openxmlformats.org/drawingml/2006/picture">
                        <wp:extent cx="697674" cy="648000"/>
                        <wp:docPr id="3" name="Picture 3"/>
                        <wp:cNvGraphicFramePr>
                          <a:graphicFrameLocks noChangeAspect="1"/>
                        </wp:cNvGraphicFramePr>
                        <a:graphic>
                          <a:graphicData uri="http://schemas.openxmlformats.org/drawingml/2006/picture">
                            <pic:pic>
                              <pic:nvPicPr>
                                <pic:cNvPr id="0" name="img3_w.png"/>
                                <pic:cNvPicPr/>
                              </pic:nvPicPr>
                              <pic:blipFill>
                                <a:blip r:embed="rId11"/>
                                <a:stretch>
                                  <a:fillRect/>
                                </a:stretch>
                              </pic:blipFill>
                              <pic:spPr>
                                <a:xfrm>
                                  <a:off x="0" y="0"/>
                                  <a:ext cx="697674" cy="648000"/>
                                </a:xfrm>
                                <a:prstGeom prst="rect"/>
                              </pic:spPr>
                            </pic:pic>
                          </a:graphicData>
                        </a:graphic>
                      </wp:inline>
                    </w:drawing>
                  </w:r>
                </w:p>
              </w:tc>
            </w:tr>
            <w:tr>
              <w:tc>
                <w:tcPr>
                  <w:tcW w:type="dxa" w:w="9638"/>
                  <w:gridSpan w:val="3"/>
                  <w:tcBorders>
                    <w:top w:val="single" w:sz="4" w:color="000000"/>
                    <w:left w:val="single" w:sz="4" w:color="000000"/>
                    <w:bottom w:val="thick" w:sz="18" w:color="1F3FBF"/>
                    <w:right w:val="single" w:sz="4" w:color="000000"/>
                  </w:tcBorders>
                </w:tcPr>
                <w:p>
                  <w:pPr>
                    <w:jc w:val="center"/>
                  </w:pPr>
                  <w:r>
                    <w:rPr>
                      <w:rFonts w:ascii="맑은 고딕" w:hAnsi="맑은 고딕" w:eastAsia="맑은 고딕"/>
                      <w:b w:val="0"/>
                      <w:color w:val="0000FF"/>
                      <w:sz w:val="19"/>
                      <w:u w:val="single"/>
                    </w:rPr>
                    <w:t>http://wirye.sen.es.kr</w:t>
                  </w:r>
                  <w:r>
                    <w:rPr>
                      <w:rFonts w:ascii="맑은 고딕" w:hAnsi="맑은 고딕" w:eastAsia="맑은 고딕"/>
                      <w:b w:val="0"/>
                      <w:sz w:val="19"/>
                    </w:rPr>
                    <w:t xml:space="preserve">        ☎ 교무실 474-4998 / ☎ 행정실 473-4998        </w:t>
                  </w:r>
                  <w:r>
                    <w:rPr>
                      <w:rFonts w:ascii="맑은 고딕" w:hAnsi="맑은 고딕" w:eastAsia="맑은 고딕"/>
                      <w:b/>
                      <w:sz w:val="20"/>
                    </w:rPr>
                    <w:t>대상: 전학년</w:t>
                  </w:r>
                </w:p>
              </w:tc>
            </w:tr>
          </w:tbl>
          <w:p/>
          <w:p>
            <w:pPr>
              <w:spacing w:line="288" w:lineRule="auto" w:before="200" w:after="40"/>
              <w:ind w:left="0" w:firstLine="0"/>
              <w:jc w:val="center"/>
            </w:pPr>
            <w:r>
              <w:rPr>
                <w:rFonts w:ascii="HY헤드라인M" w:hAnsi="HY헤드라인M" w:eastAsia="HY헤드라인M"/>
                <w:b/>
                <w:sz w:val="36"/>
              </w:rPr>
              <w:t>2026 위례 AI 코딩 챌린지 참가 안내</w:t>
            </w:r>
          </w:p>
          <w:p>
            <w:pPr>
              <w:spacing w:line="312" w:lineRule="auto" w:before="0" w:after="80"/>
              <w:ind w:left="0" w:firstLine="0"/>
              <w:jc w:val="center"/>
            </w:pPr>
            <w:r>
              <w:rPr>
                <w:rFonts w:ascii="맑은 고딕" w:hAnsi="맑은 고딕" w:eastAsia="맑은 고딕"/>
                <w:b/>
                <w:color w:val="007A4D"/>
                <w:sz w:val="24"/>
              </w:rPr>
              <w:t>「AI야, 공부 친구 만들어 줘!」</w:t>
            </w:r>
          </w:p>
          <w:p>
            <w:pPr>
              <w:spacing w:line="324" w:lineRule="auto" w:before="40" w:after="0"/>
              <w:ind w:left="40" w:firstLine="200"/>
              <w:jc w:val="both"/>
            </w:pPr>
            <w:r>
              <w:rPr>
                <w:rFonts w:ascii="맑은 고딕" w:hAnsi="맑은 고딕" w:eastAsia="맑은 고딕"/>
                <w:b w:val="0"/>
                <w:sz w:val="21"/>
              </w:rPr>
              <w:t>안녕하십니까? 학부모님 가정에 건강과 행복이 가득하시길 기원합니다. 우리 학교는 AI중점학교 특색사업으로, 배운 교과 내용으로 친구의 공부를 돕는 프로그램을 직접 만들어 보는 「2026 위례 AI 코딩 챌린지」를 운영합니다. 학생들이 AI와 함께 문제를 해결하는 경험을 할 수 있도록 가정에서도 관심과 격려를 부탁드립니다.</w:t>
            </w:r>
          </w:p>
          <w:p>
            <w:pPr>
              <w:spacing w:line="312" w:lineRule="auto" w:before="80" w:after="20"/>
              <w:ind w:left="0" w:firstLine="0"/>
              <w:jc w:val="center"/>
            </w:pPr>
            <w:r>
              <w:rPr>
                <w:rFonts w:ascii="맑은 고딕" w:hAnsi="맑은 고딕" w:eastAsia="맑은 고딕"/>
                <w:b/>
                <w:sz w:val="21"/>
              </w:rPr>
              <w:t>- 아    래 -</w:t>
            </w:r>
          </w:p>
          <w:p>
            <w:pPr>
              <w:spacing w:line="312" w:lineRule="auto" w:before="100" w:after="0"/>
              <w:ind w:left="40" w:firstLine="0"/>
            </w:pPr>
            <w:r>
              <w:rPr>
                <w:rFonts w:ascii="맑은 고딕" w:hAnsi="맑은 고딕" w:eastAsia="맑은 고딕"/>
                <w:b/>
                <w:color w:val="1F4E9A"/>
                <w:sz w:val="22"/>
              </w:rPr>
              <w:t xml:space="preserve">1. 주제: </w:t>
            </w:r>
            <w:r>
              <w:rPr>
                <w:rFonts w:ascii="맑은 고딕" w:hAnsi="맑은 고딕" w:eastAsia="맑은 고딕"/>
                <w:b w:val="0"/>
                <w:sz w:val="21"/>
              </w:rPr>
              <w:t>교과 학습 도우미 – 배운 단원 1개를 골라 그 단원 공부를 돕는 '공부 친구' 만들기</w:t>
            </w:r>
          </w:p>
          <w:p>
            <w:pPr>
              <w:spacing w:line="312" w:lineRule="auto" w:before="100" w:after="0"/>
              <w:ind w:left="40" w:firstLine="0"/>
            </w:pPr>
            <w:r>
              <w:rPr>
                <w:rFonts w:ascii="맑은 고딕" w:hAnsi="맑은 고딕" w:eastAsia="맑은 고딕"/>
                <w:b/>
                <w:color w:val="1F4E9A"/>
                <w:sz w:val="22"/>
              </w:rPr>
              <w:t xml:space="preserve">2. 참가 부문 </w:t>
            </w:r>
            <w:r>
              <w:rPr>
                <w:rFonts w:ascii="맑은 고딕" w:hAnsi="맑은 고딕" w:eastAsia="맑은 고딕"/>
                <w:b w:val="0"/>
                <w:sz w:val="21"/>
              </w:rPr>
              <w:t>(희망자 자율 참가, 3~6학년은 두 분야 중 1개 선택·1작품)</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sz w:val="21"/>
              </w:rPr>
              <w:t>상상 부문</w:t>
            </w:r>
            <w:r>
              <w:rPr>
                <w:rFonts w:ascii="맑은 고딕" w:hAnsi="맑은 고딕" w:eastAsia="맑은 고딕"/>
                <w:b w:val="0"/>
                <w:sz w:val="21"/>
              </w:rPr>
              <w:t>(1~2학년, 개인): 공부를 도와주는 AI 친구를 상상하여 활동지에 그리고 설명하기</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sz w:val="21"/>
              </w:rPr>
              <w:t>블록코딩 분야</w:t>
            </w:r>
            <w:r>
              <w:rPr>
                <w:rFonts w:ascii="맑은 고딕" w:hAnsi="맑은 고딕" w:eastAsia="맑은 고딕"/>
                <w:b w:val="0"/>
                <w:sz w:val="21"/>
              </w:rPr>
              <w:t>(3~6학년, 개인·2인 팀): 엔트리 또는 스크래치로 만들기</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sz w:val="21"/>
              </w:rPr>
              <w:t>바이브코딩 분야</w:t>
            </w:r>
            <w:r>
              <w:rPr>
                <w:rFonts w:ascii="맑은 고딕" w:hAnsi="맑은 고딕" w:eastAsia="맑은 고딕"/>
                <w:b w:val="0"/>
                <w:sz w:val="21"/>
              </w:rPr>
              <w:t>(3~6학년, 개인·2인 팀): 제미나이 '캔버스'에 말로 요청해 만들기</w:t>
            </w:r>
          </w:p>
          <w:p>
            <w:pPr>
              <w:spacing w:line="312" w:lineRule="auto" w:before="100" w:after="0"/>
              <w:ind w:left="40" w:firstLine="0"/>
            </w:pPr>
            <w:r>
              <w:rPr>
                <w:rFonts w:ascii="맑은 고딕" w:hAnsi="맑은 고딕" w:eastAsia="맑은 고딕"/>
                <w:b/>
                <w:color w:val="1F4E9A"/>
                <w:sz w:val="22"/>
              </w:rPr>
              <w:t>3. 작품 예시</w:t>
            </w:r>
          </w:p>
          <w:p>
            <w:pPr>
              <w:spacing w:line="307" w:lineRule="auto" w:before="0" w:after="0"/>
              <w:ind w:left="320" w:hanging="260"/>
            </w:pPr>
            <w:r>
              <w:rPr>
                <w:rFonts w:ascii="맑은 고딕" w:hAnsi="맑은 고딕" w:eastAsia="맑은 고딕"/>
                <w:b w:val="0"/>
                <w:color w:val="222222"/>
                <w:sz w:val="20"/>
              </w:rPr>
              <w:t xml:space="preserve">○ </w:t>
            </w:r>
            <w:r>
              <w:rPr>
                <w:rFonts w:ascii="맑은 고딕" w:hAnsi="맑은 고딕" w:eastAsia="맑은 고딕"/>
                <w:b w:val="0"/>
                <w:color w:val="222222"/>
                <w:sz w:val="20"/>
              </w:rPr>
              <w:t>[바이브코딩] 4학년 수학 「각도」 → '각도 탐정 게임': 예각·직각·둔각 고르기 게임</w:t>
            </w:r>
          </w:p>
          <w:p>
            <w:pPr>
              <w:spacing w:line="293" w:lineRule="auto" w:before="0" w:after="0"/>
              <w:ind w:left="600" w:hanging="220"/>
            </w:pPr>
            <w:r>
              <w:rPr>
                <w:rFonts w:ascii="맑은 고딕" w:hAnsi="맑은 고딕" w:eastAsia="맑은 고딕"/>
                <w:b w:val="0"/>
                <w:color w:val="444444"/>
                <w:sz w:val="19"/>
              </w:rPr>
              <w:t xml:space="preserve">※ </w:t>
            </w:r>
            <w:r>
              <w:rPr>
                <w:rFonts w:ascii="맑은 고딕" w:hAnsi="맑은 고딕" w:eastAsia="맑은 고딕"/>
                <w:b w:val="0"/>
                <w:color w:val="444444"/>
                <w:sz w:val="19"/>
              </w:rPr>
              <w:t>요청 예시: "4학년 각도 단원 공부 게임을 만들어 줘. 각이 나오면 예각, 직각, 둔각 중에서 고르게 하고 10문제 후 점수를 보여 줘."</w:t>
            </w:r>
          </w:p>
          <w:p>
            <w:pPr>
              <w:spacing w:line="307" w:lineRule="auto" w:before="0" w:after="0"/>
              <w:ind w:left="320" w:hanging="260"/>
            </w:pPr>
            <w:r>
              <w:rPr>
                <w:rFonts w:ascii="맑은 고딕" w:hAnsi="맑은 고딕" w:eastAsia="맑은 고딕"/>
                <w:b w:val="0"/>
                <w:color w:val="222222"/>
                <w:sz w:val="20"/>
              </w:rPr>
              <w:t xml:space="preserve">○ </w:t>
            </w:r>
            <w:r>
              <w:rPr>
                <w:rFonts w:ascii="맑은 고딕" w:hAnsi="맑은 고딕" w:eastAsia="맑은 고딕"/>
                <w:b w:val="0"/>
                <w:color w:val="222222"/>
                <w:sz w:val="20"/>
              </w:rPr>
              <w:t>[블록코딩] 3학년 수학 「곱셈」 → '구구단 우주선': 맞힐 때마다 우주선이 올라가는 퀴즈</w:t>
            </w:r>
          </w:p>
          <w:p>
            <w:pPr>
              <w:spacing w:line="307" w:lineRule="auto" w:before="0" w:after="0"/>
              <w:ind w:left="320" w:hanging="260"/>
            </w:pPr>
            <w:r>
              <w:rPr>
                <w:rFonts w:ascii="맑은 고딕" w:hAnsi="맑은 고딕" w:eastAsia="맑은 고딕"/>
                <w:b w:val="0"/>
                <w:color w:val="222222"/>
                <w:sz w:val="20"/>
              </w:rPr>
              <w:t xml:space="preserve">○ </w:t>
            </w:r>
            <w:r>
              <w:rPr>
                <w:rFonts w:ascii="맑은 고딕" w:hAnsi="맑은 고딕" w:eastAsia="맑은 고딕"/>
                <w:b w:val="0"/>
                <w:color w:val="222222"/>
                <w:sz w:val="20"/>
              </w:rPr>
              <w:t>[상상 부문] 2학년 국어 → '받침 친구 로봇': 낱말을 말하면 받침을 찾아 주는 로봇</w:t>
            </w:r>
          </w:p>
          <w:p>
            <w:pPr>
              <w:spacing w:line="312" w:lineRule="auto" w:before="100" w:after="0"/>
              <w:ind w:left="40" w:firstLine="0"/>
            </w:pPr>
            <w:r>
              <w:rPr>
                <w:rFonts w:ascii="맑은 고딕" w:hAnsi="맑은 고딕" w:eastAsia="맑은 고딕"/>
                <w:b/>
                <w:color w:val="1F4E9A"/>
                <w:sz w:val="22"/>
              </w:rPr>
              <w:t>4. 일정 및 제출 방법</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sz w:val="21"/>
              </w:rPr>
              <w:t xml:space="preserve">작품 제작·제출: </w:t>
            </w:r>
            <w:r>
              <w:rPr>
                <w:rFonts w:ascii="맑은 고딕" w:hAnsi="맑은 고딕" w:eastAsia="맑은 고딕"/>
                <w:b w:val="0"/>
                <w:sz w:val="21"/>
              </w:rPr>
              <w:t>10. 26.(월) ~ 11. 6.(금) 오후 4시까지</w:t>
            </w:r>
          </w:p>
          <w:p>
            <w:pPr>
              <w:spacing w:line="293" w:lineRule="auto" w:before="0" w:after="0"/>
              <w:ind w:left="600" w:hanging="220"/>
            </w:pPr>
            <w:r>
              <w:rPr>
                <w:rFonts w:ascii="맑은 고딕" w:hAnsi="맑은 고딕" w:eastAsia="맑은 고딕"/>
                <w:b w:val="0"/>
                <w:color w:val="444444"/>
                <w:sz w:val="19"/>
              </w:rPr>
              <w:t xml:space="preserve">- </w:t>
            </w:r>
            <w:r>
              <w:rPr>
                <w:rFonts w:ascii="맑은 고딕" w:hAnsi="맑은 고딕" w:eastAsia="맑은 고딕"/>
                <w:b w:val="0"/>
                <w:color w:val="444444"/>
                <w:sz w:val="19"/>
              </w:rPr>
              <w:t>3~6학년: 구글 설문으로 작품 링크 제출 / 1~2학년: 활동지를 담임 선생님께 제출</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sz w:val="21"/>
              </w:rPr>
              <w:t xml:space="preserve">좋아요 투표 주간: </w:t>
            </w:r>
            <w:r>
              <w:rPr>
                <w:rFonts w:ascii="맑은 고딕" w:hAnsi="맑은 고딕" w:eastAsia="맑은 고딕"/>
                <w:b w:val="0"/>
                <w:sz w:val="21"/>
              </w:rPr>
              <w:t>11. 9.(월) ~ 11. 13.(금) – 온라인 갤러리에서 체험하고 '좋아요'(상상 부문은 스티커)</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sz w:val="21"/>
              </w:rPr>
              <w:t xml:space="preserve">결과 발표 및 시상: </w:t>
            </w:r>
            <w:r>
              <w:rPr>
                <w:rFonts w:ascii="맑은 고딕" w:hAnsi="맑은 고딕" w:eastAsia="맑은 고딕"/>
                <w:b w:val="0"/>
                <w:sz w:val="21"/>
              </w:rPr>
              <w:t>11. 18.(수) 방송 시상식, 누리집 갤러리 공개</w:t>
            </w:r>
          </w:p>
          <w:p>
            <w:pPr>
              <w:spacing w:line="312" w:lineRule="auto" w:before="100" w:after="0"/>
              <w:ind w:left="40" w:firstLine="0"/>
            </w:pPr>
            <w:r>
              <w:rPr>
                <w:rFonts w:ascii="맑은 고딕" w:hAnsi="맑은 고딕" w:eastAsia="맑은 고딕"/>
                <w:b/>
                <w:color w:val="1F4E9A"/>
                <w:sz w:val="22"/>
              </w:rPr>
              <w:t>5. 심사 및 시상</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val="0"/>
                <w:sz w:val="21"/>
              </w:rPr>
              <w:t>학생 '좋아요'(상상 부문은 스티커) 50점 + 교사 심사 50점(교과 연계성, 창의성 등)</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val="0"/>
                <w:sz w:val="21"/>
              </w:rPr>
              <w:t>부문별 참가 작품의 10% 내외 시상, 참가 학생 전원 참가 인증서 수여</w:t>
            </w:r>
          </w:p>
          <w:p>
            <w:pPr>
              <w:spacing w:line="293" w:lineRule="auto" w:before="0" w:after="0"/>
              <w:ind w:left="600" w:hanging="220"/>
            </w:pPr>
            <w:r>
              <w:rPr>
                <w:rFonts w:ascii="맑은 고딕" w:hAnsi="맑은 고딕" w:eastAsia="맑은 고딕"/>
                <w:b w:val="0"/>
                <w:color w:val="444444"/>
                <w:sz w:val="19"/>
              </w:rPr>
              <w:t xml:space="preserve">※ </w:t>
            </w:r>
            <w:r>
              <w:rPr>
                <w:rFonts w:ascii="맑은 고딕" w:hAnsi="맑은 고딕" w:eastAsia="맑은 고딕"/>
                <w:b w:val="0"/>
                <w:color w:val="444444"/>
                <w:sz w:val="19"/>
              </w:rPr>
              <w:t>작품은 교사 확인 후 갤러리에 공개(이름 가림)하며, 학급별 참여율 순위도 안내합니다.</w:t>
            </w:r>
          </w:p>
          <w:p>
            <w:pPr>
              <w:spacing w:line="312" w:lineRule="auto" w:before="100" w:after="0"/>
              <w:ind w:left="40" w:firstLine="0"/>
            </w:pPr>
            <w:r>
              <w:rPr>
                <w:rFonts w:ascii="맑은 고딕" w:hAnsi="맑은 고딕" w:eastAsia="맑은 고딕"/>
                <w:b/>
                <w:color w:val="1F4E9A"/>
                <w:sz w:val="22"/>
              </w:rPr>
              <w:t>6. 가정에서 함께해 주세요</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val="0"/>
                <w:sz w:val="21"/>
              </w:rPr>
              <w:t xml:space="preserve">가정 제작도 가능하나 </w:t>
            </w:r>
            <w:r>
              <w:rPr>
                <w:rFonts w:ascii="맑은 고딕" w:hAnsi="맑은 고딕" w:eastAsia="맑은 고딕"/>
                <w:b/>
                <w:sz w:val="21"/>
              </w:rPr>
              <w:t>작품은 학생 스스로</w:t>
            </w:r>
            <w:r>
              <w:rPr>
                <w:rFonts w:ascii="맑은 고딕" w:hAnsi="맑은 고딕" w:eastAsia="맑은 고딕"/>
                <w:b w:val="0"/>
                <w:sz w:val="21"/>
              </w:rPr>
              <w:t xml:space="preserve"> 만들도록 격려해 주세요(AI 대화 링크도 제출).</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val="0"/>
                <w:sz w:val="21"/>
              </w:rPr>
              <w:t xml:space="preserve">작품과 대화에 이름·전화번호·주소·얼굴 사진 등 </w:t>
            </w:r>
            <w:r>
              <w:rPr>
                <w:rFonts w:ascii="맑은 고딕" w:hAnsi="맑은 고딕" w:eastAsia="맑은 고딕"/>
                <w:b/>
                <w:sz w:val="21"/>
              </w:rPr>
              <w:t>개인정보를 넣지 않도록</w:t>
            </w:r>
            <w:r>
              <w:rPr>
                <w:rFonts w:ascii="맑은 고딕" w:hAnsi="맑은 고딕" w:eastAsia="맑은 고딕"/>
                <w:b w:val="0"/>
                <w:sz w:val="21"/>
              </w:rPr>
              <w:t xml:space="preserve"> 지도해 주세요.</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val="0"/>
                <w:sz w:val="21"/>
              </w:rPr>
              <w:t>센스쿨 계정 제미나이는 학생 대화를 AI 학습에 사용하지 않으며 연령별 보호 기능이 적용됩니다.</w:t>
            </w:r>
          </w:p>
          <w:p>
            <w:pPr>
              <w:spacing w:line="307" w:lineRule="auto" w:before="0" w:after="0"/>
              <w:ind w:left="320" w:hanging="260"/>
            </w:pPr>
            <w:r>
              <w:rPr>
                <w:rFonts w:ascii="맑은 고딕" w:hAnsi="맑은 고딕" w:eastAsia="맑은 고딕"/>
                <w:b w:val="0"/>
                <w:sz w:val="21"/>
              </w:rPr>
              <w:t xml:space="preserve">○ </w:t>
            </w:r>
            <w:r>
              <w:rPr>
                <w:rFonts w:ascii="맑은 고딕" w:hAnsi="맑은 고딕" w:eastAsia="맑은 고딕"/>
                <w:b w:val="0"/>
                <w:sz w:val="21"/>
              </w:rPr>
              <w:t>참가 방법 안내 영상과 제출 링크는 학급에서 QR로 안내합니다. (문의: 교무실 474-4998)</w:t>
            </w:r>
          </w:p>
          <w:p>
            <w:pPr>
              <w:spacing w:line="240" w:lineRule="auto" w:before="0" w:after="0"/>
              <w:ind w:left="0" w:firstLine="0"/>
            </w:pPr>
            <w:r>
              <w:rPr>
                <w:rFonts w:ascii="맑은 고딕" w:hAnsi="맑은 고딕" w:eastAsia="맑은 고딕"/>
                <w:b w:val="0"/>
                <w:sz w:val="60"/>
              </w:rPr>
              <w:t xml:space="preserve"> </w:t>
            </w:r>
          </w:p>
          <w:p>
            <w:pPr>
              <w:spacing w:line="336" w:lineRule="auto" w:before="0" w:after="0"/>
              <w:ind w:left="0" w:firstLine="0"/>
              <w:jc w:val="center"/>
            </w:pPr>
            <w:r>
              <w:rPr>
                <w:rFonts w:ascii="휴먼명조" w:hAnsi="휴먼명조" w:eastAsia="휴먼명조"/>
                <w:b w:val="0"/>
                <w:sz w:val="30"/>
              </w:rPr>
              <w:t>2026년 10월 23일</w:t>
            </w:r>
          </w:p>
          <w:p>
            <w:pPr>
              <w:spacing w:line="336" w:lineRule="auto" w:before="0" w:after="120"/>
              <w:ind w:left="0" w:firstLine="0"/>
              <w:jc w:val="center"/>
            </w:pPr>
            <w:r>
              <w:rPr>
                <w:rFonts w:ascii="휴먼명조" w:hAnsi="휴먼명조" w:eastAsia="휴먼명조"/>
                <w:b/>
                <w:sz w:val="36"/>
              </w:rPr>
              <w:t>서울위례초등학교장</w:t>
            </w:r>
          </w:p>
        </w:tc>
      </w:tr>
    </w:tbl>
    <w:sectPr w:rsidR="00FC693F" w:rsidRPr="0006063C" w:rsidSect="00034616">
      <w:footerReference w:type="default" r:id="rId12"/>
      <w:pgSz w:w="11906" w:h="16838"/>
      <w:pgMar w:top="680" w:right="850" w:bottom="567" w:left="850" w:header="72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sz w:val="16"/>
      </w:rPr>
      <w:t>【서울특별시교육청 공익제보센터 운영 안내】</w:t>
    </w:r>
  </w:p>
  <w:p>
    <w:pPr>
      <w:jc w:val="center"/>
    </w:pPr>
    <w:r>
      <w:rPr>
        <w:rFonts w:ascii="맑은 고딕" w:hAnsi="맑은 고딕" w:eastAsia="맑은 고딕"/>
        <w:b w:val="0"/>
        <w:sz w:val="15"/>
      </w:rPr>
      <w:t>○ 신고내용: 부패행위, 공익침해, 부정청탁, 행동강령 위반 ○ 신고방법: 이메일 cleanedu@sen.go.kr / ☎ 1588-0260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