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Запуск и начальная настройка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включения питания устройство создаёт точку доступа Wi-Fi с именем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BrewingStation</w:t>
      </w:r>
      <w:r w:rsidDel="00000000" w:rsidR="00000000" w:rsidRPr="00000000">
        <w:rPr>
          <w:sz w:val="28"/>
          <w:szCs w:val="28"/>
          <w:rtl w:val="0"/>
        </w:rPr>
        <w:t xml:space="preserve">. Подключившись к ней с любого устройства, мы попадаем на веб-интерфейс настройки.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Здесь доступны два основных пути: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Подключение к внешней Wi-Fi сети и загрузка конфигурации с удалённого сервера.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в полностью автономном (оффлайн) режиме.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Настройка конфигурации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Выбираем категорию ингредиента (например, «Полынь» — категория A).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Переходим в режим записи карт. Прикладывая RFID-метки к считывателям, мы присваиваем им выбранную категорию. Процесс сопровождается синим свечением индикатора.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Режим тестирования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Включаем режим проверки. Прикладывая карту, устройство определяет её категорию и отображает результат на веб-странице.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Основной режим работы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Переходим в рабочий режим. Теперь при одновременном прикладывании двух карт к разным ридерам система анализирует их категории по встроенной матрице взаимодействий и выдаёт результат с помощью цветовой индикации: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Зелёный</w:t>
      </w:r>
      <w:r w:rsidDel="00000000" w:rsidR="00000000" w:rsidRPr="00000000">
        <w:rPr>
          <w:sz w:val="28"/>
          <w:szCs w:val="28"/>
          <w:rtl w:val="0"/>
        </w:rPr>
        <w:t xml:space="preserve"> — положительное (благоприятное) сочетание;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Оранжевый</w:t>
      </w:r>
      <w:r w:rsidDel="00000000" w:rsidR="00000000" w:rsidRPr="00000000">
        <w:rPr>
          <w:sz w:val="28"/>
          <w:szCs w:val="28"/>
          <w:rtl w:val="0"/>
        </w:rPr>
        <w:t xml:space="preserve"> — нейтральное сочетание;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Красный</w:t>
      </w:r>
      <w:r w:rsidDel="00000000" w:rsidR="00000000" w:rsidRPr="00000000">
        <w:rPr>
          <w:sz w:val="28"/>
          <w:szCs w:val="28"/>
          <w:rtl w:val="0"/>
        </w:rPr>
        <w:t xml:space="preserve"> — неблагоприятное или опасное сочетание.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Матрица взаимодействий реализована в коде и может быть легко расширена или изменена.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Сохранение и передача конфигурации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окончании работы конфигурация сохраняется локально. При наличии подключения к интернету её можно отправить на сервер для дальнейшего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