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0478CD">
      <w:pPr>
        <w:pStyle w:val="20"/>
        <w:spacing w:before="200" w:after="200"/>
        <w:jc w:val="both"/>
        <w:rPr>
          <w:rFonts w:ascii="黑体" w:hAnsi="黑体" w:eastAsia="黑体" w:cs="黑体"/>
          <w:sz w:val="32"/>
          <w:szCs w:val="32"/>
          <w:lang w:bidi="ar-SA"/>
        </w:rPr>
      </w:pPr>
      <w:r>
        <w:rPr>
          <w:rFonts w:hint="eastAsia" w:ascii="黑体" w:hAnsi="黑体" w:eastAsia="黑体" w:cs="黑体"/>
          <w:sz w:val="32"/>
          <w:szCs w:val="32"/>
          <w:lang w:bidi="ar-SA"/>
        </w:rPr>
        <w:t>附件2</w:t>
      </w:r>
    </w:p>
    <w:p w14:paraId="729B1F5F">
      <w:pPr>
        <w:pStyle w:val="20"/>
        <w:spacing w:before="200" w:after="200"/>
        <w:jc w:val="center"/>
        <w:rPr>
          <w:lang w:val="en-US" w:eastAsia="zh-CN" w:bidi="ar-SA"/>
        </w:rPr>
      </w:pPr>
      <w:r>
        <w:rPr>
          <w:rFonts w:ascii="黑体" w:hAnsi="黑体" w:eastAsia="黑体" w:cs="黑体"/>
          <w:sz w:val="52"/>
          <w:szCs w:val="52"/>
          <w:lang w:val="en-US" w:eastAsia="zh-CN" w:bidi="ar-SA"/>
        </w:rPr>
        <w:t>中山大学</w:t>
      </w:r>
      <w:r>
        <w:rPr>
          <w:rFonts w:ascii="黑体" w:hAnsi="黑体" w:eastAsia="黑体" w:cs="黑体"/>
          <w:sz w:val="52"/>
          <w:szCs w:val="52"/>
          <w:lang w:val="en-US" w:eastAsia="zh-CN" w:bidi="ar-SA"/>
        </w:rPr>
        <w:br w:type="textWrapping"/>
      </w:r>
      <w:r>
        <w:rPr>
          <w:rFonts w:ascii="黑体" w:hAnsi="黑体" w:eastAsia="黑体" w:cs="黑体"/>
          <w:sz w:val="52"/>
          <w:szCs w:val="52"/>
          <w:lang w:val="en-US" w:eastAsia="zh-CN" w:bidi="ar-SA"/>
        </w:rPr>
        <w:t>大学生创新训练项目结题验收书</w:t>
      </w:r>
    </w:p>
    <w:tbl>
      <w:tblPr>
        <w:tblStyle w:val="12"/>
        <w:tblW w:w="4750" w:type="pct"/>
        <w:jc w:val="center"/>
        <w:tblCellSpacing w:w="15" w:type="dxa"/>
        <w:tblLayout w:type="autofit"/>
        <w:tblCellMar>
          <w:top w:w="15" w:type="dxa"/>
          <w:left w:w="15" w:type="dxa"/>
          <w:bottom w:w="15" w:type="dxa"/>
          <w:right w:w="15" w:type="dxa"/>
        </w:tblCellMar>
      </w:tblPr>
      <w:tblGrid>
        <w:gridCol w:w="1823"/>
        <w:gridCol w:w="1758"/>
        <w:gridCol w:w="1666"/>
        <w:gridCol w:w="3132"/>
      </w:tblGrid>
      <w:tr w14:paraId="0AADD190">
        <w:tblPrEx>
          <w:tblCellMar>
            <w:top w:w="15" w:type="dxa"/>
            <w:left w:w="15" w:type="dxa"/>
            <w:bottom w:w="15" w:type="dxa"/>
            <w:right w:w="15" w:type="dxa"/>
          </w:tblCellMar>
        </w:tblPrEx>
        <w:trPr>
          <w:tblCellSpacing w:w="15" w:type="dxa"/>
          <w:jc w:val="center"/>
        </w:trPr>
        <w:tc>
          <w:tcPr>
            <w:tcW w:w="1824" w:type="dxa"/>
            <w:shd w:val="clear" w:color="auto" w:fill="auto"/>
            <w:tcMar>
              <w:top w:w="20" w:type="dxa"/>
              <w:left w:w="0" w:type="dxa"/>
              <w:bottom w:w="20" w:type="dxa"/>
              <w:right w:w="120" w:type="dxa"/>
            </w:tcMar>
            <w:vAlign w:val="center"/>
          </w:tcPr>
          <w:p w14:paraId="440F639E">
            <w:pPr>
              <w:spacing w:before="120"/>
              <w:jc w:val="right"/>
              <w:textAlignment w:val="center"/>
              <w:rPr>
                <w:rFonts w:ascii="仿宋_GB2312" w:hAnsi="仿宋_GB2312" w:eastAsia="仿宋_GB2312" w:cs="仿宋_GB2312"/>
                <w:color w:val="000000"/>
                <w:spacing w:val="11"/>
                <w:lang w:val="en-US" w:eastAsia="zh-CN" w:bidi="ar-SA"/>
              </w:rPr>
            </w:pPr>
            <w:r>
              <w:rPr>
                <w:rFonts w:hint="eastAsia" w:ascii="黑体" w:hAnsi="宋体" w:eastAsia="黑体" w:cs="黑体"/>
                <w:sz w:val="30"/>
                <w:szCs w:val="30"/>
              </w:rPr>
              <w:t>项目编号</w:t>
            </w:r>
          </w:p>
        </w:tc>
        <w:tc>
          <w:tcPr>
            <w:tcW w:w="6555" w:type="dxa"/>
            <w:gridSpan w:val="3"/>
            <w:tcBorders>
              <w:bottom w:val="single" w:color="000000" w:sz="8" w:space="0"/>
            </w:tcBorders>
            <w:shd w:val="clear" w:color="auto" w:fill="auto"/>
            <w:tcMar>
              <w:top w:w="20" w:type="dxa"/>
              <w:left w:w="0" w:type="dxa"/>
              <w:bottom w:w="30" w:type="dxa"/>
              <w:right w:w="120" w:type="dxa"/>
            </w:tcMar>
            <w:vAlign w:val="center"/>
          </w:tcPr>
          <w:p w14:paraId="1D6D71A7">
            <w:pPr>
              <w:spacing w:before="120"/>
              <w:jc w:val="center"/>
              <w:textAlignment w:val="center"/>
              <w:rPr>
                <w:rFonts w:ascii="仿宋_GB2312" w:hAnsi="仿宋_GB2312" w:eastAsia="仿宋_GB2312" w:cs="仿宋_GB2312"/>
                <w:color w:val="000000"/>
                <w:spacing w:val="11"/>
                <w:lang w:val="en-US" w:eastAsia="zh-CN" w:bidi="ar-SA"/>
              </w:rPr>
            </w:pPr>
            <w:r>
              <w:rPr>
                <w:rFonts w:hint="eastAsia" w:ascii="仿宋" w:hAnsi="仿宋" w:eastAsia="仿宋" w:cs="仿宋"/>
                <w:sz w:val="30"/>
                <w:szCs w:val="30"/>
              </w:rPr>
              <w:t xml:space="preserve">20250948 </w:t>
            </w:r>
          </w:p>
        </w:tc>
      </w:tr>
      <w:tr w14:paraId="79159381">
        <w:tblPrEx>
          <w:tblCellMar>
            <w:top w:w="15" w:type="dxa"/>
            <w:left w:w="15" w:type="dxa"/>
            <w:bottom w:w="15" w:type="dxa"/>
            <w:right w:w="15" w:type="dxa"/>
          </w:tblCellMar>
        </w:tblPrEx>
        <w:trPr>
          <w:tblCellSpacing w:w="15" w:type="dxa"/>
          <w:jc w:val="center"/>
        </w:trPr>
        <w:tc>
          <w:tcPr>
            <w:tcW w:w="1824" w:type="dxa"/>
            <w:shd w:val="clear" w:color="auto" w:fill="auto"/>
            <w:tcMar>
              <w:top w:w="20" w:type="dxa"/>
              <w:left w:w="0" w:type="dxa"/>
              <w:bottom w:w="20" w:type="dxa"/>
              <w:right w:w="120" w:type="dxa"/>
            </w:tcMar>
            <w:vAlign w:val="center"/>
          </w:tcPr>
          <w:p w14:paraId="494D3623">
            <w:pPr>
              <w:spacing w:before="120"/>
              <w:jc w:val="right"/>
              <w:textAlignment w:val="center"/>
              <w:rPr>
                <w:rFonts w:ascii="仿宋_GB2312" w:hAnsi="仿宋_GB2312" w:eastAsia="仿宋_GB2312" w:cs="仿宋_GB2312"/>
                <w:color w:val="000000"/>
                <w:spacing w:val="11"/>
                <w:lang w:val="en-US" w:eastAsia="zh-CN" w:bidi="ar-SA"/>
              </w:rPr>
            </w:pPr>
            <w:r>
              <w:rPr>
                <w:rFonts w:hint="eastAsia" w:ascii="黑体" w:hAnsi="宋体" w:eastAsia="黑体" w:cs="黑体"/>
                <w:sz w:val="30"/>
                <w:szCs w:val="30"/>
              </w:rPr>
              <w:t>项目名称</w:t>
            </w:r>
          </w:p>
        </w:tc>
        <w:tc>
          <w:tcPr>
            <w:tcW w:w="6555" w:type="dxa"/>
            <w:gridSpan w:val="3"/>
            <w:tcBorders>
              <w:bottom w:val="single" w:color="000000" w:sz="8" w:space="0"/>
            </w:tcBorders>
            <w:shd w:val="clear" w:color="auto" w:fill="auto"/>
            <w:tcMar>
              <w:top w:w="20" w:type="dxa"/>
              <w:left w:w="0" w:type="dxa"/>
              <w:bottom w:w="30" w:type="dxa"/>
              <w:right w:w="120" w:type="dxa"/>
            </w:tcMar>
            <w:vAlign w:val="center"/>
          </w:tcPr>
          <w:p w14:paraId="3222B8BA">
            <w:pPr>
              <w:spacing w:before="120"/>
              <w:jc w:val="center"/>
              <w:textAlignment w:val="center"/>
              <w:rPr>
                <w:rFonts w:ascii="仿宋_GB2312" w:hAnsi="仿宋_GB2312" w:eastAsia="仿宋_GB2312" w:cs="仿宋_GB2312"/>
                <w:color w:val="000000"/>
                <w:spacing w:val="11"/>
                <w:lang w:val="en-US" w:eastAsia="zh-CN" w:bidi="ar-SA"/>
              </w:rPr>
            </w:pPr>
            <w:r>
              <w:rPr>
                <w:rFonts w:ascii="仿宋" w:hAnsi="仿宋" w:eastAsia="仿宋" w:cs="仿宋"/>
                <w:sz w:val="30"/>
                <w:szCs w:val="30"/>
              </w:rPr>
              <w:t>基于数据驱动机器学习的有机电解液电导率预测模型的研究</w:t>
            </w:r>
            <w:r>
              <w:rPr>
                <w:rFonts w:ascii="宋体" w:hAnsi="宋体" w:cs="宋体"/>
                <w:color w:val="000000"/>
              </w:rPr>
              <w:t xml:space="preserve"> </w:t>
            </w:r>
            <w:r>
              <w:rPr>
                <w:rFonts w:hint="eastAsia" w:ascii="仿宋" w:hAnsi="仿宋" w:eastAsia="仿宋" w:cs="仿宋"/>
                <w:sz w:val="30"/>
                <w:szCs w:val="30"/>
              </w:rPr>
              <w:t xml:space="preserve"> </w:t>
            </w:r>
          </w:p>
        </w:tc>
      </w:tr>
      <w:tr w14:paraId="2F1CA012">
        <w:tblPrEx>
          <w:tblCellMar>
            <w:top w:w="15" w:type="dxa"/>
            <w:left w:w="15" w:type="dxa"/>
            <w:bottom w:w="15" w:type="dxa"/>
            <w:right w:w="15" w:type="dxa"/>
          </w:tblCellMar>
        </w:tblPrEx>
        <w:trPr>
          <w:tblCellSpacing w:w="15" w:type="dxa"/>
          <w:jc w:val="center"/>
        </w:trPr>
        <w:tc>
          <w:tcPr>
            <w:tcW w:w="1824" w:type="dxa"/>
            <w:shd w:val="clear" w:color="auto" w:fill="auto"/>
            <w:tcMar>
              <w:top w:w="20" w:type="dxa"/>
              <w:left w:w="0" w:type="dxa"/>
              <w:bottom w:w="20" w:type="dxa"/>
              <w:right w:w="120" w:type="dxa"/>
            </w:tcMar>
            <w:vAlign w:val="center"/>
          </w:tcPr>
          <w:p w14:paraId="4BC8B732">
            <w:pPr>
              <w:spacing w:before="120"/>
              <w:jc w:val="right"/>
              <w:textAlignment w:val="center"/>
              <w:rPr>
                <w:rFonts w:ascii="仿宋_GB2312" w:hAnsi="仿宋_GB2312" w:eastAsia="仿宋_GB2312" w:cs="仿宋_GB2312"/>
                <w:color w:val="000000"/>
                <w:spacing w:val="11"/>
                <w:lang w:val="en-US" w:eastAsia="zh-CN" w:bidi="ar-SA"/>
              </w:rPr>
            </w:pPr>
            <w:r>
              <w:rPr>
                <w:rFonts w:hint="eastAsia" w:ascii="黑体" w:hAnsi="宋体" w:eastAsia="黑体" w:cs="黑体"/>
                <w:sz w:val="30"/>
                <w:szCs w:val="30"/>
              </w:rPr>
              <w:t>项目级别</w:t>
            </w:r>
          </w:p>
        </w:tc>
        <w:tc>
          <w:tcPr>
            <w:tcW w:w="6555" w:type="dxa"/>
            <w:gridSpan w:val="3"/>
            <w:tcBorders>
              <w:bottom w:val="single" w:color="000000" w:sz="8" w:space="0"/>
            </w:tcBorders>
            <w:shd w:val="clear" w:color="auto" w:fill="auto"/>
            <w:tcMar>
              <w:top w:w="20" w:type="dxa"/>
              <w:left w:w="0" w:type="dxa"/>
              <w:bottom w:w="30" w:type="dxa"/>
              <w:right w:w="120" w:type="dxa"/>
            </w:tcMar>
            <w:vAlign w:val="center"/>
          </w:tcPr>
          <w:p w14:paraId="6E28D267">
            <w:pPr>
              <w:spacing w:before="120"/>
              <w:jc w:val="center"/>
              <w:textAlignment w:val="center"/>
              <w:rPr>
                <w:rFonts w:ascii="仿宋_GB2312" w:hAnsi="仿宋_GB2312" w:eastAsia="仿宋_GB2312" w:cs="仿宋_GB2312"/>
                <w:color w:val="000000"/>
                <w:spacing w:val="11"/>
                <w:lang w:val="en-US" w:eastAsia="zh-CN" w:bidi="ar-SA"/>
              </w:rPr>
            </w:pPr>
            <w:r>
              <w:rPr>
                <w:rFonts w:hint="eastAsia" w:ascii="仿宋" w:hAnsi="仿宋" w:eastAsia="仿宋" w:cs="仿宋"/>
                <w:sz w:val="30"/>
                <w:szCs w:val="30"/>
              </w:rPr>
              <w:t xml:space="preserve">校级 </w:t>
            </w:r>
          </w:p>
        </w:tc>
      </w:tr>
      <w:tr w14:paraId="15EDF4A1">
        <w:tblPrEx>
          <w:tblCellMar>
            <w:top w:w="15" w:type="dxa"/>
            <w:left w:w="15" w:type="dxa"/>
            <w:bottom w:w="15" w:type="dxa"/>
            <w:right w:w="15" w:type="dxa"/>
          </w:tblCellMar>
        </w:tblPrEx>
        <w:trPr>
          <w:tblCellSpacing w:w="15" w:type="dxa"/>
          <w:jc w:val="center"/>
        </w:trPr>
        <w:tc>
          <w:tcPr>
            <w:tcW w:w="1824" w:type="dxa"/>
            <w:shd w:val="clear" w:color="auto" w:fill="auto"/>
            <w:tcMar>
              <w:top w:w="20" w:type="dxa"/>
              <w:left w:w="0" w:type="dxa"/>
              <w:bottom w:w="20" w:type="dxa"/>
              <w:right w:w="120" w:type="dxa"/>
            </w:tcMar>
            <w:vAlign w:val="center"/>
          </w:tcPr>
          <w:p w14:paraId="7835A6AE">
            <w:pPr>
              <w:spacing w:before="120"/>
              <w:jc w:val="right"/>
              <w:textAlignment w:val="center"/>
              <w:rPr>
                <w:rFonts w:ascii="仿宋_GB2312" w:hAnsi="仿宋_GB2312" w:eastAsia="仿宋_GB2312" w:cs="仿宋_GB2312"/>
                <w:color w:val="000000"/>
                <w:spacing w:val="11"/>
                <w:lang w:val="en-US" w:eastAsia="zh-CN" w:bidi="ar-SA"/>
              </w:rPr>
            </w:pPr>
            <w:r>
              <w:rPr>
                <w:rFonts w:hint="eastAsia" w:ascii="黑体" w:hAnsi="宋体" w:eastAsia="黑体" w:cs="黑体"/>
                <w:sz w:val="30"/>
                <w:szCs w:val="30"/>
              </w:rPr>
              <w:t>项目负责人</w:t>
            </w:r>
          </w:p>
        </w:tc>
        <w:tc>
          <w:tcPr>
            <w:tcW w:w="1739" w:type="dxa"/>
            <w:tcBorders>
              <w:bottom w:val="single" w:color="000000" w:sz="8" w:space="0"/>
            </w:tcBorders>
            <w:shd w:val="clear" w:color="auto" w:fill="auto"/>
            <w:tcMar>
              <w:top w:w="20" w:type="dxa"/>
              <w:left w:w="0" w:type="dxa"/>
              <w:bottom w:w="30" w:type="dxa"/>
              <w:right w:w="120" w:type="dxa"/>
            </w:tcMar>
            <w:vAlign w:val="center"/>
          </w:tcPr>
          <w:p w14:paraId="3D4860BD">
            <w:pPr>
              <w:spacing w:before="120"/>
              <w:jc w:val="center"/>
              <w:textAlignment w:val="center"/>
              <w:rPr>
                <w:rFonts w:ascii="仿宋_GB2312" w:hAnsi="仿宋_GB2312" w:eastAsia="仿宋_GB2312" w:cs="仿宋_GB2312"/>
                <w:color w:val="000000"/>
                <w:spacing w:val="11"/>
                <w:lang w:val="en-US" w:eastAsia="zh-CN" w:bidi="ar-SA"/>
              </w:rPr>
            </w:pPr>
            <w:r>
              <w:rPr>
                <w:rFonts w:hint="eastAsia" w:ascii="仿宋" w:hAnsi="仿宋" w:eastAsia="仿宋" w:cs="仿宋"/>
                <w:sz w:val="30"/>
                <w:szCs w:val="30"/>
              </w:rPr>
              <w:t xml:space="preserve">田锦城 </w:t>
            </w:r>
          </w:p>
        </w:tc>
        <w:tc>
          <w:tcPr>
            <w:tcW w:w="1683" w:type="dxa"/>
            <w:shd w:val="clear" w:color="auto" w:fill="auto"/>
            <w:tcMar>
              <w:top w:w="20" w:type="dxa"/>
              <w:left w:w="0" w:type="dxa"/>
              <w:bottom w:w="20" w:type="dxa"/>
              <w:right w:w="120" w:type="dxa"/>
            </w:tcMar>
            <w:vAlign w:val="center"/>
          </w:tcPr>
          <w:p w14:paraId="1CB4127F">
            <w:pPr>
              <w:spacing w:before="120"/>
              <w:jc w:val="right"/>
              <w:textAlignment w:val="center"/>
              <w:rPr>
                <w:rFonts w:ascii="仿宋_GB2312" w:hAnsi="仿宋_GB2312" w:eastAsia="仿宋_GB2312" w:cs="仿宋_GB2312"/>
                <w:color w:val="000000"/>
                <w:spacing w:val="11"/>
                <w:lang w:val="en-US" w:eastAsia="zh-CN" w:bidi="ar-SA"/>
              </w:rPr>
            </w:pPr>
            <w:r>
              <w:rPr>
                <w:rFonts w:hint="eastAsia" w:ascii="黑体" w:hAnsi="宋体" w:eastAsia="黑体" w:cs="黑体"/>
                <w:sz w:val="30"/>
                <w:szCs w:val="30"/>
              </w:rPr>
              <w:t>联系电话</w:t>
            </w:r>
          </w:p>
        </w:tc>
        <w:tc>
          <w:tcPr>
            <w:tcW w:w="3133" w:type="dxa"/>
            <w:tcBorders>
              <w:bottom w:val="single" w:color="000000" w:sz="8" w:space="0"/>
            </w:tcBorders>
            <w:shd w:val="clear" w:color="auto" w:fill="auto"/>
            <w:tcMar>
              <w:top w:w="20" w:type="dxa"/>
              <w:left w:w="0" w:type="dxa"/>
              <w:bottom w:w="30" w:type="dxa"/>
              <w:right w:w="120" w:type="dxa"/>
            </w:tcMar>
            <w:vAlign w:val="center"/>
          </w:tcPr>
          <w:p w14:paraId="433651D3">
            <w:pPr>
              <w:spacing w:before="120"/>
              <w:jc w:val="center"/>
              <w:textAlignment w:val="center"/>
              <w:rPr>
                <w:rFonts w:ascii="仿宋_GB2312" w:hAnsi="仿宋_GB2312" w:eastAsia="仿宋_GB2312" w:cs="仿宋_GB2312"/>
                <w:color w:val="000000"/>
                <w:spacing w:val="11"/>
                <w:lang w:val="en-US" w:eastAsia="zh-CN" w:bidi="ar-SA"/>
              </w:rPr>
            </w:pPr>
            <w:r>
              <w:rPr>
                <w:rFonts w:hint="eastAsia" w:ascii="仿宋" w:hAnsi="仿宋" w:eastAsia="仿宋" w:cs="仿宋"/>
                <w:sz w:val="30"/>
                <w:szCs w:val="30"/>
              </w:rPr>
              <w:t>19925957273</w:t>
            </w:r>
          </w:p>
        </w:tc>
      </w:tr>
      <w:tr w14:paraId="482E7005">
        <w:tblPrEx>
          <w:tblCellMar>
            <w:top w:w="15" w:type="dxa"/>
            <w:left w:w="15" w:type="dxa"/>
            <w:bottom w:w="15" w:type="dxa"/>
            <w:right w:w="15" w:type="dxa"/>
          </w:tblCellMar>
        </w:tblPrEx>
        <w:trPr>
          <w:tblCellSpacing w:w="15" w:type="dxa"/>
          <w:jc w:val="center"/>
        </w:trPr>
        <w:tc>
          <w:tcPr>
            <w:tcW w:w="1824" w:type="dxa"/>
            <w:shd w:val="clear" w:color="auto" w:fill="auto"/>
            <w:tcMar>
              <w:top w:w="20" w:type="dxa"/>
              <w:left w:w="0" w:type="dxa"/>
              <w:bottom w:w="20" w:type="dxa"/>
              <w:right w:w="120" w:type="dxa"/>
            </w:tcMar>
            <w:vAlign w:val="center"/>
          </w:tcPr>
          <w:p w14:paraId="64CE8A52">
            <w:pPr>
              <w:spacing w:before="120"/>
              <w:jc w:val="right"/>
              <w:textAlignment w:val="center"/>
              <w:rPr>
                <w:rFonts w:ascii="仿宋_GB2312" w:hAnsi="仿宋_GB2312" w:eastAsia="仿宋_GB2312" w:cs="仿宋_GB2312"/>
                <w:color w:val="000000"/>
                <w:spacing w:val="11"/>
                <w:lang w:val="en-US" w:eastAsia="zh-CN" w:bidi="ar-SA"/>
              </w:rPr>
            </w:pPr>
            <w:r>
              <w:rPr>
                <w:rFonts w:hint="eastAsia" w:ascii="黑体" w:hAnsi="宋体" w:eastAsia="黑体" w:cs="黑体"/>
                <w:sz w:val="30"/>
                <w:szCs w:val="30"/>
              </w:rPr>
              <w:t>所在学院</w:t>
            </w:r>
          </w:p>
        </w:tc>
        <w:tc>
          <w:tcPr>
            <w:tcW w:w="6555" w:type="dxa"/>
            <w:gridSpan w:val="3"/>
            <w:tcBorders>
              <w:bottom w:val="single" w:color="000000" w:sz="8" w:space="0"/>
            </w:tcBorders>
            <w:shd w:val="clear" w:color="auto" w:fill="auto"/>
            <w:tcMar>
              <w:top w:w="20" w:type="dxa"/>
              <w:left w:w="0" w:type="dxa"/>
              <w:bottom w:w="30" w:type="dxa"/>
              <w:right w:w="120" w:type="dxa"/>
            </w:tcMar>
            <w:vAlign w:val="center"/>
          </w:tcPr>
          <w:p w14:paraId="629D50B7">
            <w:pPr>
              <w:spacing w:before="120"/>
              <w:jc w:val="center"/>
              <w:textAlignment w:val="center"/>
              <w:rPr>
                <w:rFonts w:ascii="仿宋_GB2312" w:hAnsi="仿宋_GB2312" w:eastAsia="仿宋_GB2312" w:cs="仿宋_GB2312"/>
                <w:color w:val="000000"/>
                <w:spacing w:val="11"/>
                <w:lang w:val="en-US" w:eastAsia="zh-CN" w:bidi="ar-SA"/>
              </w:rPr>
            </w:pPr>
            <w:r>
              <w:rPr>
                <w:rFonts w:hint="eastAsia" w:ascii="仿宋" w:hAnsi="仿宋" w:eastAsia="仿宋" w:cs="仿宋"/>
                <w:sz w:val="30"/>
                <w:szCs w:val="30"/>
              </w:rPr>
              <w:t>计算机学院</w:t>
            </w:r>
          </w:p>
        </w:tc>
      </w:tr>
      <w:tr w14:paraId="36689BB3">
        <w:tblPrEx>
          <w:tblCellMar>
            <w:top w:w="15" w:type="dxa"/>
            <w:left w:w="15" w:type="dxa"/>
            <w:bottom w:w="15" w:type="dxa"/>
            <w:right w:w="15" w:type="dxa"/>
          </w:tblCellMar>
        </w:tblPrEx>
        <w:trPr>
          <w:tblCellSpacing w:w="15" w:type="dxa"/>
          <w:jc w:val="center"/>
        </w:trPr>
        <w:tc>
          <w:tcPr>
            <w:tcW w:w="1824" w:type="dxa"/>
            <w:shd w:val="clear" w:color="auto" w:fill="auto"/>
            <w:tcMar>
              <w:top w:w="20" w:type="dxa"/>
              <w:left w:w="0" w:type="dxa"/>
              <w:bottom w:w="20" w:type="dxa"/>
              <w:right w:w="120" w:type="dxa"/>
            </w:tcMar>
            <w:vAlign w:val="center"/>
          </w:tcPr>
          <w:p w14:paraId="388C4D1A">
            <w:pPr>
              <w:spacing w:before="120"/>
              <w:jc w:val="right"/>
              <w:textAlignment w:val="center"/>
              <w:rPr>
                <w:rFonts w:ascii="仿宋_GB2312" w:hAnsi="仿宋_GB2312" w:eastAsia="仿宋_GB2312" w:cs="仿宋_GB2312"/>
                <w:color w:val="000000"/>
                <w:spacing w:val="11"/>
                <w:lang w:val="en-US" w:eastAsia="zh-CN" w:bidi="ar-SA"/>
              </w:rPr>
            </w:pPr>
            <w:r>
              <w:rPr>
                <w:rFonts w:hint="eastAsia" w:ascii="黑体" w:hAnsi="宋体" w:eastAsia="黑体" w:cs="黑体"/>
                <w:sz w:val="30"/>
                <w:szCs w:val="30"/>
              </w:rPr>
              <w:t>学号</w:t>
            </w:r>
          </w:p>
        </w:tc>
        <w:tc>
          <w:tcPr>
            <w:tcW w:w="1739" w:type="dxa"/>
            <w:tcBorders>
              <w:bottom w:val="single" w:color="000000" w:sz="8" w:space="0"/>
            </w:tcBorders>
            <w:shd w:val="clear" w:color="auto" w:fill="auto"/>
            <w:tcMar>
              <w:top w:w="20" w:type="dxa"/>
              <w:left w:w="0" w:type="dxa"/>
              <w:bottom w:w="30" w:type="dxa"/>
              <w:right w:w="120" w:type="dxa"/>
            </w:tcMar>
            <w:vAlign w:val="center"/>
          </w:tcPr>
          <w:p w14:paraId="7976BDC0">
            <w:pPr>
              <w:spacing w:before="120"/>
              <w:jc w:val="center"/>
              <w:textAlignment w:val="center"/>
              <w:rPr>
                <w:rFonts w:ascii="仿宋_GB2312" w:hAnsi="仿宋_GB2312" w:eastAsia="仿宋_GB2312" w:cs="仿宋_GB2312"/>
                <w:color w:val="000000"/>
                <w:spacing w:val="11"/>
                <w:lang w:val="en-US" w:eastAsia="zh-CN" w:bidi="ar-SA"/>
              </w:rPr>
            </w:pPr>
            <w:r>
              <w:rPr>
                <w:rFonts w:hint="eastAsia" w:ascii="仿宋" w:hAnsi="仿宋" w:eastAsia="仿宋" w:cs="仿宋"/>
                <w:sz w:val="30"/>
                <w:szCs w:val="30"/>
              </w:rPr>
              <w:t>23322059</w:t>
            </w:r>
          </w:p>
        </w:tc>
        <w:tc>
          <w:tcPr>
            <w:tcW w:w="1683" w:type="dxa"/>
            <w:shd w:val="clear" w:color="auto" w:fill="auto"/>
            <w:tcMar>
              <w:top w:w="20" w:type="dxa"/>
              <w:left w:w="0" w:type="dxa"/>
              <w:bottom w:w="20" w:type="dxa"/>
              <w:right w:w="120" w:type="dxa"/>
            </w:tcMar>
            <w:vAlign w:val="center"/>
          </w:tcPr>
          <w:p w14:paraId="5B5A70C0">
            <w:pPr>
              <w:spacing w:before="120"/>
              <w:jc w:val="right"/>
              <w:textAlignment w:val="center"/>
              <w:rPr>
                <w:rFonts w:ascii="仿宋_GB2312" w:hAnsi="仿宋_GB2312" w:eastAsia="仿宋_GB2312" w:cs="仿宋_GB2312"/>
                <w:color w:val="000000"/>
                <w:spacing w:val="11"/>
                <w:lang w:val="en-US" w:eastAsia="zh-CN" w:bidi="ar-SA"/>
              </w:rPr>
            </w:pPr>
            <w:r>
              <w:rPr>
                <w:rFonts w:hint="eastAsia" w:ascii="黑体" w:hAnsi="宋体" w:eastAsia="黑体" w:cs="黑体"/>
                <w:sz w:val="30"/>
                <w:szCs w:val="30"/>
              </w:rPr>
              <w:t>专业班级</w:t>
            </w:r>
          </w:p>
        </w:tc>
        <w:tc>
          <w:tcPr>
            <w:tcW w:w="3133" w:type="dxa"/>
            <w:tcBorders>
              <w:bottom w:val="single" w:color="000000" w:sz="8" w:space="0"/>
            </w:tcBorders>
            <w:shd w:val="clear" w:color="auto" w:fill="auto"/>
            <w:tcMar>
              <w:top w:w="20" w:type="dxa"/>
              <w:left w:w="0" w:type="dxa"/>
              <w:bottom w:w="30" w:type="dxa"/>
              <w:right w:w="120" w:type="dxa"/>
            </w:tcMar>
            <w:vAlign w:val="center"/>
          </w:tcPr>
          <w:p w14:paraId="37A45549">
            <w:pPr>
              <w:spacing w:before="120"/>
              <w:jc w:val="center"/>
              <w:textAlignment w:val="center"/>
              <w:rPr>
                <w:rFonts w:ascii="仿宋_GB2312" w:hAnsi="仿宋_GB2312" w:eastAsia="仿宋_GB2312" w:cs="仿宋_GB2312"/>
                <w:color w:val="000000"/>
                <w:spacing w:val="11"/>
                <w:lang w:val="en-US" w:eastAsia="zh-CN" w:bidi="ar-SA"/>
              </w:rPr>
            </w:pPr>
            <w:r>
              <w:rPr>
                <w:rFonts w:hint="eastAsia" w:ascii="仿宋" w:hAnsi="仿宋" w:eastAsia="仿宋" w:cs="仿宋"/>
                <w:sz w:val="30"/>
                <w:szCs w:val="30"/>
              </w:rPr>
              <w:t>计算机科学与技术</w:t>
            </w:r>
          </w:p>
        </w:tc>
      </w:tr>
      <w:tr w14:paraId="079EFA06">
        <w:tblPrEx>
          <w:tblCellMar>
            <w:top w:w="15" w:type="dxa"/>
            <w:left w:w="15" w:type="dxa"/>
            <w:bottom w:w="15" w:type="dxa"/>
            <w:right w:w="15" w:type="dxa"/>
          </w:tblCellMar>
        </w:tblPrEx>
        <w:trPr>
          <w:tblCellSpacing w:w="15" w:type="dxa"/>
          <w:jc w:val="center"/>
        </w:trPr>
        <w:tc>
          <w:tcPr>
            <w:tcW w:w="1824" w:type="dxa"/>
            <w:shd w:val="clear" w:color="auto" w:fill="auto"/>
            <w:tcMar>
              <w:top w:w="20" w:type="dxa"/>
              <w:left w:w="0" w:type="dxa"/>
              <w:bottom w:w="20" w:type="dxa"/>
              <w:right w:w="120" w:type="dxa"/>
            </w:tcMar>
            <w:vAlign w:val="center"/>
          </w:tcPr>
          <w:p w14:paraId="6629F51F">
            <w:pPr>
              <w:spacing w:before="120"/>
              <w:jc w:val="right"/>
              <w:textAlignment w:val="center"/>
              <w:rPr>
                <w:rFonts w:ascii="仿宋_GB2312" w:hAnsi="仿宋_GB2312" w:eastAsia="仿宋_GB2312" w:cs="仿宋_GB2312"/>
                <w:color w:val="000000"/>
                <w:spacing w:val="11"/>
                <w:lang w:val="en-US" w:eastAsia="zh-CN" w:bidi="ar-SA"/>
              </w:rPr>
            </w:pPr>
            <w:r>
              <w:rPr>
                <w:rFonts w:hint="eastAsia" w:ascii="黑体" w:hAnsi="宋体" w:eastAsia="黑体" w:cs="黑体"/>
                <w:sz w:val="30"/>
                <w:szCs w:val="30"/>
              </w:rPr>
              <w:t>指导教师</w:t>
            </w:r>
          </w:p>
        </w:tc>
        <w:tc>
          <w:tcPr>
            <w:tcW w:w="6555" w:type="dxa"/>
            <w:gridSpan w:val="3"/>
            <w:tcBorders>
              <w:bottom w:val="single" w:color="000000" w:sz="8" w:space="0"/>
            </w:tcBorders>
            <w:shd w:val="clear" w:color="auto" w:fill="auto"/>
            <w:tcMar>
              <w:top w:w="20" w:type="dxa"/>
              <w:left w:w="0" w:type="dxa"/>
              <w:bottom w:w="30" w:type="dxa"/>
              <w:right w:w="120" w:type="dxa"/>
            </w:tcMar>
            <w:vAlign w:val="center"/>
          </w:tcPr>
          <w:p w14:paraId="72AD90F5">
            <w:pPr>
              <w:spacing w:before="120"/>
              <w:jc w:val="center"/>
              <w:textAlignment w:val="center"/>
              <w:rPr>
                <w:rFonts w:ascii="仿宋_GB2312" w:hAnsi="仿宋_GB2312" w:eastAsia="仿宋_GB2312" w:cs="仿宋_GB2312"/>
                <w:color w:val="000000"/>
                <w:spacing w:val="11"/>
                <w:lang w:val="en-US" w:eastAsia="zh-CN" w:bidi="ar-SA"/>
              </w:rPr>
            </w:pPr>
            <w:r>
              <w:rPr>
                <w:rFonts w:hint="eastAsia" w:ascii="仿宋" w:hAnsi="仿宋" w:eastAsia="仿宋" w:cs="仿宋"/>
                <w:sz w:val="30"/>
                <w:szCs w:val="30"/>
              </w:rPr>
              <w:t xml:space="preserve">杨静 </w:t>
            </w:r>
          </w:p>
        </w:tc>
      </w:tr>
      <w:tr w14:paraId="50680DFD">
        <w:tblPrEx>
          <w:tblCellMar>
            <w:top w:w="15" w:type="dxa"/>
            <w:left w:w="15" w:type="dxa"/>
            <w:bottom w:w="15" w:type="dxa"/>
            <w:right w:w="15" w:type="dxa"/>
          </w:tblCellMar>
        </w:tblPrEx>
        <w:trPr>
          <w:tblCellSpacing w:w="15" w:type="dxa"/>
          <w:jc w:val="center"/>
        </w:trPr>
        <w:tc>
          <w:tcPr>
            <w:tcW w:w="1824" w:type="dxa"/>
            <w:shd w:val="clear" w:color="auto" w:fill="auto"/>
            <w:tcMar>
              <w:top w:w="20" w:type="dxa"/>
              <w:left w:w="0" w:type="dxa"/>
              <w:bottom w:w="20" w:type="dxa"/>
              <w:right w:w="120" w:type="dxa"/>
            </w:tcMar>
            <w:vAlign w:val="center"/>
          </w:tcPr>
          <w:p w14:paraId="78EA64C2">
            <w:pPr>
              <w:spacing w:before="120"/>
              <w:jc w:val="right"/>
              <w:textAlignment w:val="center"/>
              <w:rPr>
                <w:rFonts w:ascii="仿宋_GB2312" w:hAnsi="仿宋_GB2312" w:eastAsia="仿宋_GB2312" w:cs="仿宋_GB2312"/>
                <w:color w:val="000000"/>
                <w:spacing w:val="11"/>
                <w:lang w:val="en-US" w:eastAsia="zh-CN" w:bidi="ar-SA"/>
              </w:rPr>
            </w:pPr>
            <w:r>
              <w:rPr>
                <w:rFonts w:hint="eastAsia" w:ascii="黑体" w:hAnsi="宋体" w:eastAsia="黑体" w:cs="黑体"/>
                <w:sz w:val="30"/>
                <w:szCs w:val="30"/>
              </w:rPr>
              <w:t>E-mail</w:t>
            </w:r>
          </w:p>
        </w:tc>
        <w:tc>
          <w:tcPr>
            <w:tcW w:w="6555" w:type="dxa"/>
            <w:gridSpan w:val="3"/>
            <w:tcBorders>
              <w:bottom w:val="single" w:color="000000" w:sz="8" w:space="0"/>
            </w:tcBorders>
            <w:shd w:val="clear" w:color="auto" w:fill="auto"/>
            <w:tcMar>
              <w:top w:w="20" w:type="dxa"/>
              <w:left w:w="0" w:type="dxa"/>
              <w:bottom w:w="30" w:type="dxa"/>
              <w:right w:w="120" w:type="dxa"/>
            </w:tcMar>
            <w:vAlign w:val="center"/>
          </w:tcPr>
          <w:p w14:paraId="5328699A">
            <w:pPr>
              <w:spacing w:before="120"/>
              <w:jc w:val="center"/>
              <w:textAlignment w:val="center"/>
              <w:rPr>
                <w:rFonts w:ascii="仿宋_GB2312" w:hAnsi="仿宋_GB2312" w:eastAsia="仿宋_GB2312" w:cs="仿宋_GB2312"/>
                <w:color w:val="000000"/>
                <w:spacing w:val="11"/>
                <w:lang w:val="en-US" w:eastAsia="zh-CN" w:bidi="ar-SA"/>
              </w:rPr>
            </w:pPr>
            <w:r>
              <w:rPr>
                <w:rFonts w:ascii="仿宋" w:hAnsi="仿宋" w:eastAsia="仿宋" w:cs="仿宋"/>
                <w:sz w:val="30"/>
                <w:szCs w:val="30"/>
              </w:rPr>
              <w:t>tianjch3@mail2.sysu.edu.cn</w:t>
            </w:r>
          </w:p>
        </w:tc>
      </w:tr>
      <w:tr w14:paraId="4B79948C">
        <w:tblPrEx>
          <w:tblCellMar>
            <w:top w:w="15" w:type="dxa"/>
            <w:left w:w="15" w:type="dxa"/>
            <w:bottom w:w="15" w:type="dxa"/>
            <w:right w:w="15" w:type="dxa"/>
          </w:tblCellMar>
        </w:tblPrEx>
        <w:trPr>
          <w:tblCellSpacing w:w="15" w:type="dxa"/>
          <w:jc w:val="center"/>
        </w:trPr>
        <w:tc>
          <w:tcPr>
            <w:tcW w:w="1824" w:type="dxa"/>
            <w:shd w:val="clear" w:color="auto" w:fill="auto"/>
            <w:tcMar>
              <w:top w:w="20" w:type="dxa"/>
              <w:left w:w="0" w:type="dxa"/>
              <w:bottom w:w="20" w:type="dxa"/>
              <w:right w:w="120" w:type="dxa"/>
            </w:tcMar>
            <w:vAlign w:val="center"/>
          </w:tcPr>
          <w:p w14:paraId="42ED82F8">
            <w:pPr>
              <w:spacing w:before="120"/>
              <w:jc w:val="right"/>
              <w:textAlignment w:val="center"/>
              <w:rPr>
                <w:rFonts w:ascii="仿宋_GB2312" w:hAnsi="仿宋_GB2312" w:eastAsia="仿宋_GB2312" w:cs="仿宋_GB2312"/>
                <w:color w:val="000000"/>
                <w:spacing w:val="11"/>
                <w:lang w:val="en-US" w:eastAsia="zh-CN" w:bidi="ar-SA"/>
              </w:rPr>
            </w:pPr>
            <w:r>
              <w:rPr>
                <w:rFonts w:hint="eastAsia" w:ascii="黑体" w:hAnsi="宋体" w:eastAsia="黑体" w:cs="黑体"/>
                <w:sz w:val="30"/>
                <w:szCs w:val="30"/>
              </w:rPr>
              <w:t>申请日期</w:t>
            </w:r>
          </w:p>
        </w:tc>
        <w:tc>
          <w:tcPr>
            <w:tcW w:w="6555" w:type="dxa"/>
            <w:gridSpan w:val="3"/>
            <w:tcBorders>
              <w:bottom w:val="single" w:color="000000" w:sz="8" w:space="0"/>
            </w:tcBorders>
            <w:shd w:val="clear" w:color="auto" w:fill="auto"/>
            <w:tcMar>
              <w:top w:w="20" w:type="dxa"/>
              <w:left w:w="0" w:type="dxa"/>
              <w:bottom w:w="30" w:type="dxa"/>
              <w:right w:w="120" w:type="dxa"/>
            </w:tcMar>
            <w:vAlign w:val="center"/>
          </w:tcPr>
          <w:p w14:paraId="2CC638B0">
            <w:pPr>
              <w:spacing w:before="120"/>
              <w:jc w:val="center"/>
              <w:textAlignment w:val="center"/>
              <w:rPr>
                <w:rFonts w:ascii="仿宋_GB2312" w:hAnsi="仿宋_GB2312" w:eastAsia="仿宋_GB2312" w:cs="仿宋_GB2312"/>
                <w:color w:val="000000"/>
                <w:spacing w:val="11"/>
                <w:lang w:val="en-US" w:eastAsia="zh-CN" w:bidi="ar-SA"/>
              </w:rPr>
            </w:pPr>
            <w:r>
              <w:rPr>
                <w:rFonts w:hint="eastAsia" w:ascii="仿宋" w:hAnsi="仿宋" w:eastAsia="仿宋" w:cs="仿宋"/>
                <w:sz w:val="30"/>
                <w:szCs w:val="30"/>
              </w:rPr>
              <w:t xml:space="preserve">2024年12月12日 </w:t>
            </w:r>
          </w:p>
        </w:tc>
      </w:tr>
    </w:tbl>
    <w:p w14:paraId="1244AC2F">
      <w:pPr>
        <w:pStyle w:val="20"/>
        <w:spacing w:before="1600" w:after="120"/>
        <w:jc w:val="center"/>
        <w:rPr>
          <w:lang w:val="en-US" w:eastAsia="zh-CN" w:bidi="ar-SA"/>
        </w:rPr>
      </w:pPr>
      <w:r>
        <w:rPr>
          <w:rFonts w:ascii="黑体" w:hAnsi="黑体" w:eastAsia="黑体" w:cs="黑体"/>
          <w:sz w:val="30"/>
          <w:szCs w:val="30"/>
          <w:lang w:val="en-US" w:eastAsia="zh-CN" w:bidi="ar-SA"/>
        </w:rPr>
        <w:t xml:space="preserve">中山大学 教务部 </w:t>
      </w:r>
    </w:p>
    <w:p w14:paraId="6F8E3B12">
      <w:pPr>
        <w:pStyle w:val="5"/>
        <w:spacing w:before="100" w:after="100" w:line="600" w:lineRule="atLeast"/>
        <w:rPr>
          <w:rFonts w:ascii="Calibri" w:hAnsi="Calibri" w:eastAsia="Calibri" w:cs="Calibri"/>
          <w:sz w:val="28"/>
          <w:szCs w:val="28"/>
          <w:lang w:val="en-US" w:eastAsia="zh-CN" w:bidi="ar-SA"/>
        </w:rPr>
      </w:pPr>
      <w:r>
        <w:rPr>
          <w:rFonts w:ascii="Calibri" w:hAnsi="Calibri" w:eastAsia="Calibri" w:cs="Calibri"/>
          <w:sz w:val="28"/>
          <w:szCs w:val="28"/>
          <w:lang w:val="en-US" w:eastAsia="zh-CN" w:bidi="ar-SA"/>
        </w:rPr>
        <w:t> </w:t>
      </w:r>
    </w:p>
    <w:p w14:paraId="3E7D23FD">
      <w:pPr>
        <w:rPr>
          <w:rFonts w:ascii="Calibri" w:hAnsi="Calibri" w:eastAsia="Calibri" w:cs="Calibri"/>
          <w:sz w:val="28"/>
          <w:szCs w:val="28"/>
          <w:lang w:val="en-US" w:eastAsia="zh-CN" w:bidi="ar-SA"/>
        </w:rPr>
      </w:pPr>
    </w:p>
    <w:p w14:paraId="61DA83E4">
      <w:pPr>
        <w:rPr>
          <w:rFonts w:ascii="Calibri" w:hAnsi="Calibri" w:eastAsia="Calibri" w:cs="Calibri"/>
          <w:sz w:val="28"/>
          <w:szCs w:val="28"/>
          <w:lang w:val="en-US" w:eastAsia="zh-CN" w:bidi="ar-SA"/>
        </w:rPr>
      </w:pPr>
    </w:p>
    <w:p w14:paraId="170299A6">
      <w:pPr>
        <w:rPr>
          <w:rFonts w:ascii="Calibri" w:hAnsi="Calibri" w:eastAsia="Calibri" w:cs="Calibri"/>
          <w:sz w:val="28"/>
          <w:szCs w:val="28"/>
          <w:lang w:val="en-US" w:eastAsia="zh-CN" w:bidi="ar-SA"/>
        </w:rPr>
      </w:pPr>
    </w:p>
    <w:p w14:paraId="59CD2449">
      <w:pPr>
        <w:rPr>
          <w:rFonts w:ascii="Calibri" w:hAnsi="Calibri" w:eastAsia="Calibri" w:cs="Calibri"/>
          <w:sz w:val="28"/>
          <w:szCs w:val="28"/>
          <w:lang w:val="en-US" w:eastAsia="zh-CN" w:bidi="ar-SA"/>
        </w:rPr>
      </w:pPr>
    </w:p>
    <w:p w14:paraId="2DF5DA17">
      <w:pPr>
        <w:pStyle w:val="20"/>
        <w:rPr>
          <w:lang w:val="en-US" w:eastAsia="zh-CN" w:bidi="ar-SA"/>
        </w:rPr>
      </w:pPr>
      <w:r>
        <w:rPr>
          <w:rFonts w:ascii="Calibri" w:hAnsi="Calibri" w:eastAsia="Calibri" w:cs="Calibri"/>
          <w:lang w:val="en-US" w:eastAsia="zh-CN" w:bidi="ar-SA"/>
        </w:rPr>
        <w:t> </w:t>
      </w:r>
    </w:p>
    <w:p w14:paraId="4BBC6877">
      <w:pPr>
        <w:pStyle w:val="5"/>
        <w:spacing w:before="100" w:after="100" w:line="600" w:lineRule="atLeast"/>
        <w:rPr>
          <w:lang w:val="en-US" w:eastAsia="zh-CN" w:bidi="ar-SA"/>
        </w:rPr>
      </w:pPr>
      <w:r>
        <w:rPr>
          <w:rFonts w:ascii="黑体" w:hAnsi="黑体" w:eastAsia="黑体" w:cs="黑体"/>
          <w:sz w:val="28"/>
          <w:szCs w:val="28"/>
          <w:lang w:val="en-US" w:eastAsia="zh-CN" w:bidi="ar-SA"/>
        </w:rPr>
        <w:t>一、 项目基本信息 （自动获取）</w:t>
      </w:r>
    </w:p>
    <w:tbl>
      <w:tblPr>
        <w:tblStyle w:val="12"/>
        <w:tblW w:w="5000" w:type="pct"/>
        <w:tblInd w:w="92" w:type="dxa"/>
        <w:tblLayout w:type="autofit"/>
        <w:tblCellMar>
          <w:top w:w="15" w:type="dxa"/>
          <w:left w:w="15" w:type="dxa"/>
          <w:bottom w:w="15" w:type="dxa"/>
          <w:right w:w="15" w:type="dxa"/>
        </w:tblCellMar>
      </w:tblPr>
      <w:tblGrid>
        <w:gridCol w:w="1406"/>
        <w:gridCol w:w="1831"/>
        <w:gridCol w:w="1483"/>
        <w:gridCol w:w="4180"/>
      </w:tblGrid>
      <w:tr w14:paraId="3235E7C7">
        <w:tblPrEx>
          <w:tblCellMar>
            <w:top w:w="15" w:type="dxa"/>
            <w:left w:w="15" w:type="dxa"/>
            <w:bottom w:w="15" w:type="dxa"/>
            <w:right w:w="15" w:type="dxa"/>
          </w:tblCellMar>
        </w:tblPrEx>
        <w:tc>
          <w:tcPr>
            <w:tcW w:w="1406" w:type="dxa"/>
            <w:tcBorders>
              <w:top w:val="single" w:color="000000" w:sz="8" w:space="0"/>
              <w:left w:val="single" w:color="000000" w:sz="8" w:space="0"/>
              <w:bottom w:val="single" w:color="000000" w:sz="8" w:space="0"/>
              <w:right w:val="single" w:color="000000" w:sz="8" w:space="0"/>
            </w:tcBorders>
            <w:shd w:val="clear" w:color="auto" w:fill="auto"/>
            <w:tcMar>
              <w:top w:w="130" w:type="dxa"/>
              <w:left w:w="130" w:type="dxa"/>
              <w:bottom w:w="130" w:type="dxa"/>
              <w:right w:w="130" w:type="dxa"/>
            </w:tcMar>
            <w:vAlign w:val="center"/>
          </w:tcPr>
          <w:p w14:paraId="16007B58">
            <w:pPr>
              <w:pStyle w:val="20"/>
              <w:jc w:val="center"/>
              <w:rPr>
                <w:color w:val="000000"/>
                <w:lang w:val="en-US" w:eastAsia="zh-CN" w:bidi="ar-SA"/>
              </w:rPr>
            </w:pPr>
            <w:r>
              <w:rPr>
                <w:rFonts w:ascii="宋体" w:hAnsi="宋体" w:eastAsia="宋体" w:cs="宋体"/>
                <w:color w:val="000000"/>
              </w:rPr>
              <w:t>项目名称</w:t>
            </w:r>
          </w:p>
        </w:tc>
        <w:tc>
          <w:tcPr>
            <w:tcW w:w="7494" w:type="dxa"/>
            <w:gridSpan w:val="3"/>
            <w:tcBorders>
              <w:top w:val="single" w:color="000000" w:sz="8" w:space="0"/>
              <w:bottom w:val="single" w:color="000000" w:sz="8" w:space="0"/>
              <w:right w:val="single" w:color="000000" w:sz="8" w:space="0"/>
            </w:tcBorders>
            <w:shd w:val="clear" w:color="auto" w:fill="auto"/>
            <w:tcMar>
              <w:top w:w="130" w:type="dxa"/>
              <w:left w:w="245" w:type="dxa"/>
              <w:bottom w:w="130" w:type="dxa"/>
              <w:right w:w="130" w:type="dxa"/>
            </w:tcMar>
            <w:vAlign w:val="center"/>
          </w:tcPr>
          <w:p w14:paraId="2B8897D7">
            <w:pPr>
              <w:pStyle w:val="20"/>
              <w:rPr>
                <w:color w:val="000000"/>
                <w:lang w:val="en-US" w:eastAsia="zh-CN" w:bidi="ar-SA"/>
              </w:rPr>
            </w:pPr>
            <w:r>
              <w:rPr>
                <w:rFonts w:ascii="宋体" w:hAnsi="宋体" w:eastAsia="宋体" w:cs="宋体"/>
                <w:color w:val="000000"/>
              </w:rPr>
              <w:t xml:space="preserve">基于数据驱动机器学习的有机电解液电导率预测模型的研究 </w:t>
            </w:r>
          </w:p>
        </w:tc>
      </w:tr>
      <w:tr w14:paraId="323C4E56">
        <w:tblPrEx>
          <w:tblCellMar>
            <w:top w:w="15" w:type="dxa"/>
            <w:left w:w="15" w:type="dxa"/>
            <w:bottom w:w="15" w:type="dxa"/>
            <w:right w:w="15" w:type="dxa"/>
          </w:tblCellMar>
        </w:tblPrEx>
        <w:tc>
          <w:tcPr>
            <w:tcW w:w="1406" w:type="dxa"/>
            <w:tcBorders>
              <w:left w:val="single" w:color="000000" w:sz="8" w:space="0"/>
              <w:bottom w:val="single" w:color="000000" w:sz="8" w:space="0"/>
              <w:right w:val="single" w:color="000000" w:sz="8" w:space="0"/>
            </w:tcBorders>
            <w:shd w:val="clear" w:color="auto" w:fill="auto"/>
            <w:tcMar>
              <w:top w:w="125" w:type="dxa"/>
              <w:left w:w="130" w:type="dxa"/>
              <w:bottom w:w="130" w:type="dxa"/>
              <w:right w:w="130" w:type="dxa"/>
            </w:tcMar>
            <w:vAlign w:val="center"/>
          </w:tcPr>
          <w:p w14:paraId="59097A82">
            <w:pPr>
              <w:pStyle w:val="20"/>
              <w:jc w:val="center"/>
              <w:rPr>
                <w:color w:val="000000"/>
                <w:lang w:val="en-US" w:eastAsia="zh-CN" w:bidi="ar-SA"/>
              </w:rPr>
            </w:pPr>
            <w:r>
              <w:rPr>
                <w:rFonts w:ascii="宋体" w:hAnsi="宋体" w:eastAsia="宋体" w:cs="宋体"/>
                <w:color w:val="000000"/>
              </w:rPr>
              <w:t>项目编号</w:t>
            </w:r>
          </w:p>
        </w:tc>
        <w:tc>
          <w:tcPr>
            <w:tcW w:w="7494" w:type="dxa"/>
            <w:gridSpan w:val="3"/>
            <w:tcBorders>
              <w:bottom w:val="single" w:color="000000" w:sz="8" w:space="0"/>
              <w:right w:val="single" w:color="000000" w:sz="8" w:space="0"/>
            </w:tcBorders>
            <w:shd w:val="clear" w:color="auto" w:fill="auto"/>
            <w:tcMar>
              <w:top w:w="125" w:type="dxa"/>
              <w:left w:w="245" w:type="dxa"/>
              <w:bottom w:w="130" w:type="dxa"/>
              <w:right w:w="130" w:type="dxa"/>
            </w:tcMar>
            <w:vAlign w:val="center"/>
          </w:tcPr>
          <w:p w14:paraId="5BADB66D">
            <w:pPr>
              <w:pStyle w:val="20"/>
              <w:rPr>
                <w:color w:val="000000"/>
                <w:lang w:val="en-US" w:eastAsia="zh-CN" w:bidi="ar-SA"/>
              </w:rPr>
            </w:pPr>
            <w:r>
              <w:rPr>
                <w:rFonts w:ascii="宋体" w:hAnsi="宋体" w:eastAsia="宋体" w:cs="宋体"/>
                <w:color w:val="000000"/>
              </w:rPr>
              <w:t>20250948</w:t>
            </w:r>
          </w:p>
        </w:tc>
      </w:tr>
      <w:tr w14:paraId="28BE0139">
        <w:tblPrEx>
          <w:tblCellMar>
            <w:top w:w="15" w:type="dxa"/>
            <w:left w:w="15" w:type="dxa"/>
            <w:bottom w:w="15" w:type="dxa"/>
            <w:right w:w="15" w:type="dxa"/>
          </w:tblCellMar>
        </w:tblPrEx>
        <w:tc>
          <w:tcPr>
            <w:tcW w:w="1406" w:type="dxa"/>
            <w:tcBorders>
              <w:left w:val="single" w:color="000000" w:sz="8" w:space="0"/>
              <w:bottom w:val="single" w:color="000000" w:sz="8" w:space="0"/>
              <w:right w:val="single" w:color="000000" w:sz="8" w:space="0"/>
            </w:tcBorders>
            <w:shd w:val="clear" w:color="auto" w:fill="auto"/>
            <w:tcMar>
              <w:top w:w="125" w:type="dxa"/>
              <w:left w:w="130" w:type="dxa"/>
              <w:bottom w:w="130" w:type="dxa"/>
              <w:right w:w="130" w:type="dxa"/>
            </w:tcMar>
            <w:vAlign w:val="center"/>
          </w:tcPr>
          <w:p w14:paraId="4E9611CF">
            <w:pPr>
              <w:pStyle w:val="20"/>
              <w:jc w:val="center"/>
              <w:rPr>
                <w:color w:val="000000"/>
                <w:lang w:val="en-US" w:eastAsia="zh-CN" w:bidi="ar-SA"/>
              </w:rPr>
            </w:pPr>
            <w:r>
              <w:rPr>
                <w:rFonts w:ascii="宋体" w:hAnsi="宋体" w:eastAsia="宋体" w:cs="宋体"/>
                <w:color w:val="000000"/>
              </w:rPr>
              <w:t>起止时间（年月）</w:t>
            </w:r>
          </w:p>
        </w:tc>
        <w:tc>
          <w:tcPr>
            <w:tcW w:w="7494" w:type="dxa"/>
            <w:gridSpan w:val="3"/>
            <w:tcBorders>
              <w:bottom w:val="single" w:color="000000" w:sz="8" w:space="0"/>
              <w:right w:val="single" w:color="000000" w:sz="8" w:space="0"/>
            </w:tcBorders>
            <w:shd w:val="clear" w:color="auto" w:fill="auto"/>
            <w:tcMar>
              <w:top w:w="125" w:type="dxa"/>
              <w:left w:w="245" w:type="dxa"/>
              <w:bottom w:w="130" w:type="dxa"/>
              <w:right w:w="130" w:type="dxa"/>
            </w:tcMar>
            <w:vAlign w:val="center"/>
          </w:tcPr>
          <w:p w14:paraId="6E36007F">
            <w:pPr>
              <w:pStyle w:val="20"/>
              <w:rPr>
                <w:color w:val="000000"/>
                <w:lang w:val="en-US" w:eastAsia="zh-CN" w:bidi="ar-SA"/>
              </w:rPr>
            </w:pPr>
            <w:r>
              <w:rPr>
                <w:rFonts w:ascii="宋体" w:hAnsi="宋体" w:eastAsia="宋体" w:cs="宋体"/>
                <w:color w:val="000000"/>
              </w:rPr>
              <w:t>202</w:t>
            </w:r>
            <w:r>
              <w:rPr>
                <w:rFonts w:hint="eastAsia" w:ascii="宋体" w:hAnsi="宋体" w:eastAsia="宋体" w:cs="宋体"/>
                <w:color w:val="000000"/>
              </w:rPr>
              <w:t>5</w:t>
            </w:r>
            <w:r>
              <w:rPr>
                <w:rFonts w:ascii="宋体" w:hAnsi="宋体" w:eastAsia="宋体" w:cs="宋体"/>
                <w:color w:val="000000"/>
              </w:rPr>
              <w:t>年1月至202</w:t>
            </w:r>
            <w:r>
              <w:rPr>
                <w:rFonts w:hint="eastAsia" w:ascii="宋体" w:hAnsi="宋体" w:eastAsia="宋体" w:cs="宋体"/>
                <w:color w:val="000000"/>
              </w:rPr>
              <w:t>5</w:t>
            </w:r>
            <w:r>
              <w:rPr>
                <w:rFonts w:ascii="宋体" w:hAnsi="宋体" w:eastAsia="宋体" w:cs="宋体"/>
                <w:color w:val="000000"/>
              </w:rPr>
              <w:t xml:space="preserve">年12月 </w:t>
            </w:r>
          </w:p>
        </w:tc>
      </w:tr>
      <w:tr w14:paraId="0798BD71">
        <w:tblPrEx>
          <w:tblCellMar>
            <w:top w:w="15" w:type="dxa"/>
            <w:left w:w="15" w:type="dxa"/>
            <w:bottom w:w="15" w:type="dxa"/>
            <w:right w:w="15" w:type="dxa"/>
          </w:tblCellMar>
        </w:tblPrEx>
        <w:tc>
          <w:tcPr>
            <w:tcW w:w="1406" w:type="dxa"/>
            <w:tcBorders>
              <w:left w:val="single" w:color="000000" w:sz="8" w:space="0"/>
              <w:bottom w:val="single" w:color="000000" w:sz="8" w:space="0"/>
              <w:right w:val="single" w:color="000000" w:sz="8" w:space="0"/>
            </w:tcBorders>
            <w:shd w:val="clear" w:color="auto" w:fill="auto"/>
            <w:tcMar>
              <w:top w:w="125" w:type="dxa"/>
              <w:left w:w="130" w:type="dxa"/>
              <w:bottom w:w="130" w:type="dxa"/>
              <w:right w:w="130" w:type="dxa"/>
            </w:tcMar>
            <w:vAlign w:val="center"/>
          </w:tcPr>
          <w:p w14:paraId="1C41AF91">
            <w:pPr>
              <w:pStyle w:val="20"/>
              <w:jc w:val="center"/>
              <w:rPr>
                <w:color w:val="000000"/>
                <w:lang w:val="en-US" w:eastAsia="zh-CN" w:bidi="ar-SA"/>
              </w:rPr>
            </w:pPr>
            <w:r>
              <w:rPr>
                <w:rFonts w:ascii="宋体" w:hAnsi="宋体" w:eastAsia="宋体" w:cs="宋体"/>
                <w:color w:val="000000"/>
              </w:rPr>
              <w:t>项目负责人</w:t>
            </w:r>
          </w:p>
        </w:tc>
        <w:tc>
          <w:tcPr>
            <w:tcW w:w="1831" w:type="dxa"/>
            <w:tcBorders>
              <w:bottom w:val="single" w:color="000000" w:sz="8" w:space="0"/>
              <w:right w:val="single" w:color="000000" w:sz="8" w:space="0"/>
            </w:tcBorders>
            <w:shd w:val="clear" w:color="auto" w:fill="auto"/>
            <w:tcMar>
              <w:top w:w="125" w:type="dxa"/>
              <w:left w:w="245" w:type="dxa"/>
              <w:bottom w:w="130" w:type="dxa"/>
              <w:right w:w="130" w:type="dxa"/>
            </w:tcMar>
            <w:vAlign w:val="center"/>
          </w:tcPr>
          <w:p w14:paraId="1EF90892">
            <w:pPr>
              <w:pStyle w:val="20"/>
              <w:rPr>
                <w:color w:val="000000"/>
                <w:lang w:val="en-US" w:eastAsia="zh-CN" w:bidi="ar-SA"/>
              </w:rPr>
            </w:pPr>
            <w:r>
              <w:rPr>
                <w:rFonts w:ascii="宋体" w:hAnsi="宋体" w:eastAsia="宋体" w:cs="宋体"/>
                <w:color w:val="000000"/>
              </w:rPr>
              <w:t>田锦城</w:t>
            </w:r>
          </w:p>
        </w:tc>
        <w:tc>
          <w:tcPr>
            <w:tcW w:w="1483" w:type="dxa"/>
            <w:tcBorders>
              <w:top w:val="single" w:color="000000" w:sz="8" w:space="0"/>
              <w:bottom w:val="single" w:color="000000" w:sz="8" w:space="0"/>
              <w:right w:val="single" w:color="000000" w:sz="8" w:space="0"/>
            </w:tcBorders>
            <w:shd w:val="clear" w:color="auto" w:fill="auto"/>
            <w:tcMar>
              <w:top w:w="130" w:type="dxa"/>
              <w:left w:w="125" w:type="dxa"/>
              <w:bottom w:w="130" w:type="dxa"/>
              <w:right w:w="130" w:type="dxa"/>
            </w:tcMar>
            <w:vAlign w:val="center"/>
          </w:tcPr>
          <w:p w14:paraId="52CA9A09">
            <w:pPr>
              <w:pStyle w:val="20"/>
              <w:jc w:val="center"/>
              <w:rPr>
                <w:color w:val="000000"/>
                <w:lang w:val="en-US" w:eastAsia="zh-CN" w:bidi="ar-SA"/>
              </w:rPr>
            </w:pPr>
            <w:r>
              <w:rPr>
                <w:rFonts w:ascii="宋体" w:hAnsi="宋体" w:eastAsia="宋体" w:cs="宋体"/>
                <w:color w:val="000000"/>
              </w:rPr>
              <w:t>所在院系</w:t>
            </w:r>
          </w:p>
        </w:tc>
        <w:tc>
          <w:tcPr>
            <w:tcW w:w="4180" w:type="dxa"/>
            <w:tcBorders>
              <w:top w:val="single" w:color="000000" w:sz="8" w:space="0"/>
              <w:bottom w:val="single" w:color="000000" w:sz="8" w:space="0"/>
              <w:right w:val="single" w:color="000000" w:sz="8" w:space="0"/>
            </w:tcBorders>
            <w:shd w:val="clear" w:color="auto" w:fill="auto"/>
            <w:tcMar>
              <w:top w:w="130" w:type="dxa"/>
              <w:left w:w="245" w:type="dxa"/>
              <w:bottom w:w="130" w:type="dxa"/>
              <w:right w:w="130" w:type="dxa"/>
            </w:tcMar>
            <w:vAlign w:val="center"/>
          </w:tcPr>
          <w:p w14:paraId="418432AC">
            <w:pPr>
              <w:pStyle w:val="20"/>
              <w:rPr>
                <w:color w:val="000000"/>
                <w:lang w:val="en-US" w:eastAsia="zh-CN" w:bidi="ar-SA"/>
              </w:rPr>
            </w:pPr>
            <w:r>
              <w:rPr>
                <w:rFonts w:ascii="宋体" w:hAnsi="宋体" w:eastAsia="宋体" w:cs="宋体"/>
                <w:color w:val="000000"/>
              </w:rPr>
              <w:t>计算机学院</w:t>
            </w:r>
          </w:p>
        </w:tc>
      </w:tr>
      <w:tr w14:paraId="0D1943F1">
        <w:tblPrEx>
          <w:tblCellMar>
            <w:top w:w="15" w:type="dxa"/>
            <w:left w:w="15" w:type="dxa"/>
            <w:bottom w:w="15" w:type="dxa"/>
            <w:right w:w="15" w:type="dxa"/>
          </w:tblCellMar>
        </w:tblPrEx>
        <w:tc>
          <w:tcPr>
            <w:tcW w:w="1406" w:type="dxa"/>
            <w:tcBorders>
              <w:left w:val="single" w:color="000000" w:sz="8" w:space="0"/>
              <w:bottom w:val="single" w:color="000000" w:sz="8" w:space="0"/>
              <w:right w:val="single" w:color="000000" w:sz="8" w:space="0"/>
            </w:tcBorders>
            <w:shd w:val="clear" w:color="auto" w:fill="auto"/>
            <w:tcMar>
              <w:top w:w="125" w:type="dxa"/>
              <w:left w:w="130" w:type="dxa"/>
              <w:bottom w:w="130" w:type="dxa"/>
              <w:right w:w="130" w:type="dxa"/>
            </w:tcMar>
            <w:vAlign w:val="center"/>
          </w:tcPr>
          <w:p w14:paraId="09A83A12">
            <w:pPr>
              <w:pStyle w:val="20"/>
              <w:jc w:val="center"/>
              <w:rPr>
                <w:color w:val="000000"/>
                <w:lang w:val="en-US" w:eastAsia="zh-CN" w:bidi="ar-SA"/>
              </w:rPr>
            </w:pPr>
            <w:r>
              <w:rPr>
                <w:rFonts w:ascii="宋体" w:hAnsi="宋体" w:eastAsia="宋体" w:cs="宋体"/>
                <w:color w:val="000000"/>
              </w:rPr>
              <w:t>学号</w:t>
            </w:r>
          </w:p>
        </w:tc>
        <w:tc>
          <w:tcPr>
            <w:tcW w:w="1831" w:type="dxa"/>
            <w:tcBorders>
              <w:bottom w:val="single" w:color="000000" w:sz="8" w:space="0"/>
              <w:right w:val="single" w:color="000000" w:sz="8" w:space="0"/>
            </w:tcBorders>
            <w:shd w:val="clear" w:color="auto" w:fill="auto"/>
            <w:tcMar>
              <w:top w:w="125" w:type="dxa"/>
              <w:left w:w="245" w:type="dxa"/>
              <w:bottom w:w="130" w:type="dxa"/>
              <w:right w:w="130" w:type="dxa"/>
            </w:tcMar>
            <w:vAlign w:val="center"/>
          </w:tcPr>
          <w:p w14:paraId="15C889DA">
            <w:pPr>
              <w:pStyle w:val="20"/>
              <w:rPr>
                <w:color w:val="000000"/>
                <w:lang w:val="en-US" w:eastAsia="zh-CN" w:bidi="ar-SA"/>
              </w:rPr>
            </w:pPr>
            <w:r>
              <w:rPr>
                <w:rFonts w:ascii="宋体" w:hAnsi="宋体" w:eastAsia="宋体" w:cs="宋体"/>
                <w:color w:val="000000"/>
              </w:rPr>
              <w:t>23322059</w:t>
            </w:r>
          </w:p>
        </w:tc>
        <w:tc>
          <w:tcPr>
            <w:tcW w:w="1483" w:type="dxa"/>
            <w:tcBorders>
              <w:bottom w:val="single" w:color="000000" w:sz="8" w:space="0"/>
              <w:right w:val="single" w:color="000000" w:sz="8" w:space="0"/>
            </w:tcBorders>
            <w:shd w:val="clear" w:color="auto" w:fill="auto"/>
            <w:tcMar>
              <w:top w:w="125" w:type="dxa"/>
              <w:left w:w="125" w:type="dxa"/>
              <w:bottom w:w="130" w:type="dxa"/>
              <w:right w:w="130" w:type="dxa"/>
            </w:tcMar>
            <w:vAlign w:val="center"/>
          </w:tcPr>
          <w:p w14:paraId="495D2458">
            <w:pPr>
              <w:pStyle w:val="20"/>
              <w:rPr>
                <w:color w:val="000000"/>
                <w:lang w:val="en-US" w:eastAsia="zh-CN" w:bidi="ar-SA"/>
              </w:rPr>
            </w:pPr>
            <w:r>
              <w:rPr>
                <w:rFonts w:ascii="宋体" w:hAnsi="宋体" w:eastAsia="宋体" w:cs="宋体"/>
                <w:color w:val="000000"/>
              </w:rPr>
              <w:t>专业</w:t>
            </w:r>
          </w:p>
        </w:tc>
        <w:tc>
          <w:tcPr>
            <w:tcW w:w="4180" w:type="dxa"/>
            <w:tcBorders>
              <w:bottom w:val="single" w:color="000000" w:sz="8" w:space="0"/>
              <w:right w:val="single" w:color="000000" w:sz="8" w:space="0"/>
            </w:tcBorders>
            <w:shd w:val="clear" w:color="auto" w:fill="auto"/>
            <w:tcMar>
              <w:top w:w="125" w:type="dxa"/>
              <w:left w:w="245" w:type="dxa"/>
              <w:bottom w:w="130" w:type="dxa"/>
              <w:right w:w="130" w:type="dxa"/>
            </w:tcMar>
            <w:vAlign w:val="center"/>
          </w:tcPr>
          <w:p w14:paraId="15482DFF">
            <w:pPr>
              <w:pStyle w:val="20"/>
              <w:rPr>
                <w:color w:val="000000"/>
                <w:lang w:val="en-US" w:eastAsia="zh-CN" w:bidi="ar-SA"/>
              </w:rPr>
            </w:pPr>
            <w:r>
              <w:rPr>
                <w:rFonts w:ascii="宋体" w:hAnsi="宋体" w:eastAsia="宋体" w:cs="宋体"/>
                <w:color w:val="000000"/>
              </w:rPr>
              <w:t>计算机科学与技术</w:t>
            </w:r>
          </w:p>
        </w:tc>
      </w:tr>
      <w:tr w14:paraId="222342D3">
        <w:tblPrEx>
          <w:tblCellMar>
            <w:top w:w="15" w:type="dxa"/>
            <w:left w:w="15" w:type="dxa"/>
            <w:bottom w:w="15" w:type="dxa"/>
            <w:right w:w="15" w:type="dxa"/>
          </w:tblCellMar>
        </w:tblPrEx>
        <w:tc>
          <w:tcPr>
            <w:tcW w:w="1406" w:type="dxa"/>
            <w:tcBorders>
              <w:left w:val="single" w:color="000000" w:sz="8" w:space="0"/>
              <w:bottom w:val="single" w:color="000000" w:sz="8" w:space="0"/>
              <w:right w:val="single" w:color="000000" w:sz="8" w:space="0"/>
            </w:tcBorders>
            <w:shd w:val="clear" w:color="auto" w:fill="auto"/>
            <w:tcMar>
              <w:top w:w="125" w:type="dxa"/>
              <w:left w:w="130" w:type="dxa"/>
              <w:bottom w:w="130" w:type="dxa"/>
              <w:right w:w="130" w:type="dxa"/>
            </w:tcMar>
            <w:vAlign w:val="center"/>
          </w:tcPr>
          <w:p w14:paraId="1D501FC9">
            <w:pPr>
              <w:pStyle w:val="20"/>
              <w:jc w:val="center"/>
              <w:rPr>
                <w:color w:val="000000"/>
                <w:lang w:val="en-US" w:eastAsia="zh-CN" w:bidi="ar-SA"/>
              </w:rPr>
            </w:pPr>
            <w:r>
              <w:rPr>
                <w:rFonts w:ascii="宋体" w:hAnsi="宋体" w:eastAsia="宋体" w:cs="宋体"/>
                <w:color w:val="000000"/>
              </w:rPr>
              <w:t>手机号</w:t>
            </w:r>
          </w:p>
        </w:tc>
        <w:tc>
          <w:tcPr>
            <w:tcW w:w="1831" w:type="dxa"/>
            <w:tcBorders>
              <w:bottom w:val="single" w:color="000000" w:sz="8" w:space="0"/>
              <w:right w:val="single" w:color="000000" w:sz="8" w:space="0"/>
            </w:tcBorders>
            <w:shd w:val="clear" w:color="auto" w:fill="auto"/>
            <w:tcMar>
              <w:top w:w="125" w:type="dxa"/>
              <w:left w:w="245" w:type="dxa"/>
              <w:bottom w:w="130" w:type="dxa"/>
              <w:right w:w="130" w:type="dxa"/>
            </w:tcMar>
            <w:vAlign w:val="center"/>
          </w:tcPr>
          <w:p w14:paraId="25E03471">
            <w:pPr>
              <w:pStyle w:val="20"/>
              <w:rPr>
                <w:color w:val="000000"/>
                <w:lang w:val="en-US" w:eastAsia="zh-CN" w:bidi="ar-SA"/>
              </w:rPr>
            </w:pPr>
            <w:r>
              <w:rPr>
                <w:rFonts w:ascii="宋体" w:hAnsi="宋体" w:eastAsia="宋体" w:cs="宋体"/>
                <w:color w:val="000000"/>
              </w:rPr>
              <w:t>19925957273</w:t>
            </w:r>
          </w:p>
        </w:tc>
        <w:tc>
          <w:tcPr>
            <w:tcW w:w="1483" w:type="dxa"/>
            <w:tcBorders>
              <w:bottom w:val="single" w:color="000000" w:sz="8" w:space="0"/>
              <w:right w:val="single" w:color="000000" w:sz="8" w:space="0"/>
            </w:tcBorders>
            <w:shd w:val="clear" w:color="auto" w:fill="auto"/>
            <w:tcMar>
              <w:top w:w="125" w:type="dxa"/>
              <w:left w:w="125" w:type="dxa"/>
              <w:bottom w:w="130" w:type="dxa"/>
              <w:right w:w="130" w:type="dxa"/>
            </w:tcMar>
            <w:vAlign w:val="center"/>
          </w:tcPr>
          <w:p w14:paraId="2548A566">
            <w:pPr>
              <w:pStyle w:val="20"/>
              <w:rPr>
                <w:color w:val="000000"/>
                <w:lang w:val="en-US" w:eastAsia="zh-CN" w:bidi="ar-SA"/>
              </w:rPr>
            </w:pPr>
            <w:r>
              <w:rPr>
                <w:rFonts w:ascii="宋体" w:hAnsi="宋体" w:eastAsia="宋体" w:cs="宋体"/>
                <w:color w:val="000000"/>
              </w:rPr>
              <w:t>邮箱</w:t>
            </w:r>
          </w:p>
        </w:tc>
        <w:tc>
          <w:tcPr>
            <w:tcW w:w="4180" w:type="dxa"/>
            <w:tcBorders>
              <w:bottom w:val="single" w:color="000000" w:sz="8" w:space="0"/>
              <w:right w:val="single" w:color="000000" w:sz="8" w:space="0"/>
            </w:tcBorders>
            <w:shd w:val="clear" w:color="auto" w:fill="auto"/>
            <w:tcMar>
              <w:top w:w="125" w:type="dxa"/>
              <w:left w:w="245" w:type="dxa"/>
              <w:bottom w:w="130" w:type="dxa"/>
              <w:right w:w="130" w:type="dxa"/>
            </w:tcMar>
            <w:vAlign w:val="center"/>
          </w:tcPr>
          <w:p w14:paraId="6EFE056E">
            <w:pPr>
              <w:pStyle w:val="20"/>
              <w:rPr>
                <w:color w:val="000000"/>
                <w:lang w:val="en-US" w:eastAsia="zh-CN" w:bidi="ar-SA"/>
              </w:rPr>
            </w:pPr>
            <w:r>
              <w:rPr>
                <w:rFonts w:ascii="宋体" w:hAnsi="宋体" w:eastAsia="宋体" w:cs="宋体"/>
                <w:color w:val="000000"/>
              </w:rPr>
              <w:t>tianjch3@mail2.sysu.edu.cn</w:t>
            </w:r>
          </w:p>
        </w:tc>
      </w:tr>
      <w:tr w14:paraId="00C2032C">
        <w:tblPrEx>
          <w:tblCellMar>
            <w:top w:w="15" w:type="dxa"/>
            <w:left w:w="15" w:type="dxa"/>
            <w:bottom w:w="15" w:type="dxa"/>
            <w:right w:w="15" w:type="dxa"/>
          </w:tblCellMar>
        </w:tblPrEx>
        <w:tc>
          <w:tcPr>
            <w:tcW w:w="1406" w:type="dxa"/>
            <w:tcBorders>
              <w:left w:val="single" w:color="000000" w:sz="8" w:space="0"/>
              <w:bottom w:val="single" w:color="000000" w:sz="8" w:space="0"/>
              <w:right w:val="single" w:color="000000" w:sz="8" w:space="0"/>
            </w:tcBorders>
            <w:shd w:val="clear" w:color="auto" w:fill="auto"/>
            <w:tcMar>
              <w:top w:w="125" w:type="dxa"/>
              <w:left w:w="130" w:type="dxa"/>
              <w:bottom w:w="130" w:type="dxa"/>
              <w:right w:w="130" w:type="dxa"/>
            </w:tcMar>
            <w:vAlign w:val="center"/>
          </w:tcPr>
          <w:p w14:paraId="3DC767DA">
            <w:pPr>
              <w:pStyle w:val="20"/>
              <w:jc w:val="center"/>
              <w:rPr>
                <w:color w:val="000000"/>
                <w:lang w:val="en-US" w:eastAsia="zh-CN" w:bidi="ar-SA"/>
              </w:rPr>
            </w:pPr>
            <w:r>
              <w:rPr>
                <w:rFonts w:ascii="宋体" w:hAnsi="宋体" w:eastAsia="宋体" w:cs="宋体"/>
                <w:color w:val="000000"/>
              </w:rPr>
              <w:t>指导老师</w:t>
            </w:r>
          </w:p>
        </w:tc>
        <w:tc>
          <w:tcPr>
            <w:tcW w:w="1831" w:type="dxa"/>
            <w:tcBorders>
              <w:bottom w:val="single" w:color="000000" w:sz="8" w:space="0"/>
              <w:right w:val="single" w:color="000000" w:sz="8" w:space="0"/>
            </w:tcBorders>
            <w:shd w:val="clear" w:color="auto" w:fill="auto"/>
            <w:tcMar>
              <w:top w:w="125" w:type="dxa"/>
              <w:left w:w="245" w:type="dxa"/>
              <w:bottom w:w="130" w:type="dxa"/>
              <w:right w:w="130" w:type="dxa"/>
            </w:tcMar>
            <w:vAlign w:val="center"/>
          </w:tcPr>
          <w:p w14:paraId="25E7EFD0">
            <w:pPr>
              <w:pStyle w:val="20"/>
              <w:rPr>
                <w:color w:val="000000"/>
                <w:lang w:val="en-US" w:eastAsia="zh-CN" w:bidi="ar-SA"/>
              </w:rPr>
            </w:pPr>
            <w:r>
              <w:rPr>
                <w:rFonts w:ascii="宋体" w:hAnsi="宋体" w:eastAsia="宋体" w:cs="宋体"/>
                <w:color w:val="000000"/>
              </w:rPr>
              <w:t>杨静   </w:t>
            </w:r>
          </w:p>
        </w:tc>
        <w:tc>
          <w:tcPr>
            <w:tcW w:w="1483" w:type="dxa"/>
            <w:tcBorders>
              <w:bottom w:val="single" w:color="000000" w:sz="8" w:space="0"/>
              <w:right w:val="single" w:color="000000" w:sz="8" w:space="0"/>
            </w:tcBorders>
            <w:shd w:val="clear" w:color="auto" w:fill="auto"/>
            <w:tcMar>
              <w:top w:w="125" w:type="dxa"/>
              <w:left w:w="125" w:type="dxa"/>
              <w:bottom w:w="130" w:type="dxa"/>
              <w:right w:w="130" w:type="dxa"/>
            </w:tcMar>
            <w:vAlign w:val="center"/>
          </w:tcPr>
          <w:p w14:paraId="4DE7BB54">
            <w:pPr>
              <w:pStyle w:val="20"/>
              <w:rPr>
                <w:color w:val="000000"/>
                <w:lang w:val="en-US" w:eastAsia="zh-CN" w:bidi="ar-SA"/>
              </w:rPr>
            </w:pPr>
            <w:r>
              <w:rPr>
                <w:rFonts w:ascii="宋体" w:hAnsi="宋体" w:eastAsia="宋体" w:cs="宋体"/>
                <w:color w:val="000000"/>
              </w:rPr>
              <w:t>所在院系</w:t>
            </w:r>
          </w:p>
        </w:tc>
        <w:tc>
          <w:tcPr>
            <w:tcW w:w="4180" w:type="dxa"/>
            <w:tcBorders>
              <w:bottom w:val="single" w:color="000000" w:sz="8" w:space="0"/>
              <w:right w:val="single" w:color="000000" w:sz="8" w:space="0"/>
            </w:tcBorders>
            <w:shd w:val="clear" w:color="auto" w:fill="auto"/>
            <w:tcMar>
              <w:top w:w="125" w:type="dxa"/>
              <w:left w:w="245" w:type="dxa"/>
              <w:bottom w:w="130" w:type="dxa"/>
              <w:right w:w="130" w:type="dxa"/>
            </w:tcMar>
            <w:vAlign w:val="center"/>
          </w:tcPr>
          <w:p w14:paraId="4E0A6B45">
            <w:pPr>
              <w:pStyle w:val="20"/>
              <w:rPr>
                <w:color w:val="000000"/>
                <w:lang w:val="en-US" w:eastAsia="zh-CN" w:bidi="ar-SA"/>
              </w:rPr>
            </w:pPr>
            <w:r>
              <w:rPr>
                <w:rFonts w:ascii="宋体" w:hAnsi="宋体" w:eastAsia="宋体" w:cs="宋体"/>
                <w:color w:val="000000"/>
              </w:rPr>
              <w:t>化学工程与技术学院</w:t>
            </w:r>
          </w:p>
        </w:tc>
      </w:tr>
    </w:tbl>
    <w:p w14:paraId="2E005EF1">
      <w:pPr>
        <w:pStyle w:val="5"/>
        <w:spacing w:before="100" w:after="100" w:line="600" w:lineRule="atLeast"/>
        <w:rPr>
          <w:rFonts w:ascii="黑体" w:hAnsi="黑体" w:eastAsia="黑体" w:cs="黑体"/>
          <w:sz w:val="28"/>
          <w:szCs w:val="28"/>
          <w:lang w:val="en-US" w:eastAsia="zh-CN" w:bidi="ar-SA"/>
        </w:rPr>
      </w:pPr>
    </w:p>
    <w:p w14:paraId="5F47009E">
      <w:pPr>
        <w:pStyle w:val="5"/>
        <w:spacing w:before="100" w:after="100" w:line="600" w:lineRule="atLeast"/>
        <w:rPr>
          <w:rFonts w:ascii="黑体" w:hAnsi="黑体" w:eastAsia="黑体" w:cs="黑体"/>
          <w:sz w:val="28"/>
          <w:szCs w:val="28"/>
          <w:lang w:val="en-US" w:eastAsia="zh-CN" w:bidi="ar-SA"/>
        </w:rPr>
      </w:pPr>
    </w:p>
    <w:p w14:paraId="41EF942A">
      <w:pPr>
        <w:pStyle w:val="5"/>
        <w:spacing w:before="100" w:after="100" w:line="600" w:lineRule="atLeast"/>
        <w:rPr>
          <w:lang w:val="en-US" w:eastAsia="zh-CN" w:bidi="ar-SA"/>
        </w:rPr>
      </w:pPr>
      <w:r>
        <w:rPr>
          <w:rFonts w:ascii="黑体" w:hAnsi="黑体" w:eastAsia="黑体" w:cs="黑体"/>
          <w:sz w:val="28"/>
          <w:szCs w:val="28"/>
          <w:lang w:val="en-US" w:eastAsia="zh-CN" w:bidi="ar-SA"/>
        </w:rPr>
        <w:t xml:space="preserve">二、 结题报告内容 </w:t>
      </w:r>
    </w:p>
    <w:tbl>
      <w:tblPr>
        <w:tblStyle w:val="12"/>
        <w:tblW w:w="8856" w:type="dxa"/>
        <w:tblInd w:w="92" w:type="dxa"/>
        <w:tblLayout w:type="autofit"/>
        <w:tblCellMar>
          <w:top w:w="15" w:type="dxa"/>
          <w:left w:w="15" w:type="dxa"/>
          <w:bottom w:w="15" w:type="dxa"/>
          <w:right w:w="15" w:type="dxa"/>
        </w:tblCellMar>
      </w:tblPr>
      <w:tblGrid>
        <w:gridCol w:w="8856"/>
      </w:tblGrid>
      <w:tr w14:paraId="10A76715">
        <w:tblPrEx>
          <w:tblCellMar>
            <w:top w:w="15" w:type="dxa"/>
            <w:left w:w="15" w:type="dxa"/>
            <w:bottom w:w="15" w:type="dxa"/>
            <w:right w:w="15" w:type="dxa"/>
          </w:tblCellMar>
        </w:tblPrEx>
        <w:tc>
          <w:tcPr>
            <w:tcW w:w="8856" w:type="dxa"/>
            <w:tcBorders>
              <w:top w:val="single" w:color="000000" w:sz="8" w:space="0"/>
              <w:left w:val="single" w:color="000000" w:sz="8" w:space="0"/>
              <w:bottom w:val="single" w:color="000000" w:sz="8" w:space="0"/>
              <w:right w:val="single" w:color="000000" w:sz="8" w:space="0"/>
            </w:tcBorders>
            <w:shd w:val="clear" w:color="auto" w:fill="auto"/>
            <w:tcMar>
              <w:top w:w="130" w:type="dxa"/>
              <w:left w:w="130" w:type="dxa"/>
              <w:bottom w:w="130" w:type="dxa"/>
              <w:right w:w="130" w:type="dxa"/>
            </w:tcMar>
            <w:vAlign w:val="center"/>
          </w:tcPr>
          <w:p w14:paraId="1F13DA7D">
            <w:pPr>
              <w:pStyle w:val="22"/>
              <w:snapToGrid w:val="0"/>
              <w:spacing w:before="120" w:after="120" w:line="400" w:lineRule="atLeast"/>
              <w:ind w:firstLine="480"/>
              <w:rPr>
                <w:rFonts w:hint="eastAsia" w:ascii="宋体" w:hAnsi="宋体" w:eastAsia="宋体" w:cs="宋体"/>
                <w:color w:val="000000"/>
                <w:sz w:val="20"/>
                <w:szCs w:val="20"/>
                <w:lang w:val="en-US" w:eastAsia="zh-CN" w:bidi="ar-SA"/>
              </w:rPr>
            </w:pPr>
            <w:r>
              <w:rPr>
                <w:rFonts w:hint="eastAsia" w:ascii="宋体" w:hAnsi="宋体" w:eastAsia="宋体" w:cs="宋体"/>
                <w:b/>
                <w:bCs/>
                <w:color w:val="000000"/>
                <w:spacing w:val="11"/>
                <w:lang w:val="en-US" w:eastAsia="zh-CN" w:bidi="ar-SA"/>
              </w:rPr>
              <w:t xml:space="preserve">1）项目成员基本情况（人数、院系、专业、年级）； 指导教师基本情况（职称、专业领域） </w:t>
            </w:r>
          </w:p>
          <w:p w14:paraId="57B1AEF9">
            <w:pPr>
              <w:pStyle w:val="22"/>
              <w:snapToGrid w:val="0"/>
              <w:spacing w:line="540" w:lineRule="atLeast"/>
              <w:ind w:left="80" w:right="80" w:firstLine="480"/>
              <w:rPr>
                <w:rFonts w:hint="eastAsia" w:ascii="宋体" w:hAnsi="宋体" w:eastAsia="宋体" w:cs="宋体"/>
                <w:color w:val="000000"/>
                <w:sz w:val="20"/>
                <w:szCs w:val="20"/>
                <w:lang w:val="en-US" w:eastAsia="zh-CN" w:bidi="ar-SA"/>
              </w:rPr>
            </w:pPr>
            <w:r>
              <w:rPr>
                <w:rFonts w:hint="eastAsia" w:ascii="宋体" w:hAnsi="宋体" w:eastAsia="宋体" w:cs="宋体"/>
                <w:b/>
                <w:bCs/>
                <w:color w:val="000000"/>
                <w:spacing w:val="11"/>
                <w:lang w:val="en-US" w:eastAsia="zh-CN" w:bidi="ar-SA"/>
              </w:rPr>
              <w:t xml:space="preserve">项目成员基本情况： </w:t>
            </w:r>
          </w:p>
          <w:p w14:paraId="56925DD3">
            <w:pPr>
              <w:pStyle w:val="20"/>
              <w:snapToGrid w:val="0"/>
              <w:spacing w:line="540" w:lineRule="atLeast"/>
              <w:ind w:left="1280" w:right="562" w:hanging="360"/>
              <w:rPr>
                <w:rFonts w:hint="eastAsia" w:ascii="宋体" w:hAnsi="宋体" w:eastAsia="宋体" w:cs="宋体"/>
                <w:color w:val="000000"/>
              </w:rPr>
            </w:pPr>
            <w:r>
              <w:rPr>
                <w:rFonts w:hint="eastAsia" w:ascii="宋体" w:hAnsi="宋体" w:eastAsia="宋体" w:cs="宋体"/>
                <w:color w:val="000000"/>
                <w:sz w:val="20"/>
                <w:szCs w:val="20"/>
              </w:rPr>
              <w:t>· </w:t>
            </w:r>
            <w:r>
              <w:rPr>
                <w:rFonts w:hint="eastAsia" w:ascii="宋体" w:hAnsi="宋体" w:eastAsia="宋体" w:cs="宋体"/>
                <w:color w:val="000000"/>
              </w:rPr>
              <w:t>田锦城/计算机学院/计算机科学与技术/</w:t>
            </w:r>
            <w:r>
              <w:rPr>
                <w:rFonts w:hint="eastAsia" w:ascii="宋体" w:hAnsi="宋体" w:eastAsia="宋体" w:cs="宋体"/>
                <w:color w:val="000000"/>
              </w:rPr>
              <w:t>2024</w:t>
            </w:r>
          </w:p>
          <w:p w14:paraId="4826398C">
            <w:pPr>
              <w:pStyle w:val="20"/>
              <w:snapToGrid w:val="0"/>
              <w:spacing w:line="540" w:lineRule="atLeast"/>
              <w:ind w:left="1280" w:right="562" w:hanging="360"/>
              <w:rPr>
                <w:rFonts w:hint="eastAsia" w:ascii="宋体" w:hAnsi="宋体" w:eastAsia="宋体" w:cs="宋体"/>
                <w:color w:val="000000"/>
              </w:rPr>
            </w:pPr>
            <w:r>
              <w:rPr>
                <w:rFonts w:hint="eastAsia" w:ascii="宋体" w:hAnsi="宋体" w:eastAsia="宋体" w:cs="宋体"/>
                <w:color w:val="000000"/>
                <w:sz w:val="20"/>
                <w:szCs w:val="20"/>
              </w:rPr>
              <w:t>· </w:t>
            </w:r>
            <w:r>
              <w:rPr>
                <w:rFonts w:hint="eastAsia" w:ascii="宋体" w:hAnsi="宋体" w:eastAsia="宋体" w:cs="宋体"/>
                <w:color w:val="000000"/>
              </w:rPr>
              <w:t>杨锋/化学工程与技术学院/化学工程与工艺/2023</w:t>
            </w:r>
          </w:p>
          <w:p w14:paraId="7D7A9E27">
            <w:pPr>
              <w:pStyle w:val="20"/>
              <w:snapToGrid w:val="0"/>
              <w:spacing w:line="540" w:lineRule="atLeast"/>
              <w:ind w:left="1280" w:right="562" w:hanging="360"/>
              <w:rPr>
                <w:rFonts w:hint="eastAsia" w:ascii="宋体" w:hAnsi="宋体" w:eastAsia="宋体" w:cs="宋体"/>
                <w:color w:val="000000"/>
              </w:rPr>
            </w:pPr>
            <w:r>
              <w:rPr>
                <w:rFonts w:hint="eastAsia" w:ascii="宋体" w:hAnsi="宋体" w:eastAsia="宋体" w:cs="宋体"/>
                <w:color w:val="000000"/>
                <w:sz w:val="20"/>
                <w:szCs w:val="20"/>
              </w:rPr>
              <w:t>· </w:t>
            </w:r>
            <w:r>
              <w:rPr>
                <w:rFonts w:hint="eastAsia" w:ascii="宋体" w:hAnsi="宋体" w:eastAsia="宋体" w:cs="宋体"/>
                <w:color w:val="000000"/>
              </w:rPr>
              <w:t>赵桓/化学工程与技术学院/化学工程与工艺/2023</w:t>
            </w:r>
          </w:p>
          <w:p w14:paraId="64122664">
            <w:pPr>
              <w:pStyle w:val="22"/>
              <w:snapToGrid w:val="0"/>
              <w:spacing w:line="540" w:lineRule="atLeast"/>
              <w:ind w:left="80" w:right="80" w:firstLine="480"/>
              <w:rPr>
                <w:rFonts w:hint="eastAsia" w:ascii="宋体" w:hAnsi="宋体" w:eastAsia="宋体" w:cs="宋体"/>
                <w:color w:val="000000"/>
                <w:sz w:val="20"/>
                <w:szCs w:val="20"/>
                <w:lang w:val="en-US" w:eastAsia="zh-CN" w:bidi="ar-SA"/>
              </w:rPr>
            </w:pPr>
            <w:r>
              <w:rPr>
                <w:rFonts w:hint="eastAsia" w:ascii="宋体" w:hAnsi="宋体" w:eastAsia="宋体" w:cs="宋体"/>
                <w:b/>
                <w:bCs/>
                <w:color w:val="000000"/>
                <w:spacing w:val="11"/>
                <w:lang w:val="en-US" w:eastAsia="zh-CN" w:bidi="ar-SA"/>
              </w:rPr>
              <w:t xml:space="preserve">指导教师基本情况： </w:t>
            </w:r>
          </w:p>
          <w:p w14:paraId="2757BDA5">
            <w:pPr>
              <w:snapToGrid w:val="0"/>
              <w:spacing w:before="302" w:after="542" w:line="480" w:lineRule="atLeast"/>
              <w:ind w:left="920"/>
              <w:rPr>
                <w:rFonts w:hint="eastAsia" w:ascii="宋体" w:hAnsi="宋体" w:eastAsia="宋体" w:cs="宋体"/>
                <w:b/>
                <w:bCs/>
                <w:color w:val="000000"/>
                <w:spacing w:val="11"/>
                <w:lang w:val="en-US" w:eastAsia="zh-CN" w:bidi="ar-SA"/>
              </w:rPr>
            </w:pPr>
            <w:r>
              <w:rPr>
                <w:rFonts w:hint="eastAsia" w:ascii="宋体" w:hAnsi="宋体" w:eastAsia="宋体" w:cs="宋体"/>
                <w:color w:val="000000"/>
                <w:sz w:val="20"/>
                <w:szCs w:val="20"/>
                <w:lang w:val="en-US" w:eastAsia="zh-CN" w:bidi="ar-SA"/>
              </w:rPr>
              <w:t>· </w:t>
            </w:r>
            <w:r>
              <w:rPr>
                <w:rFonts w:hint="eastAsia" w:ascii="宋体" w:hAnsi="宋体" w:eastAsia="宋体" w:cs="宋体"/>
              </w:rPr>
              <w:t xml:space="preserve">杨静/ </w:t>
            </w:r>
            <w:r>
              <w:rPr>
                <w:rFonts w:hint="eastAsia" w:ascii="宋体" w:hAnsi="宋体" w:eastAsia="宋体" w:cs="宋体"/>
                <w:color w:val="000000"/>
                <w:spacing w:val="11"/>
              </w:rPr>
              <w:t>化学工程与技术学院</w:t>
            </w:r>
          </w:p>
          <w:p w14:paraId="6C132B52">
            <w:pPr>
              <w:snapToGrid w:val="0"/>
              <w:spacing w:before="302" w:after="542" w:line="480" w:lineRule="atLeast"/>
              <w:ind w:left="920"/>
              <w:rPr>
                <w:rFonts w:hint="eastAsia" w:ascii="宋体" w:hAnsi="宋体" w:eastAsia="宋体" w:cs="宋体"/>
                <w:color w:val="000000"/>
                <w:sz w:val="20"/>
                <w:szCs w:val="20"/>
                <w:lang w:val="en-US" w:eastAsia="zh-CN" w:bidi="ar-SA"/>
              </w:rPr>
            </w:pPr>
            <w:r>
              <w:rPr>
                <w:rFonts w:hint="eastAsia" w:ascii="宋体" w:hAnsi="宋体" w:eastAsia="宋体" w:cs="宋体"/>
                <w:b/>
                <w:bCs/>
                <w:color w:val="000000"/>
                <w:spacing w:val="11"/>
                <w:lang w:val="en-US" w:eastAsia="zh-CN" w:bidi="ar-SA"/>
              </w:rPr>
              <w:t>2）项目执行情况 （必填）</w:t>
            </w:r>
          </w:p>
          <w:p w14:paraId="3671D476">
            <w:pPr>
              <w:pStyle w:val="22"/>
              <w:snapToGrid w:val="0"/>
              <w:spacing w:line="540" w:lineRule="atLeast"/>
              <w:ind w:left="80" w:right="80" w:firstLine="480"/>
              <w:rPr>
                <w:rFonts w:hint="eastAsia" w:ascii="宋体" w:hAnsi="宋体" w:eastAsia="宋体" w:cs="宋体"/>
                <w:b/>
                <w:bCs/>
                <w:color w:val="000000"/>
                <w:spacing w:val="11"/>
                <w:lang w:val="en-US" w:eastAsia="zh-CN" w:bidi="ar-SA"/>
              </w:rPr>
            </w:pPr>
            <w:r>
              <w:rPr>
                <w:rFonts w:hint="eastAsia" w:ascii="宋体" w:hAnsi="宋体" w:eastAsia="宋体" w:cs="宋体"/>
                <w:b/>
                <w:bCs/>
                <w:color w:val="000000"/>
                <w:spacing w:val="11"/>
                <w:lang w:val="en-US" w:eastAsia="zh-CN" w:bidi="ar-SA"/>
              </w:rPr>
              <w:t xml:space="preserve">本项目的选题背景、目的与意义： </w:t>
            </w:r>
          </w:p>
          <w:p w14:paraId="47F08D75">
            <w:pPr>
              <w:pStyle w:val="22"/>
              <w:snapToGrid w:val="0"/>
              <w:spacing w:line="540" w:lineRule="atLeast"/>
              <w:ind w:left="80" w:right="80" w:firstLine="480"/>
              <w:rPr>
                <w:rFonts w:hint="eastAsia" w:ascii="宋体" w:hAnsi="宋体" w:eastAsia="宋体" w:cs="宋体"/>
                <w:b/>
                <w:bCs/>
                <w:color w:val="000000"/>
                <w:spacing w:val="11"/>
                <w:lang w:val="en-US" w:eastAsia="zh-CN" w:bidi="ar-SA"/>
              </w:rPr>
            </w:pPr>
          </w:p>
          <w:p w14:paraId="726F8C21">
            <w:pPr>
              <w:tabs>
                <w:tab w:val="left" w:pos="4140"/>
              </w:tabs>
              <w:autoSpaceDE w:val="0"/>
              <w:autoSpaceDN w:val="0"/>
              <w:adjustRightInd w:val="0"/>
              <w:snapToGrid w:val="0"/>
              <w:spacing w:after="120" w:afterLines="50" w:line="360" w:lineRule="auto"/>
              <w:rPr>
                <w:rFonts w:hint="eastAsia" w:ascii="宋体" w:hAnsi="宋体" w:eastAsia="宋体" w:cs="宋体"/>
                <w:b/>
                <w:bCs/>
                <w:color w:val="000000"/>
                <w:spacing w:val="11"/>
              </w:rPr>
            </w:pPr>
            <w:r>
              <w:rPr>
                <w:rFonts w:hint="eastAsia" w:ascii="宋体" w:hAnsi="宋体" w:eastAsia="宋体" w:cs="宋体"/>
                <w:b/>
                <w:bCs/>
                <w:color w:val="000000"/>
                <w:spacing w:val="11"/>
              </w:rPr>
              <w:t>1.1.1 选题背景</w:t>
            </w:r>
          </w:p>
          <w:p w14:paraId="3C5FCAE5">
            <w:pPr>
              <w:pStyle w:val="20"/>
              <w:snapToGrid w:val="0"/>
              <w:ind w:right="79" w:firstLine="524"/>
              <w:jc w:val="both"/>
              <w:rPr>
                <w:rFonts w:hint="eastAsia" w:ascii="宋体" w:hAnsi="宋体" w:eastAsia="宋体" w:cs="宋体"/>
                <w:color w:val="000000"/>
              </w:rPr>
            </w:pPr>
            <w:commentRangeStart w:id="0"/>
            <w:r>
              <w:rPr>
                <w:rFonts w:hint="eastAsia" w:ascii="宋体" w:hAnsi="宋体" w:eastAsia="宋体" w:cs="宋体"/>
                <w:color w:val="000000"/>
              </w:rPr>
              <w:t>电池技术</w:t>
            </w:r>
            <w:r>
              <w:rPr>
                <w:rFonts w:hint="eastAsia" w:ascii="宋体" w:hAnsi="宋体" w:eastAsia="宋体" w:cs="宋体"/>
                <w:color w:val="000000"/>
                <w:vertAlign w:val="superscript"/>
              </w:rPr>
              <w:t>[1]</w:t>
            </w:r>
            <w:r>
              <w:rPr>
                <w:rFonts w:hint="eastAsia" w:ascii="宋体" w:hAnsi="宋体" w:eastAsia="宋体" w:cs="宋体"/>
                <w:color w:val="000000"/>
              </w:rPr>
              <w:t>是新能源发展、转向绿色能源的一个关键点。全球范围内，许多国家都在积极推动智能电网和电动汽车行业</w:t>
            </w:r>
            <w:r>
              <w:rPr>
                <w:rFonts w:hint="eastAsia" w:ascii="宋体" w:hAnsi="宋体" w:eastAsia="宋体" w:cs="宋体"/>
                <w:color w:val="000000"/>
                <w:vertAlign w:val="superscript"/>
              </w:rPr>
              <w:t>[2]</w:t>
            </w:r>
            <w:r>
              <w:rPr>
                <w:rFonts w:hint="eastAsia" w:ascii="宋体" w:hAnsi="宋体" w:eastAsia="宋体" w:cs="宋体"/>
                <w:color w:val="000000"/>
              </w:rPr>
              <w:t>的发展，并在这些领域投入了大量的支持和资源。这些努力旨在通过创新先进的电池技术，提高能源效率，减少环境污染，同时推动能源转型和可持续发展。电</w:t>
            </w:r>
            <w:commentRangeEnd w:id="0"/>
            <w:r>
              <w:rPr>
                <w:rFonts w:hint="eastAsia" w:ascii="宋体" w:hAnsi="宋体" w:eastAsia="宋体" w:cs="宋体"/>
                <w:color w:val="000000"/>
              </w:rPr>
              <w:commentReference w:id="0"/>
            </w:r>
            <w:r>
              <w:rPr>
                <w:rFonts w:hint="eastAsia" w:ascii="宋体" w:hAnsi="宋体" w:eastAsia="宋体" w:cs="宋体"/>
                <w:color w:val="000000"/>
              </w:rPr>
              <w:t>池技术的进步对于构建更加智能和环保</w:t>
            </w:r>
            <w:r>
              <w:rPr>
                <w:rFonts w:hint="eastAsia" w:ascii="宋体" w:hAnsi="宋体" w:eastAsia="宋体" w:cs="宋体"/>
                <w:color w:val="000000"/>
                <w:vertAlign w:val="superscript"/>
              </w:rPr>
              <w:t>[3]</w:t>
            </w:r>
            <w:r>
              <w:rPr>
                <w:rFonts w:hint="eastAsia" w:ascii="宋体" w:hAnsi="宋体" w:eastAsia="宋体" w:cs="宋体"/>
                <w:color w:val="000000"/>
              </w:rPr>
              <w:t>的能源系统至关重要。</w:t>
            </w:r>
          </w:p>
          <w:p w14:paraId="41F7853D">
            <w:pPr>
              <w:pStyle w:val="20"/>
              <w:snapToGrid w:val="0"/>
              <w:ind w:right="79" w:firstLine="524"/>
              <w:jc w:val="both"/>
              <w:rPr>
                <w:rFonts w:hint="eastAsia" w:ascii="宋体" w:hAnsi="宋体" w:eastAsia="宋体" w:cs="宋体"/>
                <w:color w:val="000000"/>
              </w:rPr>
            </w:pPr>
            <w:r>
              <w:rPr>
                <w:rFonts w:hint="eastAsia" w:ascii="宋体" w:hAnsi="宋体" w:eastAsia="宋体" w:cs="宋体"/>
                <w:color w:val="000000"/>
              </w:rPr>
              <w:t>锂离子电池</w:t>
            </w:r>
            <w:r>
              <w:rPr>
                <w:rFonts w:hint="eastAsia" w:ascii="宋体" w:hAnsi="宋体" w:eastAsia="宋体" w:cs="宋体"/>
                <w:color w:val="000000"/>
                <w:vertAlign w:val="superscript"/>
              </w:rPr>
              <w:t>[4]</w:t>
            </w:r>
            <w:r>
              <w:rPr>
                <w:rFonts w:hint="eastAsia" w:ascii="宋体" w:hAnsi="宋体" w:eastAsia="宋体" w:cs="宋体"/>
                <w:color w:val="000000"/>
              </w:rPr>
              <w:t>由于其高的能量密度、长寿命和良好的环境适应性,已经成为现代移动电子设备、电动车辆、储能系统等领域的首选能源存储设备。尽管电池的正负极材料通常吸引更多的关注,但电解液作为电池中的关键组成部分,其性能对电池的整体性能有着至关重要的影响。电解液</w:t>
            </w:r>
            <w:r>
              <w:rPr>
                <w:rFonts w:hint="eastAsia" w:ascii="宋体" w:hAnsi="宋体" w:eastAsia="宋体" w:cs="宋体"/>
                <w:color w:val="000000"/>
                <w:vertAlign w:val="superscript"/>
              </w:rPr>
              <w:t>[5]</w:t>
            </w:r>
            <w:r>
              <w:rPr>
                <w:rFonts w:hint="eastAsia" w:ascii="宋体" w:hAnsi="宋体" w:eastAsia="宋体" w:cs="宋体"/>
                <w:color w:val="000000"/>
              </w:rPr>
              <w:t>是锂离子电池中的“桥梁”,在正负极之间传输锂离子,同时也起到决定性的作用,如保护电极表面、抑制锂枝晶生长、提供离子传输通道等。其中,液态有机电解液</w:t>
            </w:r>
            <w:r>
              <w:rPr>
                <w:rFonts w:hint="eastAsia" w:ascii="宋体" w:hAnsi="宋体" w:eastAsia="宋体" w:cs="宋体"/>
                <w:color w:val="000000"/>
                <w:vertAlign w:val="superscript"/>
              </w:rPr>
              <w:t>[6]</w:t>
            </w:r>
            <w:r>
              <w:rPr>
                <w:rFonts w:hint="eastAsia" w:ascii="宋体" w:hAnsi="宋体" w:eastAsia="宋体" w:cs="宋体"/>
                <w:color w:val="000000"/>
              </w:rPr>
              <w:t>因其优越的离子传输性能和调节能力,已成为锂离子电池中的主流电解液类型。液态有机电解液的研究最具创新力的方向是朝着提高能量密度和电压窗口的方向发展，尽管目前碳酸酯类溶剂方面已经发展成熟，但面对目前需求越来越大的新能源电池需求，设计和发现新的有机电解液成为时代之需。</w:t>
            </w:r>
          </w:p>
          <w:p w14:paraId="4FBF4B07">
            <w:pPr>
              <w:pStyle w:val="20"/>
              <w:snapToGrid w:val="0"/>
              <w:ind w:right="79" w:firstLine="524"/>
              <w:jc w:val="both"/>
              <w:rPr>
                <w:rFonts w:hint="eastAsia" w:ascii="宋体" w:hAnsi="宋体" w:eastAsia="宋体" w:cs="宋体"/>
                <w:color w:val="000000"/>
              </w:rPr>
            </w:pPr>
            <w:r>
              <w:rPr>
                <w:rFonts w:hint="eastAsia" w:ascii="宋体" w:hAnsi="宋体" w:eastAsia="宋体" w:cs="宋体"/>
                <w:color w:val="000000"/>
              </w:rPr>
              <w:t>设计和发现具有良好性能的电解质材料关键在于如何快速准确预测电解质性能以筛选出性能优异电解质候选材料，而其中离子电导率是评价电解质性能的重要指标。传统的电导率预测主要采用实验测量和计算模拟两种方法。但这两种方法存在着时间效率低、依赖材料微观结构等问题。近几年，随着材料基因组的建立和材料信息学的发展，机器学习凭借在预测精度、时间效率、适用性等方面的优异表现，被广泛应用在电池的研究中，甚至已经成为常态化必须技术。</w:t>
            </w:r>
          </w:p>
          <w:p w14:paraId="78AE2B86">
            <w:pPr>
              <w:pStyle w:val="10"/>
              <w:suppressAutoHyphens/>
              <w:snapToGrid w:val="0"/>
              <w:spacing w:before="0" w:beforeAutospacing="0" w:after="0" w:afterAutospacing="0"/>
              <w:ind w:left="79" w:right="79" w:firstLine="482"/>
              <w:jc w:val="both"/>
              <w:rPr>
                <w:rFonts w:hint="eastAsia" w:ascii="宋体" w:hAnsi="宋体" w:eastAsia="宋体" w:cs="宋体"/>
                <w:color w:val="000000"/>
                <w:spacing w:val="11"/>
                <w:lang w:bidi="ar"/>
              </w:rPr>
            </w:pPr>
          </w:p>
          <w:p w14:paraId="4CC8A7AB">
            <w:pPr>
              <w:pStyle w:val="10"/>
              <w:suppressAutoHyphens/>
              <w:snapToGrid w:val="0"/>
              <w:spacing w:before="0" w:beforeAutospacing="0" w:after="0" w:afterAutospacing="0"/>
              <w:ind w:left="79" w:right="79" w:firstLine="482"/>
              <w:jc w:val="both"/>
              <w:rPr>
                <w:rFonts w:hint="eastAsia" w:ascii="宋体" w:hAnsi="宋体" w:eastAsia="宋体" w:cs="宋体"/>
                <w:color w:val="000000"/>
                <w:spacing w:val="11"/>
                <w:lang w:bidi="ar"/>
              </w:rPr>
            </w:pPr>
          </w:p>
          <w:p w14:paraId="48D52BDA">
            <w:pPr>
              <w:tabs>
                <w:tab w:val="left" w:pos="4140"/>
              </w:tabs>
              <w:autoSpaceDE w:val="0"/>
              <w:autoSpaceDN w:val="0"/>
              <w:adjustRightInd w:val="0"/>
              <w:snapToGrid w:val="0"/>
              <w:spacing w:after="120" w:afterLines="50" w:line="360" w:lineRule="auto"/>
              <w:rPr>
                <w:rFonts w:hint="eastAsia" w:ascii="宋体" w:hAnsi="宋体" w:eastAsia="宋体" w:cs="宋体"/>
                <w:b/>
                <w:bCs/>
                <w:color w:val="000000"/>
                <w:spacing w:val="11"/>
              </w:rPr>
            </w:pPr>
            <w:r>
              <w:rPr>
                <w:rFonts w:hint="eastAsia" w:ascii="宋体" w:hAnsi="宋体" w:eastAsia="宋体" w:cs="宋体"/>
                <w:b/>
                <w:bCs/>
                <w:color w:val="000000"/>
                <w:spacing w:val="11"/>
              </w:rPr>
              <w:t>1.1.2 选题国内外研究进展</w:t>
            </w:r>
          </w:p>
          <w:p w14:paraId="35003724">
            <w:pPr>
              <w:pStyle w:val="10"/>
              <w:snapToGrid w:val="0"/>
              <w:ind w:left="79" w:right="79" w:firstLine="482"/>
              <w:jc w:val="both"/>
              <w:rPr>
                <w:rFonts w:hint="eastAsia" w:ascii="宋体" w:hAnsi="宋体" w:eastAsia="宋体" w:cs="宋体"/>
                <w:color w:val="000000"/>
                <w:spacing w:val="11"/>
                <w:sz w:val="24"/>
                <w:szCs w:val="24"/>
                <w:lang w:val="en-US" w:eastAsia="zh-CN" w:bidi="ar-SA"/>
              </w:rPr>
            </w:pPr>
            <w:r>
              <w:rPr>
                <w:rFonts w:hint="eastAsia" w:ascii="宋体" w:hAnsi="宋体" w:eastAsia="宋体" w:cs="宋体"/>
                <w:color w:val="000000"/>
                <w:spacing w:val="11"/>
                <w:sz w:val="24"/>
                <w:szCs w:val="24"/>
                <w:lang w:val="en-US" w:eastAsia="zh-CN" w:bidi="ar-SA"/>
              </w:rPr>
              <w:t>传统电导率研究</w:t>
            </w:r>
            <w:r>
              <w:rPr>
                <w:rFonts w:hint="eastAsia" w:ascii="宋体" w:hAnsi="宋体" w:eastAsia="宋体" w:cs="宋体"/>
                <w:color w:val="000000"/>
                <w:spacing w:val="11"/>
                <w:sz w:val="24"/>
                <w:szCs w:val="24"/>
                <w:vertAlign w:val="superscript"/>
                <w:lang w:val="en-US" w:eastAsia="zh-CN" w:bidi="ar-SA"/>
              </w:rPr>
              <w:t>[7]</w:t>
            </w:r>
            <w:r>
              <w:rPr>
                <w:rFonts w:hint="eastAsia" w:ascii="宋体" w:hAnsi="宋体" w:eastAsia="宋体" w:cs="宋体"/>
                <w:color w:val="000000"/>
                <w:spacing w:val="11"/>
                <w:sz w:val="24"/>
                <w:szCs w:val="24"/>
                <w:lang w:val="en-US" w:eastAsia="zh-CN" w:bidi="ar-SA"/>
              </w:rPr>
              <w:t>主要依赖阿伦尼乌斯（Arrhenius）方程或VFT（Vogel-Fulcher-Tammann）方程来描述电导率与温度的关系等。然而，这些传统的物理化学模型通常仅适用于组分简单的体系，对于包含多种溶剂、高浓度锂盐及功能添加剂的复杂有机电解液，模型往往失效，难以准确描述复杂的离子-离子及离子-溶剂相互作用</w:t>
            </w:r>
          </w:p>
          <w:p w14:paraId="64503DF6">
            <w:pPr>
              <w:pStyle w:val="10"/>
              <w:snapToGrid w:val="0"/>
              <w:ind w:left="79" w:right="79" w:firstLine="482"/>
              <w:jc w:val="both"/>
              <w:rPr>
                <w:rFonts w:hint="eastAsia" w:ascii="宋体" w:hAnsi="宋体" w:eastAsia="宋体" w:cs="宋体"/>
                <w:color w:val="000000"/>
                <w:spacing w:val="11"/>
                <w:sz w:val="24"/>
                <w:szCs w:val="24"/>
                <w:lang w:val="en-US" w:eastAsia="zh-CN" w:bidi="ar-SA"/>
              </w:rPr>
            </w:pPr>
            <w:r>
              <w:rPr>
                <w:rFonts w:hint="eastAsia" w:ascii="宋体" w:hAnsi="宋体" w:eastAsia="宋体" w:cs="宋体"/>
                <w:color w:val="000000"/>
                <w:spacing w:val="11"/>
                <w:sz w:val="24"/>
                <w:szCs w:val="24"/>
                <w:lang w:val="en-US" w:eastAsia="zh-CN" w:bidi="ar-SA"/>
              </w:rPr>
              <w:t>国际上，数据驱动的储能材料研究起步较早。以丹麦技术大学（DTU）、美国阿贡国家实验室为代表的机构，通过构建如 Materials Project</w:t>
            </w:r>
            <w:r>
              <w:rPr>
                <w:rFonts w:hint="eastAsia" w:ascii="宋体" w:hAnsi="宋体" w:eastAsia="宋体" w:cs="宋体"/>
                <w:color w:val="000000"/>
                <w:spacing w:val="11"/>
                <w:sz w:val="24"/>
                <w:szCs w:val="24"/>
                <w:vertAlign w:val="superscript"/>
                <w:lang w:val="en-US" w:eastAsia="zh-CN" w:bidi="ar-SA"/>
              </w:rPr>
              <w:t>[8]</w:t>
            </w:r>
            <w:r>
              <w:rPr>
                <w:rFonts w:hint="eastAsia" w:ascii="宋体" w:hAnsi="宋体" w:eastAsia="宋体" w:cs="宋体"/>
                <w:color w:val="000000"/>
                <w:spacing w:val="11"/>
                <w:sz w:val="24"/>
                <w:szCs w:val="24"/>
                <w:lang w:val="en-US" w:eastAsia="zh-CN" w:bidi="ar-SA"/>
              </w:rPr>
              <w:t xml:space="preserve"> 、Citrination 等大型数据库，为电解液性质预测提供了丰富的数据源。斯坦福大学等团队已成功利用机器学习算法对数千种电解液配方进行自动化筛选，大幅缩短了从实验室到应用的转化周期。国外研究目前的重点</w:t>
            </w:r>
            <w:r>
              <w:rPr>
                <w:rFonts w:hint="eastAsia" w:ascii="宋体" w:hAnsi="宋体" w:eastAsia="宋体" w:cs="宋体"/>
                <w:color w:val="000000"/>
                <w:spacing w:val="11"/>
                <w:sz w:val="24"/>
                <w:szCs w:val="24"/>
                <w:vertAlign w:val="superscript"/>
                <w:lang w:val="en-US" w:eastAsia="zh-CN" w:bidi="ar-SA"/>
              </w:rPr>
              <w:t>[9]</w:t>
            </w:r>
            <w:r>
              <w:rPr>
                <w:rFonts w:hint="eastAsia" w:ascii="宋体" w:hAnsi="宋体" w:eastAsia="宋体" w:cs="宋体"/>
                <w:color w:val="000000"/>
                <w:spacing w:val="11"/>
                <w:sz w:val="24"/>
                <w:szCs w:val="24"/>
                <w:lang w:val="en-US" w:eastAsia="zh-CN" w:bidi="ar-SA"/>
              </w:rPr>
              <w:t>在于利用物理信息神经网络（PINN）将已知的物理定律嵌入模型，以提高小样本下的预测精度。</w:t>
            </w:r>
          </w:p>
          <w:p w14:paraId="7565F70E">
            <w:pPr>
              <w:pStyle w:val="10"/>
              <w:snapToGrid w:val="0"/>
              <w:spacing w:before="0" w:beforeAutospacing="0" w:after="0" w:afterAutospacing="0"/>
              <w:ind w:left="79" w:right="79" w:firstLine="482"/>
              <w:jc w:val="both"/>
              <w:rPr>
                <w:rFonts w:hint="eastAsia" w:ascii="宋体" w:hAnsi="宋体" w:eastAsia="宋体" w:cs="宋体"/>
                <w:color w:val="000000"/>
                <w:spacing w:val="11"/>
                <w:sz w:val="24"/>
                <w:szCs w:val="24"/>
                <w:lang w:val="en-US" w:eastAsia="zh-CN" w:bidi="ar-SA"/>
              </w:rPr>
            </w:pPr>
            <w:r>
              <w:rPr>
                <w:rFonts w:hint="eastAsia" w:ascii="宋体" w:hAnsi="宋体" w:eastAsia="宋体" w:cs="宋体"/>
                <w:color w:val="000000"/>
                <w:spacing w:val="11"/>
                <w:sz w:val="24"/>
                <w:szCs w:val="24"/>
                <w:lang w:val="en-US" w:eastAsia="zh-CN" w:bidi="ar-SA"/>
              </w:rPr>
              <w:t>国内，在这一领域进步显著，已形成从“数据采集”到“模型部署”的完整链条。施思齐</w:t>
            </w:r>
            <w:r>
              <w:rPr>
                <w:rFonts w:hint="eastAsia" w:ascii="宋体" w:hAnsi="宋体" w:eastAsia="宋体" w:cs="宋体"/>
                <w:color w:val="000000"/>
                <w:spacing w:val="11"/>
                <w:sz w:val="24"/>
                <w:szCs w:val="24"/>
                <w:vertAlign w:val="superscript"/>
                <w:lang w:val="en-US" w:eastAsia="zh-CN" w:bidi="ar-SA"/>
              </w:rPr>
              <w:t>[10]</w:t>
            </w:r>
            <w:r>
              <w:rPr>
                <w:rFonts w:hint="eastAsia" w:ascii="宋体" w:hAnsi="宋体" w:eastAsia="宋体" w:cs="宋体"/>
                <w:color w:val="000000"/>
                <w:spacing w:val="11"/>
                <w:sz w:val="24"/>
                <w:szCs w:val="24"/>
                <w:lang w:val="en-US" w:eastAsia="zh-CN" w:bidi="ar-SA"/>
              </w:rPr>
              <w:t>课题组详细阐述了结构化数据（如数据库）与非结构化数据（如文献挖掘）在储能材料中的应用。清华大学化工系陈翔–张强课题组</w:t>
            </w:r>
            <w:r>
              <w:rPr>
                <w:rFonts w:hint="eastAsia" w:ascii="宋体" w:hAnsi="宋体" w:eastAsia="宋体" w:cs="宋体"/>
                <w:color w:val="000000"/>
                <w:spacing w:val="11"/>
                <w:sz w:val="24"/>
                <w:szCs w:val="24"/>
                <w:vertAlign w:val="superscript"/>
                <w:lang w:val="en-US" w:eastAsia="zh-CN" w:bidi="ar-SA"/>
              </w:rPr>
              <w:t>[11]</w:t>
            </w:r>
            <w:r>
              <w:rPr>
                <w:rFonts w:hint="eastAsia" w:ascii="宋体" w:hAnsi="宋体" w:eastAsia="宋体" w:cs="宋体"/>
                <w:color w:val="000000"/>
                <w:spacing w:val="11"/>
                <w:sz w:val="24"/>
                <w:szCs w:val="24"/>
                <w:lang w:val="en-US" w:eastAsia="zh-CN" w:bidi="ar-SA"/>
              </w:rPr>
              <w:t>发展了电解液多种性质模拟计算方法与机器学习预测模型，开发了电解液高通量计算软件与人工智能设计平台。上海大学、中科学院等机构也开发了多种针对有机分子的图神经网络模型。目前国内的研究正致力于解决“高维度与小样本”之间的矛盾，探索更符合实际化工生产需求的轻量化模型。</w:t>
            </w:r>
          </w:p>
          <w:p w14:paraId="63C3DB7B">
            <w:pPr>
              <w:pStyle w:val="10"/>
              <w:snapToGrid w:val="0"/>
              <w:spacing w:before="0" w:beforeAutospacing="0" w:after="0" w:afterAutospacing="0"/>
              <w:ind w:left="79" w:right="79" w:firstLine="482"/>
              <w:jc w:val="both"/>
              <w:rPr>
                <w:rFonts w:hint="eastAsia" w:ascii="宋体" w:hAnsi="宋体" w:eastAsia="宋体" w:cs="宋体"/>
                <w:color w:val="000000"/>
                <w:spacing w:val="11"/>
                <w:sz w:val="24"/>
                <w:szCs w:val="24"/>
                <w:lang w:val="en-US" w:eastAsia="zh-CN" w:bidi="ar-SA"/>
              </w:rPr>
            </w:pPr>
          </w:p>
          <w:p w14:paraId="6BC7E036">
            <w:pPr>
              <w:pStyle w:val="10"/>
              <w:tabs>
                <w:tab w:val="left" w:pos="720"/>
              </w:tabs>
              <w:snapToGrid w:val="0"/>
              <w:spacing w:before="0" w:beforeAutospacing="0" w:after="0" w:afterAutospacing="0"/>
              <w:ind w:left="79" w:right="79" w:firstLine="482"/>
              <w:jc w:val="both"/>
              <w:rPr>
                <w:rFonts w:hint="eastAsia" w:ascii="宋体" w:hAnsi="宋体" w:eastAsia="宋体" w:cs="宋体"/>
                <w:color w:val="000000"/>
                <w:spacing w:val="11"/>
                <w:sz w:val="24"/>
                <w:szCs w:val="24"/>
                <w:lang w:val="en-US" w:eastAsia="zh-CN" w:bidi="ar-SA"/>
              </w:rPr>
            </w:pPr>
            <w:r>
              <w:rPr>
                <w:rFonts w:hint="eastAsia" w:ascii="宋体" w:hAnsi="宋体" w:eastAsia="宋体" w:cs="宋体"/>
                <w:color w:val="000000"/>
                <w:spacing w:val="11"/>
                <w:sz w:val="24"/>
                <w:szCs w:val="24"/>
                <w:lang w:val="en-US" w:eastAsia="zh-CN" w:bidi="ar-SA"/>
              </w:rPr>
              <w:t>但同时，该方向仍有问题需要解决：</w:t>
            </w:r>
          </w:p>
          <w:p w14:paraId="6DF17259">
            <w:pPr>
              <w:pStyle w:val="10"/>
              <w:tabs>
                <w:tab w:val="left" w:pos="720"/>
              </w:tabs>
              <w:snapToGrid w:val="0"/>
              <w:spacing w:before="0" w:beforeAutospacing="0" w:after="0" w:afterAutospacing="0"/>
              <w:ind w:left="79" w:right="79" w:firstLine="482"/>
              <w:jc w:val="both"/>
              <w:rPr>
                <w:rFonts w:hint="eastAsia" w:ascii="宋体" w:hAnsi="宋体" w:eastAsia="宋体" w:cs="宋体"/>
                <w:color w:val="000000"/>
                <w:spacing w:val="11"/>
                <w:sz w:val="24"/>
                <w:szCs w:val="24"/>
                <w:lang w:val="en-US" w:eastAsia="zh-CN" w:bidi="ar-SA"/>
              </w:rPr>
            </w:pPr>
            <w:r>
              <w:rPr>
                <w:rFonts w:hint="eastAsia" w:ascii="宋体" w:hAnsi="宋体" w:eastAsia="宋体" w:cs="宋体"/>
                <w:color w:val="000000"/>
                <w:spacing w:val="11"/>
                <w:sz w:val="24"/>
                <w:szCs w:val="24"/>
                <w:lang w:val="en-US" w:eastAsia="zh-CN" w:bidi="ar-SA"/>
              </w:rPr>
              <w:t>对高昂算力的依赖：许多研究依赖大规模分子动力学模拟生成数据，这对缺乏超算资源的通用研发场景并不友好。</w:t>
            </w:r>
          </w:p>
          <w:p w14:paraId="62BCAE8D">
            <w:pPr>
              <w:pStyle w:val="10"/>
              <w:tabs>
                <w:tab w:val="left" w:pos="720"/>
              </w:tabs>
              <w:snapToGrid w:val="0"/>
              <w:spacing w:before="0" w:beforeAutospacing="0" w:after="0" w:afterAutospacing="0"/>
              <w:ind w:left="79" w:right="79" w:firstLine="482"/>
              <w:jc w:val="both"/>
              <w:rPr>
                <w:rFonts w:hint="eastAsia" w:ascii="宋体" w:hAnsi="宋体" w:eastAsia="宋体" w:cs="宋体"/>
                <w:color w:val="000000"/>
                <w:spacing w:val="11"/>
                <w:sz w:val="24"/>
                <w:szCs w:val="24"/>
                <w:lang w:val="en-US" w:eastAsia="zh-CN" w:bidi="ar-SA"/>
              </w:rPr>
            </w:pPr>
            <w:r>
              <w:rPr>
                <w:rFonts w:hint="eastAsia" w:ascii="宋体" w:hAnsi="宋体" w:eastAsia="宋体" w:cs="宋体"/>
                <w:color w:val="000000"/>
                <w:spacing w:val="11"/>
                <w:sz w:val="24"/>
                <w:szCs w:val="24"/>
                <w:lang w:val="en-US" w:eastAsia="zh-CN" w:bidi="ar-SA"/>
              </w:rPr>
              <w:t>有机物数据库的缺失：有机物由于其结构的复杂性，性质往往不能准确被量化计算。面对有机物种类的多样与有机物混合方式的复杂，数据库难以在目前已经有较为成熟的分子动力学模拟技术下构建。</w:t>
            </w:r>
          </w:p>
          <w:p w14:paraId="7B81388D">
            <w:pPr>
              <w:pStyle w:val="10"/>
              <w:tabs>
                <w:tab w:val="left" w:pos="720"/>
              </w:tabs>
              <w:snapToGrid w:val="0"/>
              <w:spacing w:before="0" w:beforeAutospacing="0" w:after="0" w:afterAutospacing="0"/>
              <w:ind w:left="79" w:right="79" w:firstLine="482"/>
              <w:jc w:val="both"/>
              <w:rPr>
                <w:rFonts w:hint="eastAsia" w:ascii="宋体" w:hAnsi="宋体" w:eastAsia="宋体" w:cs="宋体"/>
                <w:color w:val="000000"/>
                <w:spacing w:val="11"/>
                <w:sz w:val="24"/>
                <w:szCs w:val="24"/>
                <w:lang w:val="en-US" w:eastAsia="zh-CN" w:bidi="ar-SA"/>
              </w:rPr>
            </w:pPr>
            <w:r>
              <w:rPr>
                <w:rFonts w:hint="eastAsia" w:ascii="宋体" w:hAnsi="宋体" w:eastAsia="宋体" w:cs="宋体"/>
                <w:color w:val="000000"/>
                <w:spacing w:val="11"/>
                <w:sz w:val="24"/>
                <w:szCs w:val="24"/>
                <w:lang w:val="en-US" w:eastAsia="zh-CN" w:bidi="ar-SA"/>
              </w:rPr>
              <w:t>模型构建的透明度不足</w:t>
            </w:r>
            <w:r>
              <w:rPr>
                <w:rFonts w:hint="eastAsia" w:ascii="宋体" w:hAnsi="宋体" w:eastAsia="宋体" w:cs="宋体"/>
                <w:color w:val="000000"/>
                <w:spacing w:val="11"/>
                <w:sz w:val="24"/>
                <w:szCs w:val="24"/>
                <w:vertAlign w:val="superscript"/>
                <w:lang w:val="en-US" w:eastAsia="zh-CN" w:bidi="ar-SA"/>
              </w:rPr>
              <w:t>[12]</w:t>
            </w:r>
            <w:r>
              <w:rPr>
                <w:rFonts w:hint="eastAsia" w:ascii="宋体" w:hAnsi="宋体" w:eastAsia="宋体" w:cs="宋体"/>
                <w:color w:val="000000"/>
                <w:spacing w:val="11"/>
                <w:sz w:val="24"/>
                <w:szCs w:val="24"/>
                <w:lang w:val="en-US" w:eastAsia="zh-CN" w:bidi="ar-SA"/>
              </w:rPr>
              <w:t>：当前对数据质量和特征表示方法、算法本身对模型性能的影响研究深度不足，如何进一步通过分子结构指纹高效提取特征或优化算法模型中优化后的现实意义与价值，仍需验证。同时，模型学习结果与领域专家知识存在矛盾，模型的透明度仍需研究。</w:t>
            </w:r>
          </w:p>
          <w:p w14:paraId="2763778E">
            <w:pPr>
              <w:pStyle w:val="10"/>
              <w:snapToGrid w:val="0"/>
              <w:spacing w:before="0" w:beforeAutospacing="0" w:after="0" w:afterAutospacing="0"/>
              <w:ind w:left="79" w:right="79" w:firstLine="482"/>
              <w:jc w:val="both"/>
              <w:rPr>
                <w:rFonts w:hint="eastAsia" w:ascii="宋体" w:hAnsi="宋体" w:eastAsia="宋体" w:cs="宋体"/>
                <w:color w:val="000000"/>
                <w:spacing w:val="11"/>
                <w:lang w:bidi="ar"/>
              </w:rPr>
            </w:pPr>
          </w:p>
          <w:p w14:paraId="2DEE3FA7">
            <w:pPr>
              <w:pStyle w:val="10"/>
              <w:snapToGrid w:val="0"/>
              <w:spacing w:before="0" w:beforeAutospacing="0" w:after="0" w:afterAutospacing="0"/>
              <w:ind w:left="79" w:right="79" w:firstLine="482"/>
              <w:jc w:val="both"/>
              <w:rPr>
                <w:rFonts w:hint="eastAsia" w:ascii="宋体" w:hAnsi="宋体" w:eastAsia="宋体" w:cs="宋体"/>
                <w:color w:val="000000"/>
                <w:spacing w:val="11"/>
                <w:lang w:bidi="ar"/>
              </w:rPr>
            </w:pPr>
          </w:p>
          <w:p w14:paraId="280CC4EF">
            <w:pPr>
              <w:tabs>
                <w:tab w:val="left" w:pos="4140"/>
              </w:tabs>
              <w:autoSpaceDE w:val="0"/>
              <w:autoSpaceDN w:val="0"/>
              <w:adjustRightInd w:val="0"/>
              <w:snapToGrid w:val="0"/>
              <w:spacing w:after="120" w:afterLines="50" w:line="360" w:lineRule="auto"/>
              <w:rPr>
                <w:rFonts w:hint="eastAsia" w:ascii="宋体" w:hAnsi="宋体" w:eastAsia="宋体" w:cs="宋体"/>
                <w:color w:val="000000"/>
                <w:spacing w:val="11"/>
                <w:lang w:bidi="ar"/>
              </w:rPr>
            </w:pPr>
            <w:r>
              <w:rPr>
                <w:rFonts w:hint="eastAsia" w:ascii="宋体" w:hAnsi="宋体" w:eastAsia="宋体" w:cs="宋体"/>
                <w:b/>
                <w:bCs/>
                <w:color w:val="000000"/>
                <w:spacing w:val="11"/>
              </w:rPr>
              <w:t>1.2 选题研究目的与意义</w:t>
            </w:r>
          </w:p>
          <w:p w14:paraId="0CEBC172">
            <w:pPr>
              <w:pStyle w:val="20"/>
              <w:snapToGrid w:val="0"/>
              <w:ind w:right="79" w:firstLine="524"/>
              <w:jc w:val="both"/>
              <w:rPr>
                <w:rFonts w:hint="eastAsia" w:ascii="宋体" w:hAnsi="宋体" w:eastAsia="宋体" w:cs="宋体"/>
              </w:rPr>
            </w:pPr>
            <w:r>
              <w:rPr>
                <w:rFonts w:hint="eastAsia" w:ascii="宋体" w:hAnsi="宋体" w:eastAsia="宋体" w:cs="宋体"/>
                <w:color w:val="000000"/>
              </w:rPr>
              <w:t>对有机物电导率的预测正处于研究阶段，在机器学习算力提升与算法论文井喷的当下，进行该研究具有非常重要的意义。该选题用数据驱动的AI算法助力电解液设计，基于机器学习预测有机电解液的电导率，并得到有机电解液电导率的预测模型。这个模型既为资源受限环境下的计算化学研究提供了参考路径，也助力科研人员高效率高准确地研究筛选电解液配方。</w:t>
            </w:r>
          </w:p>
          <w:p w14:paraId="4B68E3DE">
            <w:pPr>
              <w:pStyle w:val="10"/>
              <w:wordWrap w:val="0"/>
              <w:snapToGrid w:val="0"/>
              <w:spacing w:beforeAutospacing="0" w:afterAutospacing="0"/>
              <w:ind w:right="79"/>
              <w:jc w:val="both"/>
              <w:rPr>
                <w:rFonts w:hint="eastAsia" w:ascii="宋体" w:hAnsi="宋体" w:eastAsia="宋体" w:cs="宋体"/>
                <w:color w:val="000000"/>
                <w:spacing w:val="11"/>
                <w:lang w:bidi="ar"/>
              </w:rPr>
            </w:pPr>
          </w:p>
          <w:p w14:paraId="11FA90FF">
            <w:pPr>
              <w:pStyle w:val="10"/>
              <w:wordWrap w:val="0"/>
              <w:snapToGrid w:val="0"/>
              <w:spacing w:beforeAutospacing="0" w:afterAutospacing="0"/>
              <w:ind w:right="79"/>
              <w:jc w:val="both"/>
              <w:rPr>
                <w:rFonts w:hint="eastAsia" w:ascii="宋体" w:hAnsi="宋体" w:eastAsia="宋体" w:cs="宋体"/>
                <w:color w:val="000000"/>
                <w:spacing w:val="11"/>
                <w:lang w:bidi="ar"/>
              </w:rPr>
            </w:pPr>
          </w:p>
          <w:p w14:paraId="549935D7">
            <w:pPr>
              <w:tabs>
                <w:tab w:val="left" w:pos="4140"/>
              </w:tabs>
              <w:autoSpaceDE w:val="0"/>
              <w:autoSpaceDN w:val="0"/>
              <w:adjustRightInd w:val="0"/>
              <w:snapToGrid w:val="0"/>
              <w:spacing w:after="120" w:afterLines="50" w:line="360" w:lineRule="auto"/>
              <w:rPr>
                <w:rFonts w:hint="eastAsia" w:ascii="宋体" w:hAnsi="宋体" w:eastAsia="宋体" w:cs="宋体"/>
                <w:color w:val="000000"/>
                <w:spacing w:val="11"/>
                <w:lang w:bidi="ar"/>
              </w:rPr>
            </w:pPr>
            <w:r>
              <w:rPr>
                <w:rFonts w:hint="eastAsia" w:ascii="宋体" w:hAnsi="宋体" w:eastAsia="宋体" w:cs="宋体"/>
                <w:color w:val="000000"/>
                <w:spacing w:val="11"/>
              </w:rPr>
              <w:t>参考文献</w:t>
            </w:r>
          </w:p>
          <w:p w14:paraId="14B36395">
            <w:pPr>
              <w:tabs>
                <w:tab w:val="left" w:pos="4140"/>
              </w:tabs>
              <w:autoSpaceDN w:val="0"/>
              <w:adjustRightInd w:val="0"/>
              <w:snapToGrid w:val="0"/>
              <w:spacing w:line="360" w:lineRule="auto"/>
              <w:ind w:left="376" w:hanging="393" w:hangingChars="150"/>
              <w:rPr>
                <w:rFonts w:hint="eastAsia" w:ascii="宋体" w:hAnsi="宋体" w:eastAsia="宋体" w:cs="宋体"/>
                <w:color w:val="000000"/>
                <w:spacing w:val="11"/>
              </w:rPr>
            </w:pPr>
            <w:r>
              <w:rPr>
                <w:rFonts w:hint="eastAsia" w:ascii="宋体" w:hAnsi="宋体" w:eastAsia="宋体" w:cs="宋体"/>
                <w:color w:val="000000"/>
                <w:spacing w:val="11"/>
                <w:lang w:bidi="ar"/>
              </w:rPr>
              <w:t>[1]江深哲,杜浩锋,徐铭梽.“双碳”目标下能源与产业双重结构转型[J].数量经济技术经济研究,2024,41(02):109-130.DOI:10.13653/j.cnki.jqte.20231214.007.</w:t>
            </w:r>
          </w:p>
          <w:p w14:paraId="410002E0">
            <w:pPr>
              <w:tabs>
                <w:tab w:val="left" w:pos="4140"/>
              </w:tabs>
              <w:autoSpaceDN w:val="0"/>
              <w:adjustRightInd w:val="0"/>
              <w:snapToGrid w:val="0"/>
              <w:spacing w:line="360" w:lineRule="auto"/>
              <w:ind w:left="376" w:hanging="393" w:hangingChars="150"/>
              <w:rPr>
                <w:rFonts w:hint="eastAsia" w:ascii="宋体" w:hAnsi="宋体" w:eastAsia="宋体" w:cs="宋体"/>
                <w:color w:val="000000"/>
                <w:spacing w:val="11"/>
                <w:lang w:bidi="ar"/>
              </w:rPr>
            </w:pPr>
            <w:r>
              <w:rPr>
                <w:rFonts w:hint="eastAsia" w:ascii="宋体" w:hAnsi="宋体" w:eastAsia="宋体" w:cs="宋体"/>
                <w:color w:val="000000"/>
                <w:spacing w:val="11"/>
                <w:lang w:bidi="ar"/>
              </w:rPr>
              <w:t>[2]Energy efficiency and the smart grid.Noreen Parks.Environmental Science &amp; Technology 2009 43(9),2999-3000.DOI: 10.1021/es900771j</w:t>
            </w:r>
          </w:p>
          <w:p w14:paraId="387B2A9C">
            <w:pPr>
              <w:tabs>
                <w:tab w:val="left" w:pos="4140"/>
              </w:tabs>
              <w:autoSpaceDN w:val="0"/>
              <w:adjustRightInd w:val="0"/>
              <w:snapToGrid w:val="0"/>
              <w:spacing w:line="360" w:lineRule="auto"/>
              <w:ind w:left="376" w:hanging="393" w:hangingChars="150"/>
              <w:rPr>
                <w:rFonts w:hint="eastAsia" w:ascii="宋体" w:hAnsi="宋体" w:eastAsia="宋体" w:cs="宋体"/>
                <w:color w:val="000000"/>
                <w:spacing w:val="11"/>
                <w:lang w:bidi="ar"/>
              </w:rPr>
            </w:pPr>
            <w:r>
              <w:rPr>
                <w:rFonts w:hint="eastAsia" w:ascii="宋体" w:hAnsi="宋体" w:eastAsia="宋体" w:cs="宋体"/>
                <w:color w:val="000000"/>
                <w:spacing w:val="11"/>
                <w:lang w:bidi="ar"/>
              </w:rPr>
              <w:t>[3]Group P C .Data on fuel cell contaminants now available[J].Canadian Plastics,2004,62(7):10.</w:t>
            </w:r>
          </w:p>
          <w:p w14:paraId="681E7757">
            <w:pPr>
              <w:tabs>
                <w:tab w:val="left" w:pos="4140"/>
              </w:tabs>
              <w:autoSpaceDN w:val="0"/>
              <w:adjustRightInd w:val="0"/>
              <w:snapToGrid w:val="0"/>
              <w:spacing w:line="360" w:lineRule="auto"/>
              <w:ind w:left="376" w:hanging="393" w:hangingChars="150"/>
              <w:rPr>
                <w:rFonts w:hint="eastAsia" w:ascii="宋体" w:hAnsi="宋体" w:eastAsia="宋体" w:cs="宋体"/>
                <w:color w:val="000000"/>
                <w:spacing w:val="11"/>
                <w:lang w:bidi="ar"/>
              </w:rPr>
            </w:pPr>
            <w:r>
              <w:rPr>
                <w:rFonts w:hint="eastAsia" w:ascii="宋体" w:hAnsi="宋体" w:eastAsia="宋体" w:cs="宋体"/>
                <w:color w:val="000000"/>
                <w:spacing w:val="11"/>
                <w:lang w:bidi="ar"/>
              </w:rPr>
              <w:t>[4]安平,其鲁.锂离子二次电池的应用和发展[J].北京大学学报(自然科学版),2006,(S1):1-7.DOI:10.13209/j.0479-8023.2006.148.</w:t>
            </w:r>
          </w:p>
          <w:p w14:paraId="73D5282F">
            <w:pPr>
              <w:tabs>
                <w:tab w:val="left" w:pos="4140"/>
              </w:tabs>
              <w:autoSpaceDN w:val="0"/>
              <w:adjustRightInd w:val="0"/>
              <w:snapToGrid w:val="0"/>
              <w:spacing w:line="360" w:lineRule="auto"/>
              <w:ind w:left="376" w:hanging="393" w:hangingChars="150"/>
              <w:rPr>
                <w:rFonts w:hint="eastAsia" w:ascii="宋体" w:hAnsi="宋体" w:eastAsia="宋体" w:cs="宋体"/>
                <w:color w:val="000000"/>
                <w:spacing w:val="11"/>
                <w:lang w:bidi="ar"/>
              </w:rPr>
            </w:pPr>
            <w:r>
              <w:rPr>
                <w:rFonts w:hint="eastAsia" w:ascii="宋体" w:hAnsi="宋体" w:eastAsia="宋体" w:cs="宋体"/>
                <w:color w:val="000000"/>
                <w:spacing w:val="11"/>
                <w:lang w:bidi="ar"/>
              </w:rPr>
              <w:t>[5]The Foreseeable Future of Spent Lithium-Ion Batteries: Advanced Upcycling for Toxic Electrolyte, Cathode, and Anode from Environmental and Technological Perspectives.Lingen Zhang, Yu Zhang, Zhenming Xu, and Ping Zhu.Environmental Science &amp; Technology 2023 57 (36), 13270-13291.DOI: 10.1021/acs.est.3c01369</w:t>
            </w:r>
          </w:p>
          <w:p w14:paraId="53737C46">
            <w:pPr>
              <w:tabs>
                <w:tab w:val="left" w:pos="4140"/>
              </w:tabs>
              <w:autoSpaceDN w:val="0"/>
              <w:adjustRightInd w:val="0"/>
              <w:snapToGrid w:val="0"/>
              <w:spacing w:line="360" w:lineRule="auto"/>
              <w:ind w:left="376" w:hanging="393" w:hangingChars="150"/>
              <w:rPr>
                <w:rFonts w:hint="eastAsia" w:ascii="宋体" w:hAnsi="宋体" w:eastAsia="宋体" w:cs="宋体"/>
                <w:color w:val="000000"/>
                <w:spacing w:val="11"/>
                <w:lang w:bidi="ar"/>
              </w:rPr>
            </w:pPr>
            <w:r>
              <w:rPr>
                <w:rFonts w:hint="eastAsia" w:ascii="宋体" w:hAnsi="宋体" w:eastAsia="宋体" w:cs="宋体"/>
                <w:color w:val="000000"/>
                <w:spacing w:val="11"/>
                <w:lang w:bidi="ar"/>
              </w:rPr>
              <w:t>[6]Effect of Organic Electrolyte on the Performance of Solid Electrolyte for Solid–Liquid Hybrid Lithium Batteries.Jiantao Tang, Leidanyang Wang, Longzhen You, Xiang Chen, Tao Huang, Lan Zhou, Zhen Geng, and Aishui Yu.ACS Applied Materials &amp; Interfaces 2021 13 (2), 2685-2693.DOI: 10.1021/acsami.0c19671</w:t>
            </w:r>
          </w:p>
          <w:p w14:paraId="1073642C">
            <w:pPr>
              <w:tabs>
                <w:tab w:val="left" w:pos="4140"/>
              </w:tabs>
              <w:autoSpaceDN w:val="0"/>
              <w:adjustRightInd w:val="0"/>
              <w:snapToGrid w:val="0"/>
              <w:spacing w:line="360" w:lineRule="auto"/>
              <w:ind w:left="376" w:hanging="393" w:hangingChars="150"/>
              <w:rPr>
                <w:rFonts w:hint="eastAsia" w:ascii="宋体" w:hAnsi="宋体" w:eastAsia="宋体" w:cs="宋体"/>
                <w:color w:val="000000"/>
                <w:spacing w:val="11"/>
                <w:lang w:bidi="ar"/>
              </w:rPr>
            </w:pPr>
            <w:r>
              <w:rPr>
                <w:rFonts w:hint="eastAsia" w:ascii="宋体" w:hAnsi="宋体" w:eastAsia="宋体" w:cs="宋体"/>
                <w:color w:val="000000"/>
                <w:spacing w:val="11"/>
                <w:lang w:bidi="ar"/>
              </w:rPr>
              <w:t>[7]周思飞,李骏,王小飞,张道明,薛浩亮.锂电池电解液电导率模型研究进展[J].储能科学与技术,2022,11(11):3688-3698.</w:t>
            </w:r>
          </w:p>
          <w:p w14:paraId="35D69E30">
            <w:pPr>
              <w:tabs>
                <w:tab w:val="left" w:pos="4140"/>
              </w:tabs>
              <w:autoSpaceDN w:val="0"/>
              <w:adjustRightInd w:val="0"/>
              <w:snapToGrid w:val="0"/>
              <w:spacing w:line="360" w:lineRule="auto"/>
              <w:ind w:left="376" w:hanging="393" w:hangingChars="150"/>
              <w:rPr>
                <w:rFonts w:hint="eastAsia" w:ascii="宋体" w:hAnsi="宋体" w:eastAsia="宋体" w:cs="宋体"/>
                <w:color w:val="000000"/>
                <w:spacing w:val="11"/>
                <w:lang w:bidi="ar"/>
              </w:rPr>
            </w:pPr>
            <w:r>
              <w:rPr>
                <w:rFonts w:hint="eastAsia" w:ascii="宋体" w:hAnsi="宋体" w:eastAsia="宋体" w:cs="宋体"/>
                <w:color w:val="000000"/>
                <w:spacing w:val="11"/>
                <w:lang w:bidi="ar"/>
              </w:rPr>
              <w:t>[8] The materials genome initiative at the national science foundation:</w:t>
            </w:r>
            <w:r>
              <w:rPr>
                <w:rFonts w:hint="eastAsia" w:ascii="宋体" w:hAnsi="宋体" w:eastAsia="宋体" w:cs="宋体"/>
                <w:color w:val="000000"/>
                <w:spacing w:val="11"/>
                <w:lang w:bidi="ar"/>
              </w:rPr>
              <w:br w:type="textWrapping"/>
            </w:r>
            <w:r>
              <w:rPr>
                <w:rFonts w:hint="eastAsia" w:ascii="宋体" w:hAnsi="宋体" w:eastAsia="宋体" w:cs="宋体"/>
                <w:color w:val="000000"/>
                <w:spacing w:val="11"/>
                <w:lang w:bidi="ar"/>
              </w:rPr>
              <w:t>A status report after the first year of funded research[J]. JOM,</w:t>
            </w:r>
            <w:r>
              <w:rPr>
                <w:rFonts w:hint="eastAsia" w:ascii="宋体" w:hAnsi="宋体" w:eastAsia="宋体" w:cs="宋体"/>
                <w:color w:val="000000"/>
                <w:spacing w:val="11"/>
                <w:lang w:bidi="ar"/>
              </w:rPr>
              <w:br w:type="textWrapping"/>
            </w:r>
            <w:r>
              <w:rPr>
                <w:rFonts w:hint="eastAsia" w:ascii="宋体" w:hAnsi="宋体" w:eastAsia="宋体" w:cs="宋体"/>
                <w:color w:val="000000"/>
                <w:spacing w:val="11"/>
                <w:lang w:bidi="ar"/>
              </w:rPr>
              <w:t>2014, 66(3): 336-344.</w:t>
            </w:r>
          </w:p>
          <w:p w14:paraId="057F65BE">
            <w:pPr>
              <w:tabs>
                <w:tab w:val="left" w:pos="4140"/>
              </w:tabs>
              <w:autoSpaceDN w:val="0"/>
              <w:adjustRightInd w:val="0"/>
              <w:snapToGrid w:val="0"/>
              <w:spacing w:line="360" w:lineRule="auto"/>
              <w:ind w:left="376" w:hanging="393" w:hangingChars="150"/>
              <w:rPr>
                <w:rFonts w:hint="eastAsia" w:ascii="宋体" w:hAnsi="宋体" w:eastAsia="宋体" w:cs="宋体"/>
                <w:color w:val="000000"/>
                <w:spacing w:val="11"/>
                <w:lang w:bidi="ar"/>
              </w:rPr>
            </w:pPr>
            <w:r>
              <w:rPr>
                <w:rFonts w:hint="eastAsia" w:ascii="宋体" w:hAnsi="宋体" w:eastAsia="宋体" w:cs="宋体"/>
                <w:color w:val="000000"/>
                <w:spacing w:val="11"/>
                <w:lang w:bidi="ar"/>
              </w:rPr>
              <w:t>[9] HIMANEN L, JÄGER M O J, MOROOKA E V, et al. DScribe:</w:t>
            </w:r>
            <w:r>
              <w:rPr>
                <w:rFonts w:hint="eastAsia" w:ascii="宋体" w:hAnsi="宋体" w:eastAsia="宋体" w:cs="宋体"/>
                <w:color w:val="000000"/>
                <w:spacing w:val="11"/>
                <w:lang w:bidi="ar"/>
              </w:rPr>
              <w:br w:type="textWrapping"/>
            </w:r>
            <w:r>
              <w:rPr>
                <w:rFonts w:hint="eastAsia" w:ascii="宋体" w:hAnsi="宋体" w:eastAsia="宋体" w:cs="宋体"/>
                <w:color w:val="000000"/>
                <w:spacing w:val="11"/>
                <w:lang w:bidi="ar"/>
              </w:rPr>
              <w:t>Library of descriptors for machine learning in materials science[J].</w:t>
            </w:r>
            <w:r>
              <w:rPr>
                <w:rFonts w:hint="eastAsia" w:ascii="宋体" w:hAnsi="宋体" w:eastAsia="宋体" w:cs="宋体"/>
                <w:color w:val="000000"/>
                <w:spacing w:val="11"/>
                <w:lang w:bidi="ar"/>
              </w:rPr>
              <w:br w:type="textWrapping"/>
            </w:r>
            <w:r>
              <w:rPr>
                <w:rFonts w:hint="eastAsia" w:ascii="宋体" w:hAnsi="宋体" w:eastAsia="宋体" w:cs="宋体"/>
                <w:color w:val="000000"/>
                <w:spacing w:val="11"/>
                <w:lang w:bidi="ar"/>
              </w:rPr>
              <w:t>Computer Physics Communications, 2020, 247: doi: 10.1016/j.</w:t>
            </w:r>
            <w:r>
              <w:rPr>
                <w:rFonts w:hint="eastAsia" w:ascii="宋体" w:hAnsi="宋体" w:eastAsia="宋体" w:cs="宋体"/>
                <w:color w:val="000000"/>
                <w:spacing w:val="11"/>
                <w:lang w:bidi="ar"/>
              </w:rPr>
              <w:br w:type="textWrapping"/>
            </w:r>
            <w:r>
              <w:rPr>
                <w:rFonts w:hint="eastAsia" w:ascii="宋体" w:hAnsi="宋体" w:eastAsia="宋体" w:cs="宋体"/>
                <w:color w:val="000000"/>
                <w:spacing w:val="11"/>
                <w:lang w:bidi="ar"/>
              </w:rPr>
              <w:t>cpc.2019.106949.</w:t>
            </w:r>
          </w:p>
          <w:p w14:paraId="036ED663">
            <w:pPr>
              <w:tabs>
                <w:tab w:val="left" w:pos="4140"/>
              </w:tabs>
              <w:autoSpaceDN w:val="0"/>
              <w:adjustRightInd w:val="0"/>
              <w:snapToGrid w:val="0"/>
              <w:spacing w:line="360" w:lineRule="auto"/>
              <w:ind w:left="376" w:hanging="393" w:hangingChars="150"/>
              <w:rPr>
                <w:rFonts w:hint="eastAsia" w:ascii="宋体" w:hAnsi="宋体" w:eastAsia="宋体" w:cs="宋体"/>
                <w:color w:val="000000"/>
                <w:spacing w:val="11"/>
                <w:lang w:bidi="ar"/>
              </w:rPr>
            </w:pPr>
            <w:r>
              <w:rPr>
                <w:rFonts w:hint="eastAsia" w:ascii="宋体" w:hAnsi="宋体" w:eastAsia="宋体" w:cs="宋体"/>
                <w:color w:val="000000"/>
                <w:spacing w:val="11"/>
                <w:lang w:bidi="ar"/>
              </w:rPr>
              <w:t>[10]施思齐,涂章伟,邹欣欣,等.数据驱动的机器学习在电化学储能材料研究中的应用[J].储能科学与技术,2022,11(03):739-759.DOI:10.19799/j.cnki.2095-4239.2022.0051.</w:t>
            </w:r>
          </w:p>
          <w:p w14:paraId="4E233575">
            <w:pPr>
              <w:tabs>
                <w:tab w:val="left" w:pos="4140"/>
              </w:tabs>
              <w:autoSpaceDN w:val="0"/>
              <w:adjustRightInd w:val="0"/>
              <w:snapToGrid w:val="0"/>
              <w:spacing w:line="360" w:lineRule="auto"/>
              <w:ind w:left="376" w:hanging="393" w:hangingChars="150"/>
              <w:rPr>
                <w:rFonts w:hint="eastAsia" w:ascii="宋体" w:hAnsi="宋体" w:eastAsia="宋体" w:cs="宋体"/>
                <w:color w:val="000000"/>
                <w:spacing w:val="11"/>
                <w:lang w:bidi="ar"/>
              </w:rPr>
            </w:pPr>
            <w:r>
              <w:rPr>
                <w:rFonts w:hint="eastAsia" w:ascii="宋体" w:hAnsi="宋体" w:eastAsia="宋体" w:cs="宋体"/>
                <w:color w:val="000000"/>
                <w:spacing w:val="11"/>
                <w:lang w:bidi="ar"/>
              </w:rPr>
              <w:t>[11]Y.-C. Gao, Y.-H. Yuan, S. Huang, N. Yao, L. Yu, Y.-P. Chen, Q. Zhang, X. Chen, Angew. Chem. Int. Ed. 2024, e202416506. </w:t>
            </w:r>
          </w:p>
          <w:p w14:paraId="37C6AAC3">
            <w:pPr>
              <w:tabs>
                <w:tab w:val="left" w:pos="4140"/>
              </w:tabs>
              <w:autoSpaceDN w:val="0"/>
              <w:adjustRightInd w:val="0"/>
              <w:snapToGrid w:val="0"/>
              <w:spacing w:line="360" w:lineRule="auto"/>
              <w:ind w:left="376" w:hanging="393" w:hangingChars="150"/>
              <w:rPr>
                <w:rFonts w:hint="eastAsia" w:ascii="宋体" w:hAnsi="宋体" w:eastAsia="宋体" w:cs="宋体"/>
                <w:color w:val="000000"/>
                <w:spacing w:val="11"/>
                <w:lang w:bidi="ar"/>
              </w:rPr>
            </w:pPr>
            <w:r>
              <w:rPr>
                <w:rFonts w:hint="eastAsia" w:ascii="宋体" w:hAnsi="宋体" w:eastAsia="宋体" w:cs="宋体"/>
                <w:color w:val="000000"/>
                <w:spacing w:val="11"/>
                <w:lang w:bidi="ar"/>
              </w:rPr>
              <w:t>[12] LIU Y, WU J M, AVDEEV M, et al. Multi-layer feature selection</w:t>
            </w:r>
            <w:r>
              <w:rPr>
                <w:rFonts w:hint="eastAsia" w:ascii="宋体" w:hAnsi="宋体" w:eastAsia="宋体" w:cs="宋体"/>
                <w:color w:val="000000"/>
                <w:spacing w:val="11"/>
                <w:lang w:bidi="ar"/>
              </w:rPr>
              <w:br w:type="textWrapping"/>
            </w:r>
            <w:r>
              <w:rPr>
                <w:rFonts w:hint="eastAsia" w:ascii="宋体" w:hAnsi="宋体" w:eastAsia="宋体" w:cs="宋体"/>
                <w:color w:val="000000"/>
                <w:spacing w:val="11"/>
                <w:lang w:bidi="ar"/>
              </w:rPr>
              <w:t>incorporating weighted score-based expert knowledge toward</w:t>
            </w:r>
            <w:r>
              <w:rPr>
                <w:rFonts w:hint="eastAsia" w:ascii="宋体" w:hAnsi="宋体" w:eastAsia="宋体" w:cs="宋体"/>
                <w:color w:val="000000"/>
                <w:spacing w:val="11"/>
                <w:lang w:bidi="ar"/>
              </w:rPr>
              <w:br w:type="textWrapping"/>
            </w:r>
            <w:r>
              <w:rPr>
                <w:rFonts w:hint="eastAsia" w:ascii="宋体" w:hAnsi="宋体" w:eastAsia="宋体" w:cs="宋体"/>
                <w:color w:val="000000"/>
                <w:spacing w:val="11"/>
                <w:lang w:bidi="ar"/>
              </w:rPr>
              <w:t>modeling materials with targeted properties[J]. Advanced Theory</w:t>
            </w:r>
            <w:r>
              <w:rPr>
                <w:rFonts w:hint="eastAsia" w:ascii="宋体" w:hAnsi="宋体" w:eastAsia="宋体" w:cs="宋体"/>
                <w:color w:val="000000"/>
                <w:spacing w:val="11"/>
                <w:lang w:bidi="ar"/>
              </w:rPr>
              <w:br w:type="textWrapping"/>
            </w:r>
            <w:r>
              <w:rPr>
                <w:rFonts w:hint="eastAsia" w:ascii="宋体" w:hAnsi="宋体" w:eastAsia="宋体" w:cs="宋体"/>
                <w:color w:val="000000"/>
                <w:spacing w:val="11"/>
                <w:lang w:bidi="ar"/>
              </w:rPr>
              <w:t>and Simulations, 2020, 3(2): doi: 10.1002/adts.201900215.</w:t>
            </w:r>
          </w:p>
          <w:p w14:paraId="5B91CBD6">
            <w:pPr>
              <w:pStyle w:val="10"/>
              <w:suppressAutoHyphens/>
              <w:snapToGrid w:val="0"/>
              <w:spacing w:before="0" w:beforeAutospacing="0" w:after="0" w:afterAutospacing="0"/>
              <w:ind w:right="79"/>
              <w:jc w:val="both"/>
              <w:rPr>
                <w:rFonts w:hint="eastAsia" w:ascii="宋体" w:hAnsi="宋体" w:eastAsia="宋体" w:cs="宋体"/>
                <w:color w:val="000000"/>
                <w:spacing w:val="11"/>
                <w:lang w:bidi="ar"/>
              </w:rPr>
            </w:pPr>
          </w:p>
          <w:p w14:paraId="0345B826">
            <w:pPr>
              <w:pStyle w:val="10"/>
              <w:suppressAutoHyphens/>
              <w:snapToGrid w:val="0"/>
              <w:spacing w:before="0" w:beforeAutospacing="0" w:after="0" w:afterAutospacing="0"/>
              <w:ind w:right="79"/>
              <w:jc w:val="both"/>
              <w:rPr>
                <w:rFonts w:hint="eastAsia" w:ascii="宋体" w:hAnsi="宋体" w:eastAsia="宋体" w:cs="宋体"/>
                <w:color w:val="000000"/>
                <w:spacing w:val="11"/>
                <w:lang w:bidi="ar"/>
              </w:rPr>
            </w:pPr>
          </w:p>
          <w:p w14:paraId="24B63065">
            <w:pPr>
              <w:pStyle w:val="22"/>
              <w:snapToGrid w:val="0"/>
              <w:spacing w:line="540" w:lineRule="atLeast"/>
              <w:ind w:left="80" w:right="80" w:firstLine="480"/>
              <w:rPr>
                <w:rFonts w:hint="eastAsia" w:ascii="宋体" w:hAnsi="宋体" w:eastAsia="宋体" w:cs="宋体"/>
                <w:color w:val="000000"/>
                <w:sz w:val="20"/>
                <w:szCs w:val="20"/>
                <w:lang w:val="en-US" w:eastAsia="zh-CN" w:bidi="ar-SA"/>
              </w:rPr>
            </w:pPr>
            <w:r>
              <w:rPr>
                <w:rFonts w:hint="eastAsia" w:ascii="宋体" w:hAnsi="宋体" w:eastAsia="宋体" w:cs="宋体"/>
                <w:b/>
                <w:bCs/>
                <w:color w:val="000000"/>
                <w:spacing w:val="11"/>
                <w:lang w:val="en-US" w:eastAsia="zh-CN" w:bidi="ar-SA"/>
              </w:rPr>
              <w:t xml:space="preserve">项目的创新点与特色： </w:t>
            </w:r>
          </w:p>
          <w:p w14:paraId="3D91C437">
            <w:pPr>
              <w:pStyle w:val="20"/>
              <w:snapToGrid w:val="0"/>
              <w:ind w:left="557" w:right="79"/>
              <w:jc w:val="both"/>
              <w:rPr>
                <w:rFonts w:hint="eastAsia" w:ascii="宋体" w:hAnsi="宋体" w:eastAsia="宋体" w:cs="宋体"/>
                <w:color w:val="000000"/>
              </w:rPr>
            </w:pPr>
            <w:r>
              <w:rPr>
                <w:rFonts w:hint="eastAsia" w:ascii="宋体" w:hAnsi="宋体" w:eastAsia="宋体" w:cs="宋体"/>
                <w:color w:val="000000"/>
              </w:rPr>
              <w:t>（</w:t>
            </w:r>
            <w:r>
              <w:rPr>
                <w:rFonts w:hint="eastAsia" w:ascii="宋体" w:hAnsi="宋体" w:eastAsia="宋体" w:cs="宋体"/>
                <w:color w:val="000000"/>
                <w:lang w:val="en-US" w:eastAsia="zh-CN"/>
              </w:rPr>
              <w:t>1</w:t>
            </w:r>
            <w:r>
              <w:rPr>
                <w:rFonts w:hint="eastAsia" w:ascii="宋体" w:hAnsi="宋体" w:eastAsia="宋体" w:cs="宋体"/>
                <w:color w:val="000000"/>
              </w:rPr>
              <w:t>）使用ECFP4指纹进行表示有机电解液，并通过t-SNE聚类映射到二维平面，使模型输入数据性质透明化。</w:t>
            </w:r>
          </w:p>
          <w:p w14:paraId="1C21436E">
            <w:pPr>
              <w:pStyle w:val="20"/>
              <w:snapToGrid w:val="0"/>
              <w:ind w:left="557" w:right="79"/>
              <w:jc w:val="both"/>
              <w:rPr>
                <w:rFonts w:hint="eastAsia" w:ascii="宋体" w:hAnsi="宋体" w:eastAsia="宋体" w:cs="宋体"/>
              </w:rPr>
            </w:pPr>
            <w:r>
              <w:rPr>
                <w:rFonts w:hint="eastAsia" w:ascii="宋体" w:hAnsi="宋体" w:eastAsia="宋体" w:cs="宋体"/>
                <w:color w:val="000000"/>
              </w:rPr>
              <w:t>（</w:t>
            </w:r>
            <w:r>
              <w:rPr>
                <w:rFonts w:hint="eastAsia" w:ascii="宋体" w:hAnsi="宋体" w:eastAsia="宋体" w:cs="宋体"/>
                <w:color w:val="000000"/>
                <w:lang w:val="en-US" w:eastAsia="zh-CN"/>
              </w:rPr>
              <w:t>2</w:t>
            </w:r>
            <w:r>
              <w:rPr>
                <w:rFonts w:hint="eastAsia" w:ascii="宋体" w:hAnsi="宋体" w:eastAsia="宋体" w:cs="宋体"/>
                <w:color w:val="000000"/>
              </w:rPr>
              <w:t>）得到一种结合机器学习的锂离子有机电解液电导率的预测模型，可以实现对锂离子有机电解液电导率的快速预测。</w:t>
            </w:r>
          </w:p>
          <w:p w14:paraId="43249772">
            <w:pPr>
              <w:pStyle w:val="22"/>
              <w:snapToGrid w:val="0"/>
              <w:spacing w:line="540" w:lineRule="atLeast"/>
              <w:ind w:left="80" w:right="80" w:firstLine="480"/>
              <w:rPr>
                <w:rFonts w:hint="eastAsia" w:ascii="宋体" w:hAnsi="宋体" w:eastAsia="宋体" w:cs="宋体"/>
                <w:color w:val="000000"/>
                <w:sz w:val="20"/>
                <w:szCs w:val="20"/>
                <w:lang w:val="en-US" w:eastAsia="zh-CN" w:bidi="ar-SA"/>
              </w:rPr>
            </w:pPr>
            <w:r>
              <w:rPr>
                <w:rFonts w:hint="eastAsia" w:ascii="宋体" w:hAnsi="宋体" w:eastAsia="宋体" w:cs="宋体"/>
                <w:b/>
                <w:bCs/>
                <w:color w:val="000000"/>
                <w:spacing w:val="11"/>
                <w:lang w:val="en-US" w:eastAsia="zh-CN" w:bidi="ar-SA"/>
              </w:rPr>
              <w:t xml:space="preserve">团队成员分工和合作情况： </w:t>
            </w:r>
          </w:p>
          <w:p w14:paraId="6DD2CB00">
            <w:pPr>
              <w:pStyle w:val="20"/>
              <w:snapToGrid w:val="0"/>
              <w:ind w:left="557" w:right="79"/>
              <w:jc w:val="both"/>
              <w:rPr>
                <w:rFonts w:hint="eastAsia" w:ascii="宋体" w:hAnsi="宋体" w:eastAsia="宋体" w:cs="宋体"/>
                <w:color w:val="000000"/>
              </w:rPr>
            </w:pPr>
            <w:r>
              <w:rPr>
                <w:rFonts w:hint="eastAsia" w:ascii="宋体" w:hAnsi="宋体" w:eastAsia="宋体" w:cs="宋体"/>
                <w:color w:val="000000"/>
              </w:rPr>
              <w:t>3.1 总体合作模式</w:t>
            </w:r>
          </w:p>
          <w:p w14:paraId="4AC2AFFE">
            <w:pPr>
              <w:pStyle w:val="20"/>
              <w:snapToGrid w:val="0"/>
              <w:ind w:left="557" w:right="79" w:firstLine="524" w:firstLineChars="200"/>
              <w:jc w:val="both"/>
              <w:rPr>
                <w:rFonts w:hint="eastAsia" w:ascii="宋体" w:hAnsi="宋体" w:eastAsia="宋体" w:cs="宋体"/>
                <w:color w:val="000000"/>
              </w:rPr>
            </w:pPr>
            <w:r>
              <w:rPr>
                <w:rFonts w:hint="eastAsia" w:ascii="宋体" w:hAnsi="宋体" w:eastAsia="宋体" w:cs="宋体"/>
                <w:color w:val="000000"/>
              </w:rPr>
              <w:t>团队成员以有机电解液电导率预测为核心目标，定期开展组内讨论，共同攻克文献调研、数据提取及清洗、算法选择等关键环节。针对研究过程中因算力限制而放弃分子动力学模拟的实际情况，团队及时调整策略，将原定的模拟时间投入到更高质量的实验数据挖掘与特征工程优化中。</w:t>
            </w:r>
          </w:p>
          <w:p w14:paraId="29E679D1">
            <w:pPr>
              <w:pStyle w:val="20"/>
              <w:snapToGrid w:val="0"/>
              <w:ind w:left="557" w:right="79" w:firstLine="524" w:firstLineChars="200"/>
              <w:jc w:val="both"/>
              <w:rPr>
                <w:rFonts w:hint="eastAsia" w:ascii="宋体" w:hAnsi="宋体" w:eastAsia="宋体" w:cs="宋体"/>
                <w:color w:val="000000"/>
              </w:rPr>
            </w:pPr>
          </w:p>
          <w:p w14:paraId="09DC18E7">
            <w:pPr>
              <w:pStyle w:val="20"/>
              <w:snapToGrid w:val="0"/>
              <w:ind w:left="557" w:right="79"/>
              <w:jc w:val="both"/>
              <w:rPr>
                <w:rFonts w:hint="eastAsia" w:ascii="宋体" w:hAnsi="宋体" w:eastAsia="宋体" w:cs="宋体"/>
                <w:color w:val="000000"/>
              </w:rPr>
            </w:pPr>
            <w:r>
              <w:rPr>
                <w:rFonts w:hint="eastAsia" w:ascii="宋体" w:hAnsi="宋体" w:eastAsia="宋体" w:cs="宋体"/>
                <w:color w:val="000000"/>
              </w:rPr>
              <w:t>3.2 成员具体分工</w:t>
            </w:r>
          </w:p>
          <w:p w14:paraId="5BB3FE74">
            <w:pPr>
              <w:pStyle w:val="20"/>
              <w:snapToGrid w:val="0"/>
              <w:ind w:right="79"/>
              <w:jc w:val="both"/>
              <w:rPr>
                <w:rFonts w:hint="eastAsia" w:ascii="宋体" w:hAnsi="宋体" w:eastAsia="宋体" w:cs="宋体"/>
                <w:color w:val="000000"/>
              </w:rPr>
            </w:pPr>
          </w:p>
          <w:p w14:paraId="23358C3F">
            <w:pPr>
              <w:pStyle w:val="20"/>
              <w:snapToGrid w:val="0"/>
              <w:ind w:left="557" w:right="79"/>
              <w:jc w:val="both"/>
              <w:rPr>
                <w:rFonts w:hint="eastAsia" w:ascii="宋体" w:hAnsi="宋体" w:eastAsia="宋体" w:cs="宋体"/>
                <w:color w:val="000000"/>
              </w:rPr>
            </w:pPr>
            <w:r>
              <w:rPr>
                <w:rFonts w:hint="eastAsia" w:ascii="宋体" w:hAnsi="宋体" w:eastAsia="宋体" w:cs="宋体"/>
                <w:color w:val="000000"/>
              </w:rPr>
              <w:t>田锦城（项目负责人） ：</w:t>
            </w:r>
          </w:p>
          <w:p w14:paraId="58521A23">
            <w:pPr>
              <w:pStyle w:val="20"/>
              <w:snapToGrid w:val="0"/>
              <w:ind w:left="557" w:right="79"/>
              <w:jc w:val="both"/>
              <w:rPr>
                <w:rFonts w:hint="eastAsia" w:ascii="宋体" w:hAnsi="宋体" w:eastAsia="宋体" w:cs="宋体"/>
                <w:color w:val="000000"/>
              </w:rPr>
            </w:pPr>
            <w:r>
              <w:rPr>
                <w:rFonts w:hint="eastAsia" w:ascii="宋体" w:hAnsi="宋体" w:eastAsia="宋体" w:cs="宋体"/>
                <w:color w:val="000000"/>
              </w:rPr>
              <w:t>统筹管理：负责项目的整体进度控管与资源协调，确保各研究阶段按计划推进 。</w:t>
            </w:r>
          </w:p>
          <w:p w14:paraId="60C194F8">
            <w:pPr>
              <w:pStyle w:val="20"/>
              <w:snapToGrid w:val="0"/>
              <w:ind w:left="557" w:right="79"/>
              <w:jc w:val="both"/>
              <w:rPr>
                <w:rFonts w:hint="eastAsia" w:ascii="宋体" w:hAnsi="宋体" w:eastAsia="宋体" w:cs="宋体"/>
                <w:color w:val="000000"/>
              </w:rPr>
            </w:pPr>
            <w:r>
              <w:rPr>
                <w:rFonts w:hint="eastAsia" w:ascii="宋体" w:hAnsi="宋体" w:eastAsia="宋体" w:cs="宋体"/>
                <w:color w:val="000000"/>
              </w:rPr>
              <w:t>模型搭建与优化：负责机器学习预测模型的具体构筑，对比评估了多种算法在电导率预测上的表现 。</w:t>
            </w:r>
          </w:p>
          <w:p w14:paraId="7D7CC947">
            <w:pPr>
              <w:pStyle w:val="20"/>
              <w:snapToGrid w:val="0"/>
              <w:ind w:left="557" w:right="79"/>
              <w:jc w:val="both"/>
              <w:rPr>
                <w:rFonts w:hint="eastAsia" w:ascii="宋体" w:hAnsi="宋体" w:eastAsia="宋体" w:cs="宋体"/>
                <w:color w:val="000000"/>
              </w:rPr>
            </w:pPr>
            <w:r>
              <w:rPr>
                <w:rFonts w:hint="eastAsia" w:ascii="宋体" w:hAnsi="宋体" w:eastAsia="宋体" w:cs="宋体"/>
                <w:color w:val="000000"/>
              </w:rPr>
              <w:t>成果整合：负责对各成员产出的数据、模型结果进行深度分析，主持结题报告的撰写。</w:t>
            </w:r>
          </w:p>
          <w:p w14:paraId="3742AB2B">
            <w:pPr>
              <w:pStyle w:val="20"/>
              <w:snapToGrid w:val="0"/>
              <w:ind w:right="79"/>
              <w:jc w:val="both"/>
              <w:rPr>
                <w:rFonts w:hint="eastAsia" w:ascii="宋体" w:hAnsi="宋体" w:eastAsia="宋体" w:cs="宋体"/>
                <w:color w:val="000000"/>
              </w:rPr>
            </w:pPr>
          </w:p>
          <w:p w14:paraId="13AD6C90">
            <w:pPr>
              <w:pStyle w:val="20"/>
              <w:snapToGrid w:val="0"/>
              <w:ind w:left="557" w:right="79"/>
              <w:jc w:val="both"/>
              <w:rPr>
                <w:rFonts w:hint="eastAsia" w:ascii="宋体" w:hAnsi="宋体" w:eastAsia="宋体" w:cs="宋体"/>
                <w:color w:val="000000"/>
              </w:rPr>
            </w:pPr>
            <w:r>
              <w:rPr>
                <w:rFonts w:hint="eastAsia" w:ascii="宋体" w:hAnsi="宋体" w:eastAsia="宋体" w:cs="宋体"/>
                <w:color w:val="000000"/>
              </w:rPr>
              <w:t>杨锋（核心成员） ：</w:t>
            </w:r>
          </w:p>
          <w:p w14:paraId="7F2A7EEA">
            <w:pPr>
              <w:pStyle w:val="20"/>
              <w:snapToGrid w:val="0"/>
              <w:ind w:left="557" w:right="79"/>
              <w:jc w:val="both"/>
              <w:rPr>
                <w:rFonts w:hint="eastAsia" w:ascii="宋体" w:hAnsi="宋体" w:eastAsia="宋体" w:cs="宋体"/>
                <w:color w:val="000000"/>
              </w:rPr>
            </w:pPr>
            <w:r>
              <w:rPr>
                <w:rFonts w:hint="eastAsia" w:ascii="宋体" w:hAnsi="宋体" w:eastAsia="宋体" w:cs="宋体"/>
                <w:color w:val="000000"/>
              </w:rPr>
              <w:t>深度数据挖掘：查阅国内外锂离子有机电解液特征数据库，寻找可信的有机电解液电导率实验文献。</w:t>
            </w:r>
          </w:p>
          <w:p w14:paraId="1C53D677">
            <w:pPr>
              <w:pStyle w:val="20"/>
              <w:snapToGrid w:val="0"/>
              <w:ind w:left="557" w:right="79"/>
              <w:jc w:val="both"/>
              <w:rPr>
                <w:rFonts w:hint="eastAsia" w:ascii="宋体" w:hAnsi="宋体" w:eastAsia="宋体" w:cs="宋体"/>
                <w:color w:val="000000"/>
              </w:rPr>
            </w:pPr>
            <w:r>
              <w:rPr>
                <w:rFonts w:hint="eastAsia" w:ascii="宋体" w:hAnsi="宋体" w:eastAsia="宋体" w:cs="宋体"/>
                <w:color w:val="000000"/>
              </w:rPr>
              <w:t>文献计量分析：从文献与数据库中提取关键特征参数，负责实验数据的清洗、去重处理。</w:t>
            </w:r>
          </w:p>
          <w:p w14:paraId="575745A8">
            <w:pPr>
              <w:pStyle w:val="20"/>
              <w:snapToGrid w:val="0"/>
              <w:ind w:left="557" w:right="79"/>
              <w:jc w:val="both"/>
              <w:rPr>
                <w:rFonts w:hint="eastAsia" w:ascii="宋体" w:hAnsi="宋体" w:eastAsia="宋体" w:cs="宋体"/>
                <w:color w:val="000000"/>
              </w:rPr>
            </w:pPr>
            <w:r>
              <w:rPr>
                <w:rFonts w:hint="eastAsia" w:ascii="宋体" w:hAnsi="宋体" w:eastAsia="宋体" w:cs="宋体"/>
                <w:color w:val="000000"/>
              </w:rPr>
              <w:t>特征工程：利用RDKit等工具进行分子指纹提取，将化学结构转化为机器学习可识别的向量 。</w:t>
            </w:r>
          </w:p>
          <w:p w14:paraId="4A18213C">
            <w:pPr>
              <w:pStyle w:val="20"/>
              <w:snapToGrid w:val="0"/>
              <w:ind w:right="79"/>
              <w:jc w:val="both"/>
              <w:rPr>
                <w:rFonts w:hint="eastAsia" w:ascii="宋体" w:hAnsi="宋体" w:eastAsia="宋体" w:cs="宋体"/>
                <w:color w:val="000000"/>
              </w:rPr>
            </w:pPr>
          </w:p>
          <w:p w14:paraId="1ABFE785">
            <w:pPr>
              <w:pStyle w:val="20"/>
              <w:snapToGrid w:val="0"/>
              <w:ind w:left="557" w:right="79"/>
              <w:jc w:val="both"/>
              <w:rPr>
                <w:rFonts w:hint="eastAsia" w:ascii="宋体" w:hAnsi="宋体" w:eastAsia="宋体" w:cs="宋体"/>
                <w:color w:val="000000"/>
              </w:rPr>
            </w:pPr>
            <w:r>
              <w:rPr>
                <w:rFonts w:hint="eastAsia" w:ascii="宋体" w:hAnsi="宋体" w:eastAsia="宋体" w:cs="宋体"/>
                <w:color w:val="000000"/>
              </w:rPr>
              <w:t>赵桓（核心成员） ：</w:t>
            </w:r>
          </w:p>
          <w:p w14:paraId="4F21A24C">
            <w:pPr>
              <w:pStyle w:val="20"/>
              <w:snapToGrid w:val="0"/>
              <w:ind w:left="557" w:right="79"/>
              <w:jc w:val="both"/>
              <w:rPr>
                <w:rFonts w:hint="eastAsia" w:ascii="宋体" w:hAnsi="宋体" w:eastAsia="宋体" w:cs="宋体"/>
                <w:color w:val="000000"/>
              </w:rPr>
            </w:pPr>
            <w:r>
              <w:rPr>
                <w:rFonts w:hint="eastAsia" w:ascii="宋体" w:hAnsi="宋体" w:eastAsia="宋体" w:cs="宋体"/>
                <w:color w:val="000000"/>
              </w:rPr>
              <w:t>分子动力学模拟:初步探索分子动力学模拟在电导率计算方面的应用，进行过</w:t>
            </w:r>
            <w:r>
              <w:rPr>
                <w:rFonts w:hint="eastAsia" w:ascii="宋体" w:hAnsi="宋体" w:eastAsia="宋体" w:cs="宋体"/>
              </w:rPr>
              <w:t>多种计算工具探索与学习。</w:t>
            </w:r>
          </w:p>
          <w:p w14:paraId="585C144D">
            <w:pPr>
              <w:pStyle w:val="20"/>
              <w:snapToGrid w:val="0"/>
              <w:ind w:left="557" w:right="79"/>
              <w:jc w:val="both"/>
              <w:rPr>
                <w:rFonts w:hint="eastAsia" w:ascii="宋体" w:hAnsi="宋体" w:eastAsia="宋体" w:cs="宋体"/>
                <w:color w:val="000000"/>
              </w:rPr>
            </w:pPr>
            <w:r>
              <w:rPr>
                <w:rFonts w:hint="eastAsia" w:ascii="宋体" w:hAnsi="宋体" w:eastAsia="宋体" w:cs="宋体"/>
                <w:color w:val="000000"/>
              </w:rPr>
              <w:t>特征透明化分析：针对实验数据的电解液类型，使用分子指纹对其进行表示，并通过聚类映射到二维平面，使模型输入数据性质透明化。</w:t>
            </w:r>
          </w:p>
          <w:p w14:paraId="5F83ADE1">
            <w:pPr>
              <w:pStyle w:val="20"/>
              <w:snapToGrid w:val="0"/>
              <w:ind w:left="557" w:right="79"/>
              <w:jc w:val="both"/>
              <w:rPr>
                <w:rFonts w:hint="eastAsia" w:ascii="宋体" w:hAnsi="宋体" w:eastAsia="宋体" w:cs="宋体"/>
                <w:color w:val="000000"/>
              </w:rPr>
            </w:pPr>
          </w:p>
          <w:p w14:paraId="59B27DC2">
            <w:pPr>
              <w:pStyle w:val="20"/>
              <w:snapToGrid w:val="0"/>
              <w:ind w:left="557" w:right="79"/>
              <w:jc w:val="both"/>
              <w:rPr>
                <w:rFonts w:hint="eastAsia" w:ascii="宋体" w:hAnsi="宋体" w:eastAsia="宋体" w:cs="宋体"/>
                <w:color w:val="000000"/>
              </w:rPr>
            </w:pPr>
            <w:r>
              <w:rPr>
                <w:rFonts w:hint="eastAsia" w:ascii="宋体" w:hAnsi="宋体" w:eastAsia="宋体" w:cs="宋体"/>
                <w:color w:val="000000"/>
              </w:rPr>
              <w:t>3.3 合作成效</w:t>
            </w:r>
          </w:p>
          <w:p w14:paraId="2F8F6055">
            <w:pPr>
              <w:pStyle w:val="20"/>
              <w:snapToGrid w:val="0"/>
              <w:ind w:left="557" w:right="79"/>
              <w:jc w:val="both"/>
              <w:rPr>
                <w:rFonts w:hint="eastAsia" w:ascii="宋体" w:hAnsi="宋体" w:eastAsia="宋体" w:cs="宋体"/>
                <w:color w:val="000000"/>
              </w:rPr>
            </w:pPr>
            <w:r>
              <w:rPr>
                <w:rFonts w:hint="eastAsia" w:ascii="宋体" w:hAnsi="宋体" w:eastAsia="宋体" w:cs="宋体"/>
                <w:color w:val="000000"/>
              </w:rPr>
              <w:t>通过团队的紧密协作，本项目成功构建了基于实验数据的预测路径。成员间通过共享文献库和代码版本管理，实现了研究效率的最大化，最终按时完成了模型评估与结题总结工作。</w:t>
            </w:r>
          </w:p>
          <w:p w14:paraId="2A6F6317">
            <w:pPr>
              <w:pStyle w:val="20"/>
              <w:snapToGrid w:val="0"/>
              <w:ind w:left="557" w:right="79"/>
              <w:jc w:val="both"/>
              <w:rPr>
                <w:rFonts w:hint="eastAsia" w:ascii="宋体" w:hAnsi="宋体" w:eastAsia="宋体" w:cs="宋体"/>
                <w:color w:val="000000"/>
              </w:rPr>
            </w:pPr>
          </w:p>
          <w:p w14:paraId="0E392467">
            <w:pPr>
              <w:pStyle w:val="22"/>
              <w:snapToGrid w:val="0"/>
              <w:spacing w:line="540" w:lineRule="atLeast"/>
              <w:ind w:left="80" w:right="80" w:firstLine="480"/>
              <w:rPr>
                <w:rFonts w:hint="eastAsia" w:ascii="宋体" w:hAnsi="宋体" w:eastAsia="宋体" w:cs="宋体"/>
                <w:b/>
                <w:bCs/>
                <w:color w:val="000000"/>
                <w:spacing w:val="11"/>
                <w:lang w:val="en-US" w:bidi="ar-SA"/>
              </w:rPr>
            </w:pPr>
            <w:r>
              <w:rPr>
                <w:rFonts w:hint="eastAsia" w:ascii="宋体" w:hAnsi="宋体" w:eastAsia="宋体" w:cs="宋体"/>
                <w:b/>
                <w:bCs/>
                <w:color w:val="000000"/>
                <w:spacing w:val="11"/>
                <w:lang w:val="en-US" w:eastAsia="zh-CN" w:bidi="ar-SA"/>
              </w:rPr>
              <w:t xml:space="preserve">成果简述（项目成果主要内容、重要观点或对策建议、论文发表、竞赛获奖、专利/著作权、实物制作、注册公司、孵化器入孵等情况。成果可简要阐述，详细信息可前往成果管理菜单下进行提交）（必填）： </w:t>
            </w:r>
          </w:p>
          <w:p w14:paraId="41363BFD">
            <w:pPr>
              <w:pStyle w:val="20"/>
              <w:snapToGrid w:val="0"/>
              <w:ind w:left="557" w:right="79" w:firstLine="524" w:firstLineChars="200"/>
              <w:jc w:val="both"/>
              <w:rPr>
                <w:rFonts w:hint="eastAsia" w:ascii="宋体" w:hAnsi="宋体" w:eastAsia="宋体" w:cs="宋体"/>
                <w:color w:val="000000"/>
              </w:rPr>
            </w:pPr>
            <w:r>
              <w:rPr>
                <w:rFonts w:hint="eastAsia" w:ascii="宋体" w:hAnsi="宋体" w:eastAsia="宋体" w:cs="宋体"/>
                <w:color w:val="000000"/>
              </w:rPr>
              <w:t>项目构建了基于 Attention 机制的深度神经网络(Attention-DNN)，能够轻量快速地实现对锂离子混合有机物电解液电导率的预测。并对其实现了 100 个随机种子探索分析体系，筛选出了性能最优且最稳健的模型参数(R</w:t>
            </w:r>
            <w:r>
              <w:rPr>
                <w:rFonts w:hint="eastAsia" w:ascii="宋体" w:hAnsi="宋体" w:eastAsia="宋体" w:cs="宋体"/>
                <w:color w:val="000000"/>
                <w:vertAlign w:val="superscript"/>
              </w:rPr>
              <w:t>2</w:t>
            </w:r>
            <w:r>
              <w:rPr>
                <w:rFonts w:hint="eastAsia" w:ascii="宋体" w:hAnsi="宋体" w:eastAsia="宋体" w:cs="宋体"/>
                <w:color w:val="000000"/>
              </w:rPr>
              <w:t xml:space="preserve"> = 0.9583)，有效提升了预测结果的可信度。</w:t>
            </w:r>
          </w:p>
          <w:p w14:paraId="41943E54">
            <w:pPr>
              <w:pStyle w:val="20"/>
              <w:snapToGrid w:val="0"/>
              <w:ind w:left="557" w:right="79" w:firstLine="524" w:firstLineChars="200"/>
              <w:jc w:val="both"/>
              <w:rPr>
                <w:rFonts w:hint="default" w:ascii="宋体" w:hAnsi="宋体" w:eastAsia="宋体" w:cs="宋体"/>
                <w:color w:val="000000"/>
                <w:lang w:val="en-US" w:eastAsia="zh-CN"/>
              </w:rPr>
            </w:pPr>
            <w:r>
              <w:rPr>
                <w:rFonts w:hint="eastAsia" w:ascii="宋体" w:hAnsi="宋体" w:eastAsia="宋体" w:cs="宋体"/>
                <w:color w:val="000000"/>
                <w:lang w:val="en-US" w:eastAsia="zh-CN"/>
              </w:rPr>
              <w:t>模型与研发代码已公开至GitHub平台：https://github.com/supinhan/pythonProject3.git</w:t>
            </w:r>
          </w:p>
          <w:p w14:paraId="58A83811">
            <w:pPr>
              <w:pStyle w:val="20"/>
              <w:snapToGrid w:val="0"/>
              <w:ind w:left="557" w:right="79" w:firstLine="524" w:firstLineChars="200"/>
              <w:jc w:val="both"/>
              <w:rPr>
                <w:rFonts w:hint="eastAsia" w:ascii="宋体" w:hAnsi="宋体" w:eastAsia="宋体" w:cs="宋体"/>
                <w:color w:val="000000"/>
              </w:rPr>
            </w:pPr>
          </w:p>
          <w:p w14:paraId="487BD83D">
            <w:pPr>
              <w:pStyle w:val="22"/>
              <w:snapToGrid w:val="0"/>
              <w:spacing w:line="540" w:lineRule="atLeast"/>
              <w:ind w:firstLine="480"/>
              <w:rPr>
                <w:rFonts w:hint="eastAsia" w:ascii="宋体" w:hAnsi="宋体" w:eastAsia="宋体" w:cs="宋体"/>
                <w:color w:val="000000"/>
                <w:sz w:val="20"/>
                <w:szCs w:val="20"/>
                <w:lang w:val="en-US" w:eastAsia="zh-CN" w:bidi="ar-SA"/>
              </w:rPr>
            </w:pPr>
            <w:r>
              <w:rPr>
                <w:rFonts w:hint="eastAsia" w:ascii="宋体" w:hAnsi="宋体" w:eastAsia="宋体" w:cs="宋体"/>
                <w:b/>
                <w:bCs/>
                <w:color w:val="000000"/>
                <w:spacing w:val="11"/>
                <w:lang w:val="en-US" w:eastAsia="zh-CN" w:bidi="ar-SA"/>
              </w:rPr>
              <w:t>3）研究总结报告（必填）</w:t>
            </w:r>
          </w:p>
          <w:p w14:paraId="522383DC">
            <w:pPr>
              <w:pStyle w:val="22"/>
              <w:snapToGrid w:val="0"/>
              <w:spacing w:line="540" w:lineRule="atLeast"/>
              <w:ind w:left="80" w:right="80" w:firstLine="480"/>
              <w:rPr>
                <w:rFonts w:hint="eastAsia" w:ascii="宋体" w:hAnsi="宋体" w:eastAsia="宋体" w:cs="宋体"/>
                <w:b/>
                <w:bCs/>
                <w:color w:val="000000"/>
                <w:spacing w:val="11"/>
                <w:lang w:val="en-US" w:eastAsia="zh-CN" w:bidi="ar-SA"/>
              </w:rPr>
            </w:pPr>
            <w:r>
              <w:rPr>
                <w:rFonts w:hint="eastAsia" w:ascii="宋体" w:hAnsi="宋体" w:eastAsia="宋体" w:cs="宋体"/>
                <w:b/>
                <w:bCs/>
                <w:color w:val="000000"/>
                <w:spacing w:val="11"/>
                <w:lang w:val="en-US" w:eastAsia="zh-CN" w:bidi="ar-SA"/>
              </w:rPr>
              <w:t xml:space="preserve">预定计划执行情况，项目研究和实践情况： </w:t>
            </w:r>
          </w:p>
          <w:p w14:paraId="378677BF">
            <w:pPr>
              <w:pStyle w:val="22"/>
              <w:snapToGrid w:val="0"/>
              <w:spacing w:after="120" w:afterLines="50" w:line="360" w:lineRule="auto"/>
              <w:rPr>
                <w:rFonts w:hint="eastAsia" w:ascii="宋体" w:hAnsi="宋体" w:eastAsia="宋体" w:cs="宋体"/>
                <w:b/>
                <w:bCs/>
                <w:color w:val="000000"/>
                <w:spacing w:val="11"/>
              </w:rPr>
            </w:pPr>
            <w:r>
              <w:rPr>
                <w:rFonts w:hint="eastAsia" w:ascii="宋体" w:hAnsi="宋体" w:cs="宋体"/>
                <w:b/>
                <w:bCs/>
                <w:color w:val="000000"/>
                <w:spacing w:val="11"/>
                <w:lang w:val="en-US" w:eastAsia="zh-CN"/>
              </w:rPr>
              <w:t>1</w:t>
            </w:r>
            <w:commentRangeStart w:id="1"/>
            <w:r>
              <w:rPr>
                <w:rFonts w:hint="eastAsia" w:ascii="宋体" w:hAnsi="宋体" w:eastAsia="宋体" w:cs="宋体"/>
                <w:b/>
                <w:bCs/>
                <w:color w:val="000000"/>
                <w:spacing w:val="11"/>
              </w:rPr>
              <w:t>前言</w:t>
            </w:r>
            <w:commentRangeEnd w:id="1"/>
            <w:r>
              <w:rPr>
                <w:rStyle w:val="17"/>
                <w:rFonts w:hint="eastAsia" w:ascii="宋体" w:hAnsi="宋体" w:eastAsia="宋体" w:cs="宋体"/>
              </w:rPr>
              <w:commentReference w:id="1"/>
            </w:r>
          </w:p>
          <w:p w14:paraId="3CACB8A6">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本项目立项时预定按目前学术界常见的四步进行模型搭建：1，文献阅读与数据集抓取 2，分子动力学模拟补充数据 3，机器学习与模型搭建 4数据可视化与模型应用。（参考可见以下示例</w:t>
            </w:r>
            <w:r>
              <w:rPr>
                <w:rFonts w:hint="eastAsia" w:ascii="宋体" w:hAnsi="宋体" w:cs="宋体"/>
                <w:color w:val="000000"/>
                <w:spacing w:val="11"/>
                <w:lang w:eastAsia="zh-CN"/>
              </w:rPr>
              <w:t>图1</w:t>
            </w:r>
            <w:r>
              <w:rPr>
                <w:rFonts w:hint="eastAsia" w:ascii="宋体" w:hAnsi="宋体" w:eastAsia="宋体" w:cs="宋体"/>
                <w:color w:val="000000"/>
                <w:spacing w:val="11"/>
              </w:rPr>
              <w:t>-1）需额外说明的是，这些步骤并非线性进行的，而是同步开展，故可能会提前出现还未讲到的内容。</w:t>
            </w:r>
          </w:p>
          <w:p w14:paraId="49347F1D">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在实际研究中，发现分子动力学在电导率计算方面尚不成熟，计算时间长且数据质量不高，数据置信度在机器学习方面需要新课题研究。于是转变思路，将其改为特征工程的透明化分析，并成功取得进展。</w:t>
            </w:r>
          </w:p>
          <w:p w14:paraId="7DFD47F5">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项目组按部就班，依次攻克现存公开数据库数据量不足、数据单位不齐、模型适用范围小等问题，成功得到模型，并进行模型的优化。</w:t>
            </w:r>
          </w:p>
          <w:p w14:paraId="78BE8CB1">
            <w:pPr>
              <w:pStyle w:val="22"/>
              <w:snapToGrid w:val="0"/>
              <w:spacing w:after="120" w:afterLines="50" w:line="360" w:lineRule="auto"/>
              <w:ind w:firstLine="480" w:firstLineChars="200"/>
              <w:jc w:val="both"/>
              <w:rPr>
                <w:rFonts w:hint="eastAsia" w:ascii="宋体" w:hAnsi="宋体" w:eastAsia="宋体" w:cs="宋体"/>
              </w:rPr>
            </w:pPr>
            <w:r>
              <w:rPr>
                <w:rFonts w:hint="eastAsia" w:ascii="宋体" w:hAnsi="宋体" w:eastAsia="宋体" w:cs="宋体"/>
              </w:rPr>
              <w:pict>
                <v:shape id="_x0000_i1025" o:spt="75" alt="IMG_256" type="#_x0000_t75" style="height:209.95pt;width:362.65pt;" filled="f" o:preferrelative="t" stroked="f" coordsize="21600,21600">
                  <v:path/>
                  <v:fill on="f" focussize="0,0"/>
                  <v:stroke on="f" joinstyle="miter"/>
                  <v:imagedata r:id="rId6" o:title="IMG_256"/>
                  <o:lock v:ext="edit" aspectratio="t"/>
                  <w10:wrap type="none"/>
                  <w10:anchorlock/>
                </v:shape>
              </w:pict>
            </w:r>
          </w:p>
          <w:p w14:paraId="41286AE5">
            <w:pPr>
              <w:pStyle w:val="22"/>
              <w:snapToGrid w:val="0"/>
              <w:spacing w:after="120" w:afterLines="50" w:line="360" w:lineRule="auto"/>
              <w:ind w:firstLine="524" w:firstLineChars="200"/>
              <w:jc w:val="center"/>
              <w:rPr>
                <w:rFonts w:hint="eastAsia" w:ascii="宋体" w:hAnsi="宋体" w:eastAsia="宋体" w:cs="宋体"/>
                <w:sz w:val="22"/>
                <w:szCs w:val="22"/>
              </w:rPr>
            </w:pPr>
            <w:r>
              <w:rPr>
                <w:rFonts w:hint="eastAsia" w:ascii="宋体" w:hAnsi="宋体" w:cs="宋体"/>
                <w:color w:val="000000"/>
                <w:spacing w:val="11"/>
                <w:lang w:eastAsia="zh-CN"/>
              </w:rPr>
              <w:t>图1</w:t>
            </w:r>
            <w:r>
              <w:rPr>
                <w:rFonts w:hint="eastAsia" w:ascii="宋体" w:hAnsi="宋体" w:eastAsia="宋体" w:cs="宋体"/>
                <w:color w:val="000000"/>
                <w:spacing w:val="11"/>
              </w:rPr>
              <w:t xml:space="preserve">.1 </w:t>
            </w:r>
            <w:r>
              <w:rPr>
                <w:rFonts w:hint="eastAsia" w:ascii="宋体" w:hAnsi="宋体" w:eastAsia="宋体" w:cs="宋体"/>
                <w:sz w:val="22"/>
                <w:szCs w:val="22"/>
              </w:rPr>
              <w:t>示例：电化学储能高通量计算平台</w:t>
            </w:r>
          </w:p>
          <w:p w14:paraId="4699B220">
            <w:pPr>
              <w:pStyle w:val="22"/>
              <w:snapToGrid w:val="0"/>
              <w:spacing w:after="120" w:afterLines="50" w:line="360" w:lineRule="auto"/>
              <w:ind w:firstLine="320" w:firstLineChars="200"/>
              <w:jc w:val="center"/>
              <w:rPr>
                <w:rFonts w:hint="eastAsia" w:ascii="宋体" w:hAnsi="宋体" w:eastAsia="宋体" w:cs="宋体"/>
                <w:sz w:val="16"/>
                <w:szCs w:val="16"/>
              </w:rPr>
            </w:pPr>
            <w:r>
              <w:rPr>
                <w:rFonts w:hint="eastAsia" w:ascii="宋体" w:hAnsi="宋体" w:eastAsia="宋体" w:cs="宋体"/>
                <w:sz w:val="16"/>
                <w:szCs w:val="16"/>
              </w:rPr>
              <w:t>Reprinted with permission from SHI Siqi, Applying data-driven machine learning to studying electrochemical energy storage materials, 2022-01-31.</w:t>
            </w:r>
          </w:p>
          <w:p w14:paraId="115354C9">
            <w:pPr>
              <w:pStyle w:val="20"/>
              <w:snapToGrid w:val="0"/>
              <w:spacing w:after="120" w:afterLines="50" w:line="360" w:lineRule="auto"/>
              <w:jc w:val="both"/>
              <w:rPr>
                <w:rFonts w:hint="eastAsia" w:ascii="宋体" w:hAnsi="宋体" w:eastAsia="宋体" w:cs="宋体"/>
                <w:b/>
                <w:bCs/>
                <w:color w:val="000000"/>
              </w:rPr>
            </w:pPr>
            <w:r>
              <w:rPr>
                <w:rFonts w:hint="eastAsia" w:ascii="宋体" w:hAnsi="宋体" w:eastAsia="宋体" w:cs="宋体"/>
                <w:b/>
                <w:bCs/>
                <w:color w:val="000000"/>
                <w:lang w:val="en-US" w:eastAsia="zh-CN"/>
              </w:rPr>
              <w:t>2</w:t>
            </w:r>
            <w:r>
              <w:rPr>
                <w:rFonts w:hint="eastAsia" w:ascii="宋体" w:hAnsi="宋体" w:eastAsia="宋体" w:cs="宋体"/>
                <w:b/>
                <w:bCs/>
                <w:color w:val="000000"/>
              </w:rPr>
              <w:t>.数据集构建</w:t>
            </w:r>
          </w:p>
          <w:p w14:paraId="44E870B8">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在文献阅读以及商讨后，项目组广泛搜寻公开文献与数据库的有机物电解液数据，在Google Scholar，ACS等网站进行限定词语搜索与查找，对于论文中的图片使用WebPlotDigitizer进行自动提取。同时唯一找到CALiSol-23这一免费开源数据集。</w:t>
            </w:r>
          </w:p>
          <w:p w14:paraId="24392A8C">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在数据清洗中，去除掉电导率不存在、多项特征为NaN或NA的数据后，对salt、溶剂分类、溶剂浓度单位进行one-hot编码，保证了数据的数值化。同时保留了难转换的溶剂混合比例单位，将电导率单位统一为ms*cm</w:t>
            </w:r>
            <w:r>
              <w:rPr>
                <w:rFonts w:hint="eastAsia" w:ascii="宋体" w:hAnsi="宋体" w:eastAsia="宋体" w:cs="宋体"/>
                <w:color w:val="000000"/>
                <w:spacing w:val="11"/>
                <w:vertAlign w:val="superscript"/>
              </w:rPr>
              <w:t>-1</w:t>
            </w:r>
            <w:r>
              <w:rPr>
                <w:rFonts w:hint="eastAsia" w:ascii="宋体" w:hAnsi="宋体" w:eastAsia="宋体" w:cs="宋体"/>
                <w:color w:val="000000"/>
                <w:spacing w:val="11"/>
              </w:rPr>
              <w:t>。</w:t>
            </w:r>
          </w:p>
          <w:p w14:paraId="4021FF52">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在对特征数据进行清洗时，针对温度添加了多项式特征，去除掉了多项为0的数据，并通过随机森林特征分析去除掉重要性小于0.05的特征，使特征数从85减少至63。</w:t>
            </w:r>
          </w:p>
          <w:p w14:paraId="734CCB0C">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针对混合溶剂的特征数据，采用了加权和求值计算，其中权重为每种组分的比例分数。这种方法虽然忽略非理想混合效应，但面对种类繁多的有机物，可以满足部分特征的计算，保留簇类倾向，是目前在没有知识驱动的情况下的最优解。</w:t>
            </w:r>
          </w:p>
          <w:p w14:paraId="64167887">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最终得到记录13302条电导率与其对应的63种特征的数据，将其记录为csv文件矩阵形式存放。</w:t>
            </w:r>
          </w:p>
          <w:p w14:paraId="4D1AC5E8">
            <w:pPr>
              <w:pStyle w:val="20"/>
              <w:snapToGrid w:val="0"/>
              <w:spacing w:after="120" w:afterLines="50" w:line="360" w:lineRule="auto"/>
              <w:jc w:val="center"/>
              <w:rPr>
                <w:rFonts w:hint="eastAsia" w:ascii="宋体" w:hAnsi="宋体" w:eastAsia="宋体" w:cs="宋体"/>
                <w:color w:val="000000"/>
              </w:rPr>
            </w:pPr>
            <w:r>
              <w:rPr>
                <w:rFonts w:hint="eastAsia" w:ascii="宋体" w:hAnsi="宋体" w:eastAsia="宋体" w:cs="宋体"/>
                <w:color w:val="000000"/>
              </w:rPr>
              <w:pict>
                <v:shape id="_x0000_i1026" o:spt="75" alt="target_distribution" type="#_x0000_t75" style="height:174.7pt;width:291.05pt;" filled="f" o:preferrelative="t" stroked="f" coordsize="21600,21600">
                  <v:path/>
                  <v:fill on="f" focussize="0,0"/>
                  <v:stroke on="f" joinstyle="miter"/>
                  <v:imagedata r:id="rId7" o:title="target_distribution"/>
                  <o:lock v:ext="edit" aspectratio="t"/>
                  <w10:wrap type="none"/>
                  <w10:anchorlock/>
                </v:shape>
              </w:pict>
            </w:r>
          </w:p>
          <w:p w14:paraId="17274095">
            <w:pPr>
              <w:pStyle w:val="20"/>
              <w:snapToGrid w:val="0"/>
              <w:spacing w:after="120" w:afterLines="50" w:line="360" w:lineRule="auto"/>
              <w:jc w:val="center"/>
              <w:rPr>
                <w:rFonts w:hint="eastAsia" w:ascii="宋体" w:hAnsi="宋体" w:eastAsia="宋体" w:cs="宋体"/>
                <w:color w:val="000000"/>
              </w:rPr>
            </w:pPr>
            <w:r>
              <w:rPr>
                <w:rFonts w:hint="eastAsia" w:ascii="宋体" w:hAnsi="宋体" w:eastAsia="宋体" w:cs="宋体"/>
                <w:color w:val="000000"/>
                <w:lang w:eastAsia="zh-CN"/>
              </w:rPr>
              <w:t>图2</w:t>
            </w:r>
            <w:r>
              <w:rPr>
                <w:rFonts w:hint="eastAsia" w:ascii="宋体" w:hAnsi="宋体" w:eastAsia="宋体" w:cs="宋体"/>
                <w:color w:val="000000"/>
              </w:rPr>
              <w:t>.1数据的电导率分布图</w:t>
            </w:r>
          </w:p>
          <w:p w14:paraId="57E54BCD">
            <w:pPr>
              <w:pStyle w:val="20"/>
              <w:tabs>
                <w:tab w:val="right" w:pos="8640"/>
              </w:tabs>
              <w:snapToGrid w:val="0"/>
              <w:spacing w:after="120" w:afterLines="50" w:line="360" w:lineRule="auto"/>
              <w:jc w:val="center"/>
              <w:rPr>
                <w:rFonts w:hint="eastAsia" w:ascii="宋体" w:hAnsi="宋体" w:eastAsia="宋体" w:cs="宋体"/>
                <w:color w:val="000000"/>
              </w:rPr>
            </w:pPr>
            <w:r>
              <w:rPr>
                <w:rFonts w:hint="eastAsia" w:ascii="宋体" w:hAnsi="宋体" w:eastAsia="宋体" w:cs="宋体"/>
              </w:rPr>
              <w:pict>
                <v:shape id="_x0000_i1027" o:spt="75" type="#_x0000_t75" style="height:173.2pt;width:292.55pt;" filled="f" o:preferrelative="t" stroked="f" coordsize="21600,21600">
                  <v:path/>
                  <v:fill on="f" focussize="0,0"/>
                  <v:stroke on="f" joinstyle="miter"/>
                  <v:imagedata r:id="rId8" o:title=""/>
                  <o:lock v:ext="edit" aspectratio="t"/>
                  <w10:wrap type="none"/>
                  <w10:anchorlock/>
                </v:shape>
              </w:pict>
            </w:r>
          </w:p>
          <w:p w14:paraId="1299CFBE">
            <w:pPr>
              <w:pStyle w:val="20"/>
              <w:snapToGrid w:val="0"/>
              <w:spacing w:after="120" w:afterLines="50" w:line="360" w:lineRule="auto"/>
              <w:jc w:val="center"/>
              <w:rPr>
                <w:rFonts w:hint="eastAsia" w:ascii="宋体" w:hAnsi="宋体" w:eastAsia="宋体" w:cs="宋体"/>
                <w:color w:val="000000"/>
              </w:rPr>
            </w:pPr>
            <w:r>
              <w:rPr>
                <w:rFonts w:hint="eastAsia" w:ascii="宋体" w:hAnsi="宋体" w:eastAsia="宋体" w:cs="宋体"/>
                <w:color w:val="000000"/>
                <w:lang w:eastAsia="zh-CN"/>
              </w:rPr>
              <w:t>图2</w:t>
            </w:r>
            <w:r>
              <w:rPr>
                <w:rFonts w:hint="eastAsia" w:ascii="宋体" w:hAnsi="宋体" w:eastAsia="宋体" w:cs="宋体"/>
                <w:color w:val="000000"/>
              </w:rPr>
              <w:t>.2 电导率关于温度的分布</w:t>
            </w:r>
          </w:p>
          <w:p w14:paraId="31C35E74">
            <w:pPr>
              <w:pStyle w:val="20"/>
              <w:snapToGrid w:val="0"/>
              <w:spacing w:after="120" w:afterLines="50" w:line="360" w:lineRule="auto"/>
              <w:jc w:val="center"/>
              <w:rPr>
                <w:rFonts w:hint="eastAsia" w:ascii="宋体" w:hAnsi="宋体" w:eastAsia="宋体" w:cs="宋体"/>
                <w:color w:val="000000"/>
              </w:rPr>
            </w:pPr>
            <w:r>
              <w:rPr>
                <w:rFonts w:hint="eastAsia" w:ascii="宋体" w:hAnsi="宋体" w:eastAsia="宋体" w:cs="宋体"/>
              </w:rPr>
              <w:pict>
                <v:shape id="_x0000_i1028" o:spt="75" type="#_x0000_t75" style="height:139.45pt;width:278.9pt;" filled="f" o:preferrelative="t" stroked="f" coordsize="21600,21600">
                  <v:path/>
                  <v:fill on="f" focussize="0,0"/>
                  <v:stroke on="f" joinstyle="miter"/>
                  <v:imagedata r:id="rId9" o:title=""/>
                  <o:lock v:ext="edit" aspectratio="t"/>
                  <w10:wrap type="none"/>
                  <w10:anchorlock/>
                </v:shape>
              </w:pict>
            </w:r>
          </w:p>
          <w:p w14:paraId="2F0B44FC">
            <w:pPr>
              <w:pStyle w:val="20"/>
              <w:snapToGrid w:val="0"/>
              <w:spacing w:after="120" w:afterLines="50" w:line="360" w:lineRule="auto"/>
              <w:jc w:val="center"/>
              <w:rPr>
                <w:rFonts w:hint="eastAsia" w:ascii="宋体" w:hAnsi="宋体" w:eastAsia="宋体" w:cs="宋体"/>
                <w:color w:val="000000"/>
              </w:rPr>
            </w:pPr>
            <w:r>
              <w:rPr>
                <w:rFonts w:hint="eastAsia" w:ascii="宋体" w:hAnsi="宋体" w:eastAsia="宋体" w:cs="宋体"/>
                <w:color w:val="000000"/>
                <w:lang w:eastAsia="zh-CN"/>
              </w:rPr>
              <w:t>图2</w:t>
            </w:r>
            <w:r>
              <w:rPr>
                <w:rFonts w:hint="eastAsia" w:ascii="宋体" w:hAnsi="宋体" w:eastAsia="宋体" w:cs="宋体"/>
                <w:color w:val="000000"/>
              </w:rPr>
              <w:t>.3 盐种类的分布</w:t>
            </w:r>
          </w:p>
          <w:p w14:paraId="5E623DE7">
            <w:pPr>
              <w:pStyle w:val="20"/>
              <w:snapToGrid w:val="0"/>
              <w:spacing w:after="120" w:afterLines="50" w:line="360" w:lineRule="auto"/>
              <w:jc w:val="center"/>
              <w:rPr>
                <w:rFonts w:hint="eastAsia" w:ascii="宋体" w:hAnsi="宋体" w:eastAsia="宋体" w:cs="宋体"/>
                <w:color w:val="000000"/>
              </w:rPr>
            </w:pPr>
          </w:p>
          <w:p w14:paraId="79EDB642">
            <w:pPr>
              <w:pStyle w:val="22"/>
              <w:snapToGrid w:val="0"/>
              <w:spacing w:after="120" w:afterLines="50" w:line="360" w:lineRule="auto"/>
              <w:ind w:firstLine="524" w:firstLineChars="200"/>
              <w:jc w:val="both"/>
              <w:rPr>
                <w:rFonts w:hint="eastAsia" w:ascii="宋体" w:hAnsi="宋体" w:eastAsia="宋体" w:cs="宋体"/>
                <w:color w:val="000000"/>
                <w:spacing w:val="11"/>
              </w:rPr>
            </w:pPr>
          </w:p>
          <w:p w14:paraId="2F75FF09">
            <w:pPr>
              <w:pStyle w:val="20"/>
              <w:snapToGrid w:val="0"/>
              <w:spacing w:after="120" w:afterLines="50" w:line="360" w:lineRule="auto"/>
              <w:jc w:val="both"/>
              <w:rPr>
                <w:rFonts w:hint="eastAsia" w:ascii="宋体" w:hAnsi="宋体" w:eastAsia="宋体" w:cs="宋体"/>
                <w:b/>
                <w:bCs/>
                <w:color w:val="000000"/>
              </w:rPr>
            </w:pPr>
            <w:r>
              <w:rPr>
                <w:rFonts w:hint="eastAsia" w:ascii="宋体" w:hAnsi="宋体" w:eastAsia="宋体" w:cs="宋体"/>
                <w:b/>
                <w:bCs/>
                <w:color w:val="000000"/>
                <w:lang w:val="en-US" w:eastAsia="zh-CN"/>
              </w:rPr>
              <w:t>3</w:t>
            </w:r>
            <w:r>
              <w:rPr>
                <w:rFonts w:hint="eastAsia" w:ascii="宋体" w:hAnsi="宋体" w:eastAsia="宋体" w:cs="宋体"/>
                <w:b/>
                <w:bCs/>
                <w:color w:val="000000"/>
              </w:rPr>
              <w:t>.分子动力学模拟</w:t>
            </w:r>
          </w:p>
          <w:p w14:paraId="5CC5B5E3">
            <w:pPr>
              <w:pStyle w:val="20"/>
              <w:snapToGrid w:val="0"/>
              <w:spacing w:after="120" w:afterLines="50" w:line="360" w:lineRule="auto"/>
              <w:ind w:firstLine="524" w:firstLineChars="200"/>
              <w:jc w:val="both"/>
              <w:rPr>
                <w:rFonts w:hint="eastAsia" w:ascii="宋体" w:hAnsi="宋体" w:eastAsia="宋体" w:cs="宋体"/>
                <w:color w:val="000000"/>
              </w:rPr>
            </w:pPr>
            <w:r>
              <w:rPr>
                <w:rFonts w:hint="eastAsia" w:ascii="宋体" w:hAnsi="宋体" w:eastAsia="宋体" w:cs="宋体"/>
                <w:color w:val="000000"/>
              </w:rPr>
              <w:t>项目初期使用Materials Studio（MS）调用数据库与使用脚本进行有机物分子建模与溶剂盒子构建。为充分利用超算资源，使用lammps进行分子动力学（MD）计算。但是lammps超算计算需依赖输入文件、data文件、力场文件、运行脚本四类核心文件，而基于 MS 构建的电解质盒子导出data文件步骤繁琐，且关键的力场文件难以从 MS 程序中直接获取，于是只能使用 MS 进行后续计算。但受限于 MS 与云超算的适配性不足，计算效率相对较低，效率与精度不可以兼得，于是经过项目组讨论后，暂且搁置，转向特征工程透明化分析。</w:t>
            </w:r>
          </w:p>
          <w:p w14:paraId="27DFB975">
            <w:pPr>
              <w:pStyle w:val="20"/>
              <w:snapToGrid w:val="0"/>
              <w:spacing w:after="120" w:afterLines="50" w:line="360" w:lineRule="auto"/>
              <w:ind w:firstLine="524" w:firstLineChars="200"/>
              <w:jc w:val="center"/>
              <w:rPr>
                <w:rFonts w:hint="eastAsia" w:ascii="宋体" w:hAnsi="宋体" w:eastAsia="宋体" w:cs="宋体"/>
              </w:rPr>
            </w:pPr>
            <w:r>
              <w:rPr>
                <w:rFonts w:hint="eastAsia" w:ascii="宋体" w:hAnsi="宋体" w:eastAsia="宋体" w:cs="宋体"/>
              </w:rPr>
              <w:pict>
                <v:shape id="_x0000_i1029" o:spt="75" type="#_x0000_t75" style="height:107.6pt;width:135.65pt;" filled="f" o:preferrelative="t" stroked="f" coordsize="21600,21600">
                  <v:path/>
                  <v:fill on="f" focussize="0,0"/>
                  <v:stroke on="f" joinstyle="miter"/>
                  <v:imagedata r:id="rId10" o:title=""/>
                  <o:lock v:ext="edit" aspectratio="t"/>
                  <w10:wrap type="none"/>
                  <w10:anchorlock/>
                </v:shape>
              </w:pict>
            </w:r>
          </w:p>
          <w:p w14:paraId="4CDA77DF">
            <w:pPr>
              <w:pStyle w:val="20"/>
              <w:snapToGrid w:val="0"/>
              <w:spacing w:after="120" w:afterLines="50" w:line="360" w:lineRule="auto"/>
              <w:jc w:val="center"/>
              <w:rPr>
                <w:rFonts w:hint="eastAsia" w:ascii="宋体" w:hAnsi="宋体" w:eastAsia="宋体" w:cs="宋体"/>
                <w:color w:val="000000"/>
              </w:rPr>
            </w:pPr>
            <w:r>
              <w:rPr>
                <w:rFonts w:hint="eastAsia" w:ascii="宋体" w:hAnsi="宋体" w:eastAsia="宋体" w:cs="宋体"/>
                <w:color w:val="000000"/>
                <w:lang w:eastAsia="zh-CN"/>
              </w:rPr>
              <w:t>图3</w:t>
            </w:r>
            <w:r>
              <w:rPr>
                <w:rFonts w:hint="eastAsia" w:ascii="宋体" w:hAnsi="宋体" w:eastAsia="宋体" w:cs="宋体"/>
                <w:color w:val="000000"/>
              </w:rPr>
              <w:t>.1 电导率关于温度的分布</w:t>
            </w:r>
          </w:p>
          <w:p w14:paraId="743592F4">
            <w:pPr>
              <w:pStyle w:val="22"/>
              <w:snapToGrid w:val="0"/>
              <w:spacing w:after="120" w:afterLines="50" w:line="360" w:lineRule="auto"/>
              <w:jc w:val="both"/>
              <w:rPr>
                <w:rFonts w:hint="eastAsia" w:ascii="宋体" w:hAnsi="宋体" w:eastAsia="宋体" w:cs="宋体"/>
                <w:color w:val="000000"/>
                <w:spacing w:val="11"/>
              </w:rPr>
            </w:pPr>
          </w:p>
          <w:p w14:paraId="46539EE4">
            <w:pPr>
              <w:pStyle w:val="20"/>
              <w:snapToGrid w:val="0"/>
              <w:spacing w:after="120" w:afterLines="50" w:line="360" w:lineRule="auto"/>
              <w:jc w:val="both"/>
              <w:rPr>
                <w:rFonts w:hint="eastAsia" w:ascii="宋体" w:hAnsi="宋体" w:eastAsia="宋体" w:cs="宋体"/>
                <w:b/>
                <w:bCs/>
                <w:color w:val="000000"/>
              </w:rPr>
            </w:pPr>
            <w:r>
              <w:rPr>
                <w:rFonts w:hint="eastAsia" w:ascii="宋体" w:hAnsi="宋体" w:eastAsia="宋体" w:cs="宋体"/>
                <w:b/>
                <w:bCs/>
                <w:color w:val="000000"/>
                <w:lang w:val="en-US" w:eastAsia="zh-CN"/>
              </w:rPr>
              <w:t>4</w:t>
            </w:r>
            <w:r>
              <w:rPr>
                <w:rFonts w:hint="eastAsia" w:ascii="宋体" w:hAnsi="宋体" w:eastAsia="宋体" w:cs="宋体"/>
                <w:b/>
                <w:bCs/>
                <w:color w:val="000000"/>
              </w:rPr>
              <w:t>.特征工程</w:t>
            </w:r>
          </w:p>
          <w:p w14:paraId="11035B3C">
            <w:pPr>
              <w:pStyle w:val="20"/>
              <w:snapToGrid w:val="0"/>
              <w:spacing w:after="120" w:afterLines="50" w:line="360" w:lineRule="auto"/>
              <w:ind w:firstLine="526" w:firstLineChars="200"/>
              <w:jc w:val="both"/>
              <w:rPr>
                <w:rFonts w:hint="eastAsia" w:ascii="宋体" w:hAnsi="宋体" w:eastAsia="宋体" w:cs="宋体"/>
                <w:b/>
                <w:bCs/>
                <w:color w:val="000000"/>
              </w:rPr>
            </w:pPr>
            <w:r>
              <w:rPr>
                <w:rFonts w:hint="eastAsia" w:ascii="宋体" w:hAnsi="宋体" w:eastAsia="宋体" w:cs="宋体"/>
                <w:b/>
                <w:bCs/>
                <w:color w:val="000000"/>
                <w:lang w:val="en-US" w:eastAsia="zh-CN"/>
              </w:rPr>
              <w:t>4</w:t>
            </w:r>
            <w:r>
              <w:rPr>
                <w:rFonts w:hint="eastAsia" w:ascii="宋体" w:hAnsi="宋体" w:eastAsia="宋体" w:cs="宋体"/>
                <w:b/>
                <w:bCs/>
                <w:color w:val="000000"/>
              </w:rPr>
              <w:t>.1特征获取</w:t>
            </w:r>
          </w:p>
          <w:p w14:paraId="48CFCE6F">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为得到有机电解液电导率的特征，首先确定收集到的电解液每种缩写所对应的准确英文全称、CAS号、标准SMILES表达式以及分子式。基于此，部分较为基础的标识符，如各原子数量、分子量等，可直接通过化学式计算得出。对于分子偶极矩、电离能等涉及电子结构与复杂物性的标识符，引入了化学信息学工具RDKit，计算其结构描述符。</w:t>
            </w:r>
          </w:p>
          <w:p w14:paraId="672F56A8">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随着工作的深入，为了系统性地扩充特征集，寻找的标识符分为几个大类：物理性质（如熔点、沸点、闪点、密度，主要从PubChem等专业网站查询）、结构组成与官能团特征（需深入分析分子骨架）、电荷与电子相关性质（如电负性、电子亲和能，通常需通过计算获得）以及其他综合描述符（如氢键供受体数、分子复杂度等）。总体优先从权威数据库获取实验值；其次用计算工具补充；最后对少数缺失值进行针对性的人工文献调研。</w:t>
            </w:r>
          </w:p>
          <w:p w14:paraId="1E1C5F2C">
            <w:pPr>
              <w:pStyle w:val="20"/>
              <w:snapToGrid w:val="0"/>
              <w:spacing w:after="120" w:afterLines="50" w:line="360" w:lineRule="auto"/>
              <w:ind w:firstLine="526" w:firstLineChars="200"/>
              <w:jc w:val="both"/>
              <w:rPr>
                <w:rFonts w:hint="eastAsia" w:ascii="宋体" w:hAnsi="宋体" w:eastAsia="宋体" w:cs="宋体"/>
                <w:b/>
                <w:bCs/>
                <w:color w:val="000000"/>
              </w:rPr>
            </w:pPr>
            <w:r>
              <w:rPr>
                <w:rFonts w:hint="eastAsia" w:ascii="宋体" w:hAnsi="宋体" w:eastAsia="宋体" w:cs="宋体"/>
                <w:b/>
                <w:bCs/>
                <w:color w:val="000000"/>
                <w:lang w:val="en-US" w:eastAsia="zh-CN"/>
              </w:rPr>
              <w:t>4</w:t>
            </w:r>
            <w:r>
              <w:rPr>
                <w:rFonts w:hint="eastAsia" w:ascii="宋体" w:hAnsi="宋体" w:eastAsia="宋体" w:cs="宋体"/>
                <w:b/>
                <w:bCs/>
                <w:color w:val="000000"/>
              </w:rPr>
              <w:t>.2特征重要性分析</w:t>
            </w:r>
          </w:p>
          <w:p w14:paraId="417BE34A">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在得到特征数据集后，需要对其进行重要性分析。项目主要利用随机森林的统计特性，对混合液特征进行客观的重要性评价。首先将温度 T扩展为T^2和 T^3，增强模型对温度非线性电导率效应的捕捉能力。通过 Gini 重要性评估，筛选出对预测贡献最大的核心特征子集。最后实现了将 One-Hot 编码（如盐类型）及多项式分项重新组合回原始物理概念的逻辑，确保分析结果具有化学意义。</w:t>
            </w:r>
          </w:p>
          <w:p w14:paraId="48CB7296">
            <w:pPr>
              <w:pStyle w:val="22"/>
              <w:snapToGrid w:val="0"/>
              <w:spacing w:after="120" w:afterLines="50" w:line="360" w:lineRule="auto"/>
              <w:ind w:firstLine="480" w:firstLineChars="200"/>
              <w:jc w:val="center"/>
              <w:rPr>
                <w:rFonts w:hint="eastAsia" w:ascii="宋体" w:hAnsi="宋体" w:eastAsia="宋体" w:cs="宋体"/>
                <w:color w:val="000000"/>
                <w:spacing w:val="11"/>
              </w:rPr>
            </w:pPr>
            <w:r>
              <w:rPr>
                <w:rFonts w:hint="eastAsia" w:ascii="宋体" w:hAnsi="宋体" w:eastAsia="宋体" w:cs="宋体"/>
              </w:rPr>
              <w:pict>
                <v:shape id="_x0000_i1030" o:spt="75" type="#_x0000_t75" style="height:203.5pt;width:271.35pt;" filled="f" o:preferrelative="t" stroked="f" coordsize="21600,21600">
                  <v:path/>
                  <v:fill on="f" focussize="0,0"/>
                  <v:stroke on="f" joinstyle="miter"/>
                  <v:imagedata r:id="rId11" o:title=""/>
                  <o:lock v:ext="edit" aspectratio="t"/>
                  <w10:wrap type="none"/>
                  <w10:anchorlock/>
                </v:shape>
              </w:pict>
            </w:r>
          </w:p>
          <w:p w14:paraId="3FF7C320">
            <w:pPr>
              <w:pStyle w:val="20"/>
              <w:snapToGrid w:val="0"/>
              <w:spacing w:after="120" w:afterLines="50" w:line="360" w:lineRule="auto"/>
              <w:jc w:val="center"/>
              <w:rPr>
                <w:rFonts w:hint="eastAsia" w:ascii="宋体" w:hAnsi="宋体" w:eastAsia="宋体" w:cs="宋体"/>
                <w:color w:val="000000"/>
              </w:rPr>
            </w:pPr>
            <w:r>
              <w:rPr>
                <w:rFonts w:hint="eastAsia" w:ascii="宋体" w:hAnsi="宋体" w:eastAsia="宋体" w:cs="宋体"/>
                <w:color w:val="000000"/>
                <w:lang w:eastAsia="zh-CN"/>
              </w:rPr>
              <w:t>图4</w:t>
            </w:r>
            <w:r>
              <w:rPr>
                <w:rFonts w:hint="eastAsia" w:ascii="宋体" w:hAnsi="宋体" w:eastAsia="宋体" w:cs="宋体"/>
                <w:color w:val="000000"/>
              </w:rPr>
              <w:t>.2.1 特征相关性热力图</w:t>
            </w:r>
          </w:p>
          <w:p w14:paraId="1F058C47">
            <w:pPr>
              <w:pStyle w:val="20"/>
              <w:snapToGrid w:val="0"/>
              <w:spacing w:after="120" w:afterLines="50" w:line="360" w:lineRule="auto"/>
              <w:jc w:val="center"/>
              <w:rPr>
                <w:rFonts w:hint="eastAsia" w:ascii="宋体" w:hAnsi="宋体" w:eastAsia="宋体" w:cs="宋体"/>
                <w:color w:val="000000"/>
              </w:rPr>
            </w:pPr>
            <w:r>
              <w:rPr>
                <w:rFonts w:hint="eastAsia" w:ascii="宋体" w:hAnsi="宋体" w:eastAsia="宋体" w:cs="宋体"/>
              </w:rPr>
              <w:pict>
                <v:shape id="_x0000_i1031" o:spt="75" type="#_x0000_t75" style="height:187.2pt;width:280.8pt;" filled="f" o:preferrelative="t" stroked="f" coordsize="21600,21600">
                  <v:path/>
                  <v:fill on="f" focussize="0,0"/>
                  <v:stroke on="f" joinstyle="miter"/>
                  <v:imagedata r:id="rId12" o:title=""/>
                  <o:lock v:ext="edit" aspectratio="t"/>
                  <w10:wrap type="none"/>
                  <w10:anchorlock/>
                </v:shape>
              </w:pict>
            </w:r>
          </w:p>
          <w:p w14:paraId="32E3379E">
            <w:pPr>
              <w:pStyle w:val="20"/>
              <w:snapToGrid w:val="0"/>
              <w:spacing w:after="120" w:afterLines="50" w:line="360" w:lineRule="auto"/>
              <w:jc w:val="center"/>
              <w:rPr>
                <w:rFonts w:hint="eastAsia" w:ascii="宋体" w:hAnsi="宋体" w:eastAsia="宋体" w:cs="宋体"/>
                <w:color w:val="000000"/>
              </w:rPr>
            </w:pPr>
            <w:r>
              <w:rPr>
                <w:rFonts w:hint="eastAsia" w:ascii="宋体" w:hAnsi="宋体" w:eastAsia="宋体" w:cs="宋体"/>
                <w:color w:val="000000"/>
                <w:lang w:eastAsia="zh-CN"/>
              </w:rPr>
              <w:t>图4</w:t>
            </w:r>
            <w:r>
              <w:rPr>
                <w:rFonts w:hint="eastAsia" w:ascii="宋体" w:hAnsi="宋体" w:eastAsia="宋体" w:cs="宋体"/>
                <w:color w:val="000000"/>
              </w:rPr>
              <w:t>.2.2 各特征组的重要性量化排名</w:t>
            </w:r>
          </w:p>
          <w:p w14:paraId="51D9683D">
            <w:pPr>
              <w:pStyle w:val="20"/>
              <w:snapToGrid w:val="0"/>
              <w:spacing w:after="120" w:afterLines="50" w:line="360" w:lineRule="auto"/>
              <w:ind w:firstLine="526" w:firstLineChars="200"/>
              <w:jc w:val="both"/>
              <w:rPr>
                <w:rFonts w:hint="eastAsia" w:ascii="宋体" w:hAnsi="宋体" w:eastAsia="宋体" w:cs="宋体"/>
                <w:b/>
                <w:bCs/>
                <w:color w:val="000000"/>
              </w:rPr>
            </w:pPr>
            <w:r>
              <w:rPr>
                <w:rFonts w:hint="eastAsia" w:ascii="宋体" w:hAnsi="宋体" w:eastAsia="宋体" w:cs="宋体"/>
                <w:b/>
                <w:bCs/>
                <w:color w:val="000000"/>
                <w:lang w:val="en-US" w:eastAsia="zh-CN"/>
              </w:rPr>
              <w:t>4</w:t>
            </w:r>
            <w:r>
              <w:rPr>
                <w:rFonts w:hint="eastAsia" w:ascii="宋体" w:hAnsi="宋体" w:eastAsia="宋体" w:cs="宋体"/>
                <w:b/>
                <w:bCs/>
                <w:color w:val="000000"/>
              </w:rPr>
              <w:t>.3溶剂分布簇类分析</w:t>
            </w:r>
          </w:p>
          <w:p w14:paraId="1C80BCB6">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为后续的模型解释与因为分子动力学开展的困难，项目组进行了溶剂结构降维分析。该分析通过分子指纹和降维技术，将复杂的溶剂化学结构转化为模型可识别的数值空间。首先引入常见的1400种有机物，使用 RDKit 对 SMILES 进行规范化处理。基于 SMARTS 模式将溶剂自动划分为“线性羰基”、“环状羰基”、“线性醚”和“环状醚”四大类。生成 2048 位的 ECFP4 (Morgan) 分子指纹。使用 Jaccard 距离的 t-SNE 算法，将溶剂投影到 2D 平面 (tsne_x, tsne_y)。最终将数据集中的溶剂分子导入进去高亮显示。</w:t>
            </w:r>
          </w:p>
          <w:p w14:paraId="11D44FB6">
            <w:pPr>
              <w:pStyle w:val="22"/>
              <w:snapToGrid w:val="0"/>
              <w:spacing w:after="120" w:afterLines="50" w:line="360" w:lineRule="auto"/>
              <w:ind w:firstLine="524" w:firstLineChars="200"/>
              <w:jc w:val="center"/>
              <w:rPr>
                <w:rFonts w:hint="eastAsia" w:ascii="宋体" w:hAnsi="宋体" w:eastAsia="宋体" w:cs="宋体"/>
                <w:color w:val="000000"/>
                <w:spacing w:val="11"/>
              </w:rPr>
            </w:pPr>
            <w:r>
              <w:rPr>
                <w:rFonts w:hint="eastAsia" w:ascii="宋体" w:hAnsi="宋体" w:eastAsia="宋体" w:cs="宋体"/>
                <w:color w:val="000000"/>
                <w:spacing w:val="11"/>
              </w:rPr>
              <w:pict>
                <v:shape id="_x0000_i1032" o:spt="75" alt="tsne_result_optimized" type="#_x0000_t75" style="height:147.4pt;width:173.95pt;" filled="f" o:preferrelative="t" stroked="f" coordsize="21600,21600">
                  <v:path/>
                  <v:fill on="f" focussize="0,0"/>
                  <v:stroke on="f" joinstyle="miter"/>
                  <v:imagedata r:id="rId13" o:title="tsne_result_optimized"/>
                  <o:lock v:ext="edit" aspectratio="t"/>
                  <w10:wrap type="none"/>
                  <w10:anchorlock/>
                </v:shape>
              </w:pict>
            </w:r>
          </w:p>
          <w:p w14:paraId="1902B86F">
            <w:pPr>
              <w:pStyle w:val="22"/>
              <w:snapToGrid w:val="0"/>
              <w:spacing w:after="120" w:afterLines="50" w:line="360" w:lineRule="auto"/>
              <w:ind w:firstLine="524" w:firstLineChars="200"/>
              <w:jc w:val="center"/>
              <w:rPr>
                <w:rFonts w:hint="eastAsia" w:ascii="宋体" w:hAnsi="宋体" w:eastAsia="宋体" w:cs="宋体"/>
                <w:color w:val="000000"/>
                <w:spacing w:val="11"/>
              </w:rPr>
            </w:pPr>
            <w:r>
              <w:rPr>
                <w:rFonts w:hint="eastAsia" w:ascii="宋体" w:hAnsi="宋体" w:cs="宋体"/>
                <w:color w:val="000000"/>
                <w:spacing w:val="11"/>
                <w:lang w:eastAsia="zh-CN"/>
              </w:rPr>
              <w:t>图4</w:t>
            </w:r>
            <w:r>
              <w:rPr>
                <w:rFonts w:hint="eastAsia" w:ascii="宋体" w:hAnsi="宋体" w:eastAsia="宋体" w:cs="宋体"/>
                <w:color w:val="000000"/>
                <w:spacing w:val="11"/>
              </w:rPr>
              <w:t>.3.1 1423 种溶剂在空间上的聚类分布</w:t>
            </w:r>
          </w:p>
          <w:p w14:paraId="186A4076">
            <w:pPr>
              <w:pStyle w:val="22"/>
              <w:snapToGrid w:val="0"/>
              <w:spacing w:after="120" w:afterLines="50" w:line="360" w:lineRule="auto"/>
              <w:ind w:firstLine="524" w:firstLineChars="200"/>
              <w:jc w:val="center"/>
              <w:rPr>
                <w:rFonts w:hint="eastAsia" w:ascii="宋体" w:hAnsi="宋体" w:eastAsia="宋体" w:cs="宋体"/>
                <w:color w:val="000000"/>
                <w:spacing w:val="11"/>
              </w:rPr>
            </w:pPr>
          </w:p>
          <w:p w14:paraId="3F37A2F1">
            <w:pPr>
              <w:pStyle w:val="22"/>
              <w:snapToGrid w:val="0"/>
              <w:spacing w:after="120" w:afterLines="50" w:line="360" w:lineRule="auto"/>
              <w:jc w:val="center"/>
              <w:rPr>
                <w:rFonts w:hint="eastAsia" w:ascii="宋体" w:hAnsi="宋体" w:eastAsia="宋体" w:cs="宋体"/>
                <w:color w:val="000000"/>
                <w:spacing w:val="11"/>
              </w:rPr>
            </w:pPr>
            <w:r>
              <w:rPr>
                <w:rFonts w:hint="eastAsia" w:ascii="宋体" w:hAnsi="宋体" w:eastAsia="宋体" w:cs="宋体"/>
                <w:color w:val="000000"/>
                <w:spacing w:val="11"/>
              </w:rPr>
              <w:pict>
                <v:shape id="_x0000_i1033" o:spt="75" alt="tsne_result_highlighted" type="#_x0000_t75" style="height:150.45pt;width:177.35pt;" filled="f" o:preferrelative="t" stroked="f" coordsize="21600,21600">
                  <v:path/>
                  <v:fill on="f" focussize="0,0"/>
                  <v:stroke on="f" joinstyle="miter"/>
                  <v:imagedata r:id="rId14" o:title="tsne_result_highlighted"/>
                  <o:lock v:ext="edit" aspectratio="t"/>
                  <w10:wrap type="none"/>
                  <w10:anchorlock/>
                </v:shape>
              </w:pict>
            </w:r>
          </w:p>
          <w:p w14:paraId="5472DA9B">
            <w:pPr>
              <w:pStyle w:val="22"/>
              <w:snapToGrid w:val="0"/>
              <w:spacing w:after="120" w:afterLines="50" w:line="360" w:lineRule="auto"/>
              <w:ind w:firstLine="524" w:firstLineChars="200"/>
              <w:jc w:val="center"/>
              <w:rPr>
                <w:rFonts w:hint="eastAsia" w:ascii="宋体" w:hAnsi="宋体" w:eastAsia="宋体" w:cs="宋体"/>
                <w:color w:val="000000"/>
                <w:spacing w:val="11"/>
              </w:rPr>
            </w:pPr>
            <w:r>
              <w:rPr>
                <w:rFonts w:hint="eastAsia" w:ascii="宋体" w:hAnsi="宋体" w:cs="宋体"/>
                <w:color w:val="000000"/>
                <w:spacing w:val="11"/>
                <w:lang w:eastAsia="zh-CN"/>
              </w:rPr>
              <w:t>图4</w:t>
            </w:r>
            <w:r>
              <w:rPr>
                <w:rFonts w:hint="eastAsia" w:ascii="宋体" w:hAnsi="宋体" w:eastAsia="宋体" w:cs="宋体"/>
                <w:color w:val="000000"/>
                <w:spacing w:val="11"/>
              </w:rPr>
              <w:t>.3.1 数据集分子在空间上的聚类分布</w:t>
            </w:r>
          </w:p>
          <w:p w14:paraId="55394B18">
            <w:pPr>
              <w:pStyle w:val="22"/>
              <w:snapToGrid w:val="0"/>
              <w:spacing w:after="120" w:afterLines="50" w:line="360" w:lineRule="auto"/>
              <w:ind w:firstLine="524" w:firstLineChars="200"/>
              <w:jc w:val="both"/>
              <w:rPr>
                <w:rFonts w:hint="eastAsia" w:ascii="宋体" w:hAnsi="宋体" w:eastAsia="宋体" w:cs="宋体"/>
                <w:color w:val="000000"/>
                <w:spacing w:val="11"/>
              </w:rPr>
            </w:pPr>
          </w:p>
          <w:p w14:paraId="1202A8F2">
            <w:pPr>
              <w:pStyle w:val="22"/>
              <w:snapToGrid w:val="0"/>
              <w:spacing w:after="120" w:afterLines="50" w:line="360" w:lineRule="auto"/>
              <w:ind w:firstLine="524" w:firstLineChars="200"/>
              <w:jc w:val="both"/>
              <w:rPr>
                <w:rFonts w:hint="eastAsia" w:ascii="宋体" w:hAnsi="宋体" w:eastAsia="宋体" w:cs="宋体"/>
                <w:color w:val="000000"/>
                <w:spacing w:val="11"/>
              </w:rPr>
            </w:pPr>
          </w:p>
          <w:p w14:paraId="0B17FB7F">
            <w:pPr>
              <w:pStyle w:val="20"/>
              <w:snapToGrid w:val="0"/>
              <w:spacing w:after="120" w:afterLines="50" w:line="360" w:lineRule="auto"/>
              <w:jc w:val="both"/>
              <w:rPr>
                <w:rFonts w:hint="eastAsia" w:ascii="宋体" w:hAnsi="宋体" w:eastAsia="宋体" w:cs="宋体"/>
                <w:b/>
                <w:bCs/>
                <w:color w:val="000000"/>
              </w:rPr>
            </w:pPr>
            <w:r>
              <w:rPr>
                <w:rFonts w:hint="eastAsia" w:ascii="宋体" w:hAnsi="宋体" w:eastAsia="宋体" w:cs="宋体"/>
                <w:b/>
                <w:bCs/>
                <w:color w:val="000000"/>
                <w:lang w:val="en-US" w:eastAsia="zh-CN"/>
              </w:rPr>
              <w:t>5</w:t>
            </w:r>
            <w:r>
              <w:rPr>
                <w:rFonts w:hint="eastAsia" w:ascii="宋体" w:hAnsi="宋体" w:eastAsia="宋体" w:cs="宋体"/>
                <w:b/>
                <w:bCs/>
                <w:color w:val="000000"/>
              </w:rPr>
              <w:t>.机器学习与模型搭建</w:t>
            </w:r>
          </w:p>
          <w:p w14:paraId="3217F7BA">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在整个机器学习的过程中，总共有四个阶段：少量数据的预实验，全部数据的实验，加入簇类分析与特征工程的实验，最终5折交叉实验与100个随机种子验证、引入attention机制的优化实验，最终得到平均R² = 0.9583 ± 0.0087、平均MSE = 1.0357、平均MAE = 0.5765的锂离子有机电解液电导率预测模型。</w:t>
            </w:r>
          </w:p>
          <w:p w14:paraId="5C876413">
            <w:pPr>
              <w:pStyle w:val="22"/>
              <w:snapToGrid w:val="0"/>
              <w:spacing w:after="120" w:afterLines="50" w:line="360" w:lineRule="auto"/>
              <w:ind w:firstLine="524" w:firstLineChars="200"/>
              <w:jc w:val="center"/>
              <w:rPr>
                <w:rFonts w:hint="eastAsia" w:ascii="宋体" w:hAnsi="宋体" w:eastAsia="宋体" w:cs="宋体"/>
                <w:color w:val="000000"/>
                <w:spacing w:val="11"/>
              </w:rPr>
            </w:pPr>
            <w:r>
              <w:rPr>
                <w:rFonts w:hint="eastAsia" w:ascii="宋体" w:hAnsi="宋体" w:eastAsia="宋体" w:cs="宋体"/>
                <w:color w:val="000000"/>
                <w:spacing w:val="11"/>
              </w:rPr>
              <w:pict>
                <v:shape id="_x0000_i1034" o:spt="75" alt="optimization_timeline" type="#_x0000_t75" style="height:138.7pt;width:319.85pt;" filled="f" o:preferrelative="t" stroked="f" coordsize="21600,21600">
                  <v:path/>
                  <v:fill on="f" focussize="0,0"/>
                  <v:stroke on="f" joinstyle="miter"/>
                  <v:imagedata r:id="rId15" o:title="optimization_timeline"/>
                  <o:lock v:ext="edit" aspectratio="t"/>
                  <w10:wrap type="none"/>
                  <w10:anchorlock/>
                </v:shape>
              </w:pict>
            </w:r>
          </w:p>
          <w:p w14:paraId="51170E02">
            <w:pPr>
              <w:pStyle w:val="22"/>
              <w:snapToGrid w:val="0"/>
              <w:spacing w:after="120" w:afterLines="50" w:line="360" w:lineRule="auto"/>
              <w:ind w:firstLine="524" w:firstLineChars="200"/>
              <w:jc w:val="center"/>
              <w:rPr>
                <w:rFonts w:hint="eastAsia" w:ascii="宋体" w:hAnsi="宋体" w:eastAsia="宋体" w:cs="宋体"/>
                <w:color w:val="000000"/>
                <w:spacing w:val="11"/>
              </w:rPr>
            </w:pPr>
            <w:r>
              <w:rPr>
                <w:rFonts w:hint="eastAsia" w:ascii="宋体" w:hAnsi="宋体" w:cs="宋体"/>
                <w:color w:val="000000"/>
                <w:spacing w:val="11"/>
                <w:lang w:eastAsia="zh-CN"/>
              </w:rPr>
              <w:t>图5</w:t>
            </w:r>
            <w:r>
              <w:rPr>
                <w:rFonts w:hint="eastAsia" w:ascii="宋体" w:hAnsi="宋体" w:eastAsia="宋体" w:cs="宋体"/>
                <w:color w:val="000000"/>
                <w:spacing w:val="11"/>
              </w:rPr>
              <w:t>.1本次项目机器学习模型优化时间线</w:t>
            </w:r>
          </w:p>
          <w:p w14:paraId="7C814C26">
            <w:pPr>
              <w:snapToGrid w:val="0"/>
              <w:spacing w:after="120" w:afterLines="50" w:line="360" w:lineRule="auto"/>
              <w:ind w:firstLine="480" w:firstLineChars="200"/>
              <w:rPr>
                <w:rFonts w:hint="eastAsia" w:ascii="宋体" w:hAnsi="宋体" w:eastAsia="宋体" w:cs="宋体"/>
                <w:color w:val="000000"/>
              </w:rPr>
            </w:pPr>
          </w:p>
          <w:p w14:paraId="07533D74">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在最终的模型引入数据集时，使用了StandardScaler对所有数值特征进行Z-score标准化，将特征缩放至均值为0、标准差为1的分布，加速神经网络收敛并提升性能。同时将特征工程已经优化的措施引进：（1）引入温度的多项式扩展T、T²、T³，有效捕捉温度对电导率的非线性影响。（2）利用t-SNE（t-分布随机邻域嵌入）对溶剂分子结构进行降维可视化，提取二维投影坐标(tsne_x, tsne_y)作为"簇类投影"特征。（3）加权溶剂特征：针对混合溶剂体系，设计了比例加权融合算法——根据各溶剂在电解质中的比例，对其物理化学属性（如分子极性、黏度、介电常数等83项属性）进行加权求和，生成综合溶剂特征向量。（4）基于排列特征重要性分析，移除重要性低于0.05的冗余特征，最终保留63维高质量特征，在降低模型复杂度的同时保持预测精度。</w:t>
            </w:r>
          </w:p>
          <w:p w14:paraId="1F693122">
            <w:pPr>
              <w:pStyle w:val="22"/>
              <w:snapToGrid w:val="0"/>
              <w:spacing w:after="120" w:afterLines="50" w:line="360" w:lineRule="auto"/>
              <w:ind w:firstLine="524" w:firstLineChars="200"/>
              <w:jc w:val="both"/>
              <w:rPr>
                <w:rFonts w:hint="eastAsia" w:ascii="宋体" w:hAnsi="宋体" w:eastAsia="宋体" w:cs="宋体"/>
                <w:color w:val="000000"/>
                <w:spacing w:val="11"/>
              </w:rPr>
            </w:pPr>
          </w:p>
          <w:p w14:paraId="218E9C5A">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对于预测模型，本研究设计了基于注意力机制的深度神经网络（Attention-DNN）：</w:t>
            </w:r>
          </w:p>
          <w:p w14:paraId="7710E89B">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（1）网络结构：采用5层全连接网络（128-256-512-256-128神经元），每层后接批归一化(BatchNormalization)和Dropout正则化（丢弃率0.3-0.5），防止过拟合。</w:t>
            </w:r>
          </w:p>
          <w:p w14:paraId="5EB88030">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（2）注意力机制：在输入层和隐藏层分别嵌入自注意力模块，通过可学习的权重系数自适应调整各特征的贡献度。注意力权重计算采用两层Dense网络，激活函数分别为tanh和softmax，实现特征重要性的动态建模。</w:t>
            </w:r>
          </w:p>
          <w:p w14:paraId="671A9145">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（3）优化策略：</w:t>
            </w:r>
          </w:p>
          <w:p w14:paraId="0143EA1F">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损失函数：均方误差（MSE）</w:t>
            </w:r>
          </w:p>
          <w:p w14:paraId="257969E0">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优化器：Adam（初始学习率0.001）</w:t>
            </w:r>
          </w:p>
          <w:p w14:paraId="3DDF7C36">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早停机制：当验证集损失连续20个epoch不下降时停止训练，恢复最佳权重</w:t>
            </w:r>
          </w:p>
          <w:p w14:paraId="41ACEDAF">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学习率衰减：当验证损失10个epoch不下降时，学习率乘以0.2</w:t>
            </w:r>
          </w:p>
          <w:p w14:paraId="22272E70">
            <w:pPr>
              <w:pStyle w:val="22"/>
              <w:snapToGrid w:val="0"/>
              <w:spacing w:after="120" w:afterLines="50" w:line="360" w:lineRule="auto"/>
              <w:ind w:firstLine="524" w:firstLineChars="200"/>
              <w:jc w:val="both"/>
              <w:rPr>
                <w:rFonts w:hint="eastAsia" w:ascii="宋体" w:hAnsi="宋体" w:eastAsia="宋体" w:cs="宋体"/>
                <w:color w:val="000000"/>
                <w:spacing w:val="11"/>
              </w:rPr>
            </w:pPr>
          </w:p>
          <w:p w14:paraId="542D4CB0">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为确保模型泛化能力，采用5折交叉验证（5-Fold Cross-Validation）与100个种子的泛化验证：</w:t>
            </w:r>
          </w:p>
          <w:p w14:paraId="68E3D925">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（1）将数据集随机划分为5个子集，轮流将其中1个子集作为验证集、其余4个作为训练集，得到5组独立的性能评估结果。最终取5折的平均值作为模型性能指标，有效避免了单次划分造成的评估偏差。</w:t>
            </w:r>
          </w:p>
          <w:p w14:paraId="080E5F26">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（2）通过改变数据划分和权重初始化的随机种子（seed=1~100），在相同模型架构下进行100次独立训练与测试，统计性能分布特征。全面评估了模型的稳定性与可靠性。</w:t>
            </w:r>
          </w:p>
          <w:p w14:paraId="2A64EE34">
            <w:pPr>
              <w:pStyle w:val="22"/>
              <w:snapToGrid w:val="0"/>
              <w:spacing w:after="120" w:afterLines="50" w:line="360" w:lineRule="auto"/>
              <w:ind w:firstLine="524" w:firstLineChars="200"/>
              <w:jc w:val="center"/>
              <w:rPr>
                <w:rFonts w:hint="eastAsia" w:ascii="宋体" w:hAnsi="宋体" w:eastAsia="宋体" w:cs="宋体"/>
                <w:color w:val="000000"/>
                <w:spacing w:val="11"/>
              </w:rPr>
            </w:pPr>
            <w:r>
              <w:rPr>
                <w:rFonts w:hint="eastAsia" w:ascii="宋体" w:hAnsi="宋体" w:eastAsia="宋体" w:cs="宋体"/>
                <w:color w:val="000000"/>
                <w:spacing w:val="11"/>
              </w:rPr>
              <w:pict>
                <v:shape id="_x0000_i1035" o:spt="75" alt="attention_dnn_architecture" type="#_x0000_t75" style="height:228.9pt;width:247.05pt;" filled="f" o:preferrelative="t" stroked="f" coordsize="21600,21600">
                  <v:path/>
                  <v:fill on="f" focussize="0,0"/>
                  <v:stroke on="f" joinstyle="miter"/>
                  <v:imagedata r:id="rId16" cropbottom="13611f" o:title="attention_dnn_architecture"/>
                  <o:lock v:ext="edit" aspectratio="t"/>
                  <w10:wrap type="none"/>
                  <w10:anchorlock/>
                </v:shape>
              </w:pict>
            </w:r>
          </w:p>
          <w:p w14:paraId="7D12F99C">
            <w:pPr>
              <w:pStyle w:val="22"/>
              <w:snapToGrid w:val="0"/>
              <w:spacing w:after="120" w:afterLines="50" w:line="360" w:lineRule="auto"/>
              <w:ind w:firstLine="524" w:firstLineChars="200"/>
              <w:jc w:val="center"/>
              <w:rPr>
                <w:rFonts w:hint="eastAsia" w:ascii="宋体" w:hAnsi="宋体" w:eastAsia="宋体" w:cs="宋体"/>
                <w:color w:val="000000"/>
                <w:spacing w:val="11"/>
              </w:rPr>
            </w:pPr>
            <w:r>
              <w:rPr>
                <w:rFonts w:hint="eastAsia" w:ascii="宋体" w:hAnsi="宋体" w:cs="宋体"/>
                <w:color w:val="000000"/>
                <w:spacing w:val="11"/>
                <w:lang w:eastAsia="zh-CN"/>
              </w:rPr>
              <w:t>图5</w:t>
            </w:r>
            <w:r>
              <w:rPr>
                <w:rFonts w:hint="eastAsia" w:ascii="宋体" w:hAnsi="宋体" w:eastAsia="宋体" w:cs="宋体"/>
                <w:color w:val="000000"/>
                <w:spacing w:val="11"/>
              </w:rPr>
              <w:t>.2最终模型架构图</w:t>
            </w:r>
          </w:p>
          <w:p w14:paraId="5BFEC2C4">
            <w:pPr>
              <w:pStyle w:val="22"/>
              <w:snapToGrid w:val="0"/>
              <w:spacing w:after="120" w:afterLines="50" w:line="360" w:lineRule="auto"/>
              <w:ind w:firstLine="524" w:firstLineChars="200"/>
              <w:jc w:val="both"/>
              <w:rPr>
                <w:rFonts w:hint="eastAsia" w:ascii="宋体" w:hAnsi="宋体" w:eastAsia="宋体" w:cs="宋体"/>
                <w:color w:val="000000"/>
                <w:spacing w:val="11"/>
              </w:rPr>
            </w:pPr>
          </w:p>
          <w:p w14:paraId="5782C506">
            <w:pPr>
              <w:pStyle w:val="22"/>
              <w:snapToGrid w:val="0"/>
              <w:spacing w:after="120" w:afterLines="50" w:line="360" w:lineRule="auto"/>
              <w:ind w:firstLine="524" w:firstLineChars="200"/>
              <w:jc w:val="both"/>
              <w:rPr>
                <w:rFonts w:hint="eastAsia" w:ascii="宋体" w:hAnsi="宋体" w:eastAsia="宋体" w:cs="宋体"/>
                <w:color w:val="000000"/>
                <w:spacing w:val="11"/>
              </w:rPr>
            </w:pPr>
          </w:p>
          <w:p w14:paraId="4ECD5FA1">
            <w:pPr>
              <w:pStyle w:val="20"/>
              <w:snapToGrid w:val="0"/>
              <w:spacing w:after="120" w:afterLines="50" w:line="360" w:lineRule="auto"/>
              <w:jc w:val="both"/>
              <w:rPr>
                <w:rFonts w:hint="eastAsia" w:ascii="宋体" w:hAnsi="宋体" w:eastAsia="宋体" w:cs="宋体"/>
                <w:b/>
                <w:bCs/>
                <w:color w:val="000000"/>
              </w:rPr>
            </w:pPr>
            <w:r>
              <w:rPr>
                <w:rFonts w:hint="eastAsia" w:ascii="宋体" w:hAnsi="宋体" w:eastAsia="宋体" w:cs="宋体"/>
                <w:b/>
                <w:bCs/>
                <w:color w:val="000000"/>
                <w:lang w:val="en-US" w:eastAsia="zh-CN"/>
              </w:rPr>
              <w:t>6</w:t>
            </w:r>
            <w:r>
              <w:rPr>
                <w:rFonts w:hint="eastAsia" w:ascii="宋体" w:hAnsi="宋体" w:eastAsia="宋体" w:cs="宋体"/>
                <w:b/>
                <w:bCs/>
                <w:color w:val="000000"/>
              </w:rPr>
              <w:t>.数据可视化与结果分析</w:t>
            </w:r>
          </w:p>
          <w:p w14:paraId="37DA8545">
            <w:pPr>
              <w:pStyle w:val="20"/>
              <w:snapToGrid w:val="0"/>
              <w:spacing w:after="120" w:afterLines="50" w:line="360" w:lineRule="auto"/>
              <w:ind w:firstLine="526" w:firstLineChars="200"/>
              <w:jc w:val="both"/>
              <w:rPr>
                <w:rFonts w:hint="eastAsia" w:ascii="宋体" w:hAnsi="宋体" w:eastAsia="宋体" w:cs="宋体"/>
                <w:b/>
                <w:bCs/>
                <w:color w:val="000000"/>
              </w:rPr>
            </w:pPr>
            <w:r>
              <w:rPr>
                <w:rFonts w:hint="eastAsia" w:ascii="宋体" w:hAnsi="宋体" w:eastAsia="宋体" w:cs="宋体"/>
                <w:b/>
                <w:bCs/>
                <w:color w:val="000000"/>
                <w:lang w:val="en-US" w:eastAsia="zh-CN"/>
              </w:rPr>
              <w:t>6</w:t>
            </w:r>
            <w:r>
              <w:rPr>
                <w:rFonts w:hint="eastAsia" w:ascii="宋体" w:hAnsi="宋体" w:eastAsia="宋体" w:cs="宋体"/>
                <w:b/>
                <w:bCs/>
                <w:color w:val="000000"/>
              </w:rPr>
              <w:t>.1数据分布分析</w:t>
            </w:r>
          </w:p>
          <w:p w14:paraId="5537837A">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（1）目标变量分布（</w:t>
            </w:r>
            <w:r>
              <w:rPr>
                <w:rFonts w:hint="eastAsia" w:ascii="宋体" w:hAnsi="宋体" w:cs="宋体"/>
                <w:color w:val="000000"/>
                <w:spacing w:val="11"/>
                <w:lang w:eastAsia="zh-CN"/>
              </w:rPr>
              <w:t>图2</w:t>
            </w:r>
            <w:r>
              <w:rPr>
                <w:rFonts w:hint="eastAsia" w:ascii="宋体" w:hAnsi="宋体" w:eastAsia="宋体" w:cs="宋体"/>
                <w:color w:val="000000"/>
                <w:spacing w:val="11"/>
              </w:rPr>
              <w:t>.1）：电导率k呈现右偏分布特征，大部分样本集中在低电导率区间，少数高电导率样本构成长尾。采用核密度估计（KDE）叠加直方图进行可视化，直观展示了数据的集中趋势与离散程度。</w:t>
            </w:r>
          </w:p>
          <w:p w14:paraId="4DBBD03D">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（2）温度分布（</w:t>
            </w:r>
            <w:r>
              <w:rPr>
                <w:rFonts w:hint="eastAsia" w:ascii="宋体" w:hAnsi="宋体" w:cs="宋体"/>
                <w:color w:val="000000"/>
                <w:spacing w:val="11"/>
                <w:lang w:eastAsia="zh-CN"/>
              </w:rPr>
              <w:t>图2</w:t>
            </w:r>
            <w:r>
              <w:rPr>
                <w:rFonts w:hint="eastAsia" w:ascii="宋体" w:hAnsi="宋体" w:eastAsia="宋体" w:cs="宋体"/>
                <w:color w:val="000000"/>
                <w:spacing w:val="11"/>
              </w:rPr>
              <w:t>.2）：实验温度覆盖较宽范围，呈现多峰分布特征，反映了实验设计中对不同温度条件的系统性考察。</w:t>
            </w:r>
          </w:p>
          <w:p w14:paraId="393083BC">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（3）盐类型分布（</w:t>
            </w:r>
            <w:r>
              <w:rPr>
                <w:rFonts w:hint="eastAsia" w:ascii="宋体" w:hAnsi="宋体" w:cs="宋体"/>
                <w:color w:val="000000"/>
                <w:spacing w:val="11"/>
                <w:lang w:eastAsia="zh-CN"/>
              </w:rPr>
              <w:t>图2</w:t>
            </w:r>
            <w:r>
              <w:rPr>
                <w:rFonts w:hint="eastAsia" w:ascii="宋体" w:hAnsi="宋体" w:eastAsia="宋体" w:cs="宋体"/>
                <w:color w:val="000000"/>
                <w:spacing w:val="11"/>
              </w:rPr>
              <w:t>.3）：通过条形图展示各盐类型的样本数量，揭示了数据集的类别不平衡问题，为后续模型训练提供参考。</w:t>
            </w:r>
          </w:p>
          <w:p w14:paraId="153A9964">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（4）溶剂类型分布（</w:t>
            </w:r>
            <w:r>
              <w:rPr>
                <w:rFonts w:hint="eastAsia" w:ascii="宋体" w:hAnsi="宋体" w:cs="宋体"/>
                <w:color w:val="000000"/>
                <w:spacing w:val="11"/>
                <w:lang w:eastAsia="zh-CN"/>
              </w:rPr>
              <w:t>图4</w:t>
            </w:r>
            <w:r>
              <w:rPr>
                <w:rFonts w:hint="eastAsia" w:ascii="宋体" w:hAnsi="宋体" w:eastAsia="宋体" w:cs="宋体"/>
                <w:color w:val="000000"/>
                <w:spacing w:val="11"/>
              </w:rPr>
              <w:t>.3.1）：绘制溶剂投影到2D 平面的分布图，证实数据集在“线性羰基”、“环状羰基”、“线性醚”相对均匀分布与在“环状醚”数据量上的缺失。</w:t>
            </w:r>
          </w:p>
          <w:p w14:paraId="041B5FDB">
            <w:pPr>
              <w:pStyle w:val="22"/>
              <w:snapToGrid w:val="0"/>
              <w:spacing w:after="120" w:afterLines="50" w:line="360" w:lineRule="auto"/>
              <w:ind w:firstLine="524" w:firstLineChars="200"/>
              <w:jc w:val="both"/>
              <w:rPr>
                <w:rFonts w:hint="eastAsia" w:ascii="宋体" w:hAnsi="宋体" w:eastAsia="宋体" w:cs="宋体"/>
                <w:color w:val="000000"/>
                <w:spacing w:val="11"/>
              </w:rPr>
            </w:pPr>
          </w:p>
          <w:p w14:paraId="293915D3">
            <w:pPr>
              <w:pStyle w:val="20"/>
              <w:snapToGrid w:val="0"/>
              <w:spacing w:after="120" w:afterLines="50" w:line="360" w:lineRule="auto"/>
              <w:ind w:firstLine="526" w:firstLineChars="200"/>
              <w:jc w:val="both"/>
              <w:rPr>
                <w:rFonts w:hint="eastAsia" w:ascii="宋体" w:hAnsi="宋体" w:eastAsia="宋体" w:cs="宋体"/>
                <w:b/>
                <w:bCs/>
                <w:color w:val="000000"/>
              </w:rPr>
            </w:pPr>
            <w:r>
              <w:rPr>
                <w:rFonts w:hint="eastAsia" w:ascii="宋体" w:hAnsi="宋体" w:eastAsia="宋体" w:cs="宋体"/>
                <w:b/>
                <w:bCs/>
                <w:color w:val="000000"/>
                <w:lang w:val="en-US" w:eastAsia="zh-CN"/>
              </w:rPr>
              <w:t>6</w:t>
            </w:r>
            <w:r>
              <w:rPr>
                <w:rFonts w:hint="eastAsia" w:ascii="宋体" w:hAnsi="宋体" w:eastAsia="宋体" w:cs="宋体"/>
                <w:b/>
                <w:bCs/>
                <w:color w:val="000000"/>
              </w:rPr>
              <w:t>.2模型性能可视化</w:t>
            </w:r>
          </w:p>
          <w:p w14:paraId="0E06FB26">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（1）实际值-预测值散点图（</w:t>
            </w:r>
            <w:r>
              <w:rPr>
                <w:rFonts w:hint="eastAsia" w:ascii="宋体" w:hAnsi="宋体" w:cs="宋体"/>
                <w:color w:val="000000"/>
                <w:spacing w:val="11"/>
                <w:lang w:eastAsia="zh-CN"/>
              </w:rPr>
              <w:t>图6</w:t>
            </w:r>
            <w:r>
              <w:rPr>
                <w:rFonts w:hint="eastAsia" w:ascii="宋体" w:hAnsi="宋体" w:eastAsia="宋体" w:cs="宋体"/>
                <w:color w:val="000000"/>
                <w:spacing w:val="11"/>
              </w:rPr>
              <w:t>.2.1）：以实际电导率为横轴、预测电导率为纵轴绘制散点图，添加45°完美预测线和线性拟合线。R² = 0.9583表明模型解释了93.82%的电导率变异，预测精度较高。</w:t>
            </w:r>
          </w:p>
          <w:p w14:paraId="3CDD9CD3">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（2）残差分析（</w:t>
            </w:r>
            <w:r>
              <w:rPr>
                <w:rFonts w:hint="eastAsia" w:ascii="宋体" w:hAnsi="宋体" w:cs="宋体"/>
                <w:color w:val="000000"/>
                <w:spacing w:val="11"/>
                <w:lang w:eastAsia="zh-CN"/>
              </w:rPr>
              <w:t>图6</w:t>
            </w:r>
            <w:r>
              <w:rPr>
                <w:rFonts w:hint="eastAsia" w:ascii="宋体" w:hAnsi="宋体" w:eastAsia="宋体" w:cs="宋体"/>
                <w:color w:val="000000"/>
                <w:spacing w:val="11"/>
              </w:rPr>
              <w:t>.2.2）：残差分布直方图呈现以0为中心的近似正态分布，表明模型无系统性偏差残差-预测值散点图显示残差在预测值范围内随机分布，验证了模型的同方差性假设</w:t>
            </w:r>
          </w:p>
          <w:p w14:paraId="1CD61116">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（3）训练历史曲线（</w:t>
            </w:r>
            <w:r>
              <w:rPr>
                <w:rFonts w:hint="eastAsia" w:ascii="宋体" w:hAnsi="宋体" w:cs="宋体"/>
                <w:color w:val="000000"/>
                <w:spacing w:val="11"/>
                <w:lang w:eastAsia="zh-CN"/>
              </w:rPr>
              <w:t>图6</w:t>
            </w:r>
            <w:r>
              <w:rPr>
                <w:rFonts w:hint="eastAsia" w:ascii="宋体" w:hAnsi="宋体" w:eastAsia="宋体" w:cs="宋体"/>
                <w:color w:val="000000"/>
                <w:spacing w:val="11"/>
              </w:rPr>
              <w:t>.2.3）：绘制训练集与验证集的MSE、MAE随epoch变化曲线。两条曲线接近且同步下降，无明显发散，表明模型未发生过拟合。早停机制在约50-60个epoch处触发，有效节省了计算资源。</w:t>
            </w:r>
          </w:p>
          <w:p w14:paraId="5B5A48F0">
            <w:pPr>
              <w:pStyle w:val="22"/>
              <w:snapToGrid w:val="0"/>
              <w:spacing w:after="120" w:afterLines="50" w:line="360" w:lineRule="auto"/>
              <w:ind w:firstLine="524" w:firstLineChars="200"/>
              <w:jc w:val="center"/>
              <w:rPr>
                <w:rFonts w:hint="eastAsia" w:ascii="宋体" w:hAnsi="宋体" w:eastAsia="宋体" w:cs="宋体"/>
                <w:color w:val="000000"/>
                <w:spacing w:val="11"/>
              </w:rPr>
            </w:pPr>
            <w:r>
              <w:rPr>
                <w:rFonts w:hint="eastAsia" w:ascii="宋体" w:hAnsi="宋体" w:eastAsia="宋体" w:cs="宋体"/>
                <w:color w:val="000000"/>
                <w:spacing w:val="11"/>
              </w:rPr>
              <w:pict>
                <v:shape id="_x0000_i1036" o:spt="75" alt="optimized_dnn_actual_vs_predicted" type="#_x0000_t75" style="height:162.95pt;width:203.5pt;" filled="f" o:preferrelative="t" stroked="f" coordsize="21600,21600">
                  <v:path/>
                  <v:fill on="f" focussize="0,0"/>
                  <v:stroke on="f" joinstyle="miter"/>
                  <v:imagedata r:id="rId17" o:title="optimized_dnn_actual_vs_predicted"/>
                  <o:lock v:ext="edit" aspectratio="t"/>
                  <w10:wrap type="none"/>
                  <w10:anchorlock/>
                </v:shape>
              </w:pict>
            </w:r>
          </w:p>
          <w:p w14:paraId="31AD181F">
            <w:pPr>
              <w:pStyle w:val="22"/>
              <w:snapToGrid w:val="0"/>
              <w:spacing w:after="120" w:afterLines="50" w:line="360" w:lineRule="auto"/>
              <w:ind w:firstLine="524" w:firstLineChars="200"/>
              <w:jc w:val="center"/>
              <w:rPr>
                <w:rFonts w:hint="eastAsia" w:ascii="宋体" w:hAnsi="宋体" w:eastAsia="宋体" w:cs="宋体"/>
                <w:color w:val="000000"/>
                <w:spacing w:val="11"/>
              </w:rPr>
            </w:pPr>
            <w:r>
              <w:rPr>
                <w:rFonts w:hint="eastAsia" w:ascii="宋体" w:hAnsi="宋体" w:cs="宋体"/>
                <w:color w:val="000000"/>
                <w:spacing w:val="11"/>
                <w:lang w:eastAsia="zh-CN"/>
              </w:rPr>
              <w:t>图6</w:t>
            </w:r>
            <w:r>
              <w:rPr>
                <w:rFonts w:hint="eastAsia" w:ascii="宋体" w:hAnsi="宋体" w:eastAsia="宋体" w:cs="宋体"/>
                <w:color w:val="000000"/>
                <w:spacing w:val="11"/>
              </w:rPr>
              <w:t>.2.1实际值-预测值散点图</w:t>
            </w:r>
          </w:p>
          <w:p w14:paraId="58833D8B">
            <w:pPr>
              <w:pStyle w:val="22"/>
              <w:snapToGrid w:val="0"/>
              <w:spacing w:after="120" w:afterLines="50" w:line="360" w:lineRule="auto"/>
              <w:ind w:firstLine="524" w:firstLineChars="200"/>
              <w:jc w:val="center"/>
              <w:rPr>
                <w:rFonts w:hint="eastAsia" w:ascii="宋体" w:hAnsi="宋体" w:eastAsia="宋体" w:cs="宋体"/>
                <w:color w:val="000000"/>
                <w:spacing w:val="11"/>
              </w:rPr>
            </w:pPr>
            <w:r>
              <w:rPr>
                <w:rFonts w:hint="eastAsia" w:ascii="宋体" w:hAnsi="宋体" w:eastAsia="宋体" w:cs="宋体"/>
                <w:color w:val="000000"/>
                <w:spacing w:val="11"/>
              </w:rPr>
              <w:pict>
                <v:shape id="_x0000_i1037" o:spt="75" alt="optimized_dnn_residual_analysis" type="#_x0000_t75" style="height:139.85pt;width:391.05pt;" filled="f" o:preferrelative="t" stroked="f" coordsize="21600,21600">
                  <v:path/>
                  <v:fill on="f" focussize="0,0"/>
                  <v:stroke on="f" joinstyle="miter"/>
                  <v:imagedata r:id="rId18" o:title="optimized_dnn_residual_analysis"/>
                  <o:lock v:ext="edit" aspectratio="t"/>
                  <w10:wrap type="none"/>
                  <w10:anchorlock/>
                </v:shape>
              </w:pict>
            </w:r>
          </w:p>
          <w:p w14:paraId="3DDCE6FF">
            <w:pPr>
              <w:pStyle w:val="22"/>
              <w:snapToGrid w:val="0"/>
              <w:spacing w:after="120" w:afterLines="50" w:line="360" w:lineRule="auto"/>
              <w:ind w:firstLine="524" w:firstLineChars="200"/>
              <w:jc w:val="center"/>
              <w:rPr>
                <w:rFonts w:hint="eastAsia" w:ascii="宋体" w:hAnsi="宋体" w:eastAsia="宋体" w:cs="宋体"/>
                <w:color w:val="000000"/>
                <w:spacing w:val="11"/>
              </w:rPr>
            </w:pPr>
            <w:r>
              <w:rPr>
                <w:rFonts w:hint="eastAsia" w:ascii="宋体" w:hAnsi="宋体" w:cs="宋体"/>
                <w:color w:val="000000"/>
                <w:spacing w:val="11"/>
                <w:lang w:eastAsia="zh-CN"/>
              </w:rPr>
              <w:t>图6</w:t>
            </w:r>
            <w:r>
              <w:rPr>
                <w:rFonts w:hint="eastAsia" w:ascii="宋体" w:hAnsi="宋体" w:eastAsia="宋体" w:cs="宋体"/>
                <w:color w:val="000000"/>
                <w:spacing w:val="11"/>
              </w:rPr>
              <w:t>.2.2残差分布图</w:t>
            </w:r>
          </w:p>
          <w:p w14:paraId="5E9694E2">
            <w:pPr>
              <w:pStyle w:val="22"/>
              <w:snapToGrid w:val="0"/>
              <w:spacing w:after="120" w:afterLines="50" w:line="360" w:lineRule="auto"/>
              <w:ind w:firstLine="524" w:firstLineChars="200"/>
              <w:jc w:val="center"/>
              <w:rPr>
                <w:rFonts w:hint="eastAsia" w:ascii="宋体" w:hAnsi="宋体" w:eastAsia="宋体" w:cs="宋体"/>
                <w:color w:val="000000"/>
                <w:spacing w:val="11"/>
              </w:rPr>
            </w:pPr>
          </w:p>
          <w:p w14:paraId="51DA908C">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pict>
                <v:shape id="_x0000_i1038" o:spt="75" alt="optimized_dnn_training_history" type="#_x0000_t75" style="height:131.85pt;width:369.1pt;" filled="f" o:preferrelative="t" stroked="f" coordsize="21600,21600">
                  <v:path/>
                  <v:fill on="f" focussize="0,0"/>
                  <v:stroke on="f" joinstyle="miter"/>
                  <v:imagedata r:id="rId19" o:title="optimized_dnn_training_history"/>
                  <o:lock v:ext="edit" aspectratio="t"/>
                  <w10:wrap type="none"/>
                  <w10:anchorlock/>
                </v:shape>
              </w:pict>
            </w:r>
          </w:p>
          <w:p w14:paraId="48E81AA8">
            <w:pPr>
              <w:pStyle w:val="22"/>
              <w:snapToGrid w:val="0"/>
              <w:spacing w:after="120" w:afterLines="50" w:line="360" w:lineRule="auto"/>
              <w:ind w:firstLine="524" w:firstLineChars="200"/>
              <w:jc w:val="center"/>
              <w:rPr>
                <w:rFonts w:hint="eastAsia" w:ascii="宋体" w:hAnsi="宋体" w:eastAsia="宋体" w:cs="宋体"/>
                <w:color w:val="000000"/>
                <w:spacing w:val="11"/>
              </w:rPr>
            </w:pPr>
            <w:r>
              <w:rPr>
                <w:rFonts w:hint="eastAsia" w:ascii="宋体" w:hAnsi="宋体" w:cs="宋体"/>
                <w:color w:val="000000"/>
                <w:spacing w:val="11"/>
                <w:lang w:eastAsia="zh-CN"/>
              </w:rPr>
              <w:t>图6</w:t>
            </w:r>
            <w:r>
              <w:rPr>
                <w:rFonts w:hint="eastAsia" w:ascii="宋体" w:hAnsi="宋体" w:eastAsia="宋体" w:cs="宋体"/>
                <w:color w:val="000000"/>
                <w:spacing w:val="11"/>
              </w:rPr>
              <w:t>.2.3训练历史曲线</w:t>
            </w:r>
          </w:p>
          <w:p w14:paraId="0B538A08">
            <w:pPr>
              <w:pStyle w:val="22"/>
              <w:snapToGrid w:val="0"/>
              <w:spacing w:after="120" w:afterLines="50" w:line="360" w:lineRule="auto"/>
              <w:ind w:firstLine="524" w:firstLineChars="200"/>
              <w:jc w:val="both"/>
              <w:rPr>
                <w:rFonts w:hint="eastAsia" w:ascii="宋体" w:hAnsi="宋体" w:eastAsia="宋体" w:cs="宋体"/>
                <w:color w:val="000000"/>
                <w:spacing w:val="11"/>
              </w:rPr>
            </w:pPr>
          </w:p>
          <w:p w14:paraId="1EE31712">
            <w:pPr>
              <w:pStyle w:val="20"/>
              <w:snapToGrid w:val="0"/>
              <w:spacing w:after="120" w:afterLines="50" w:line="360" w:lineRule="auto"/>
              <w:ind w:firstLine="526" w:firstLineChars="200"/>
              <w:jc w:val="both"/>
              <w:rPr>
                <w:rFonts w:hint="eastAsia" w:ascii="宋体" w:hAnsi="宋体" w:eastAsia="宋体" w:cs="宋体"/>
                <w:color w:val="000000"/>
              </w:rPr>
            </w:pPr>
            <w:r>
              <w:rPr>
                <w:rFonts w:hint="eastAsia" w:ascii="宋体" w:hAnsi="宋体" w:eastAsia="宋体" w:cs="宋体"/>
                <w:b/>
                <w:bCs/>
                <w:color w:val="000000"/>
                <w:lang w:val="en-US" w:eastAsia="zh-CN"/>
              </w:rPr>
              <w:t>6</w:t>
            </w:r>
            <w:r>
              <w:rPr>
                <w:rFonts w:hint="eastAsia" w:ascii="宋体" w:hAnsi="宋体" w:eastAsia="宋体" w:cs="宋体"/>
                <w:b/>
                <w:bCs/>
                <w:color w:val="000000"/>
              </w:rPr>
              <w:t>.3特征可视化</w:t>
            </w:r>
          </w:p>
          <w:p w14:paraId="08F8CFEE">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采用双重验证策略确保特征重要性评估的科学性：</w:t>
            </w:r>
          </w:p>
          <w:p w14:paraId="4C4D8E64">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（1）排列特征重要性（Permutation Importance）：在DNN模型上，通过随机打乱单个特征的值并观察MSE增加量来评估特征贡献。重复5次取平均以减少随机性影响。</w:t>
            </w:r>
          </w:p>
          <w:p w14:paraId="565C5D41">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（2）随机森林独立验证：引入随机森林回归器作为"第三方"评估模型，基于Gini重要性独立计算特征排序。两种方法的结果高度一致，增强了结论的可信度。</w:t>
            </w:r>
          </w:p>
          <w:p w14:paraId="30727908">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（3）100个随机种子验证（</w:t>
            </w:r>
            <w:r>
              <w:rPr>
                <w:rFonts w:hint="eastAsia" w:ascii="宋体" w:hAnsi="宋体" w:cs="宋体"/>
                <w:color w:val="000000"/>
                <w:spacing w:val="11"/>
                <w:lang w:eastAsia="zh-CN"/>
              </w:rPr>
              <w:t>图6</w:t>
            </w:r>
            <w:r>
              <w:rPr>
                <w:rFonts w:hint="eastAsia" w:ascii="宋体" w:hAnsi="宋体" w:eastAsia="宋体" w:cs="宋体"/>
                <w:color w:val="000000"/>
                <w:spacing w:val="11"/>
              </w:rPr>
              <w:t>.3.1）：通过改变初始数据选取的加权值，证明了模型的泛化能力与稳定性。</w:t>
            </w:r>
          </w:p>
          <w:p w14:paraId="3299E965">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Top 5 重要特征简要分析（</w:t>
            </w:r>
            <w:r>
              <w:rPr>
                <w:rFonts w:hint="eastAsia" w:ascii="宋体" w:hAnsi="宋体" w:cs="宋体"/>
                <w:color w:val="000000"/>
                <w:spacing w:val="11"/>
                <w:lang w:eastAsia="zh-CN"/>
              </w:rPr>
              <w:t>图4</w:t>
            </w:r>
            <w:r>
              <w:rPr>
                <w:rFonts w:hint="eastAsia" w:ascii="宋体" w:hAnsi="宋体" w:eastAsia="宋体" w:cs="宋体"/>
                <w:color w:val="000000"/>
                <w:spacing w:val="11"/>
              </w:rPr>
              <w:t>.2.2）：</w:t>
            </w:r>
          </w:p>
          <w:p w14:paraId="559B9817">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（1）温度T（含多项式）：对电导率影响最显著，符合电解质离子传导的温度依赖特性</w:t>
            </w:r>
          </w:p>
          <w:p w14:paraId="4D26805F">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（2）盐类型(salt)：不同锂盐的解离度和离子迁移特性差异显著</w:t>
            </w:r>
          </w:p>
          <w:p w14:paraId="5917AA6E">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（3）浓度c：电解质浓度直接影响载流子数量</w:t>
            </w:r>
          </w:p>
          <w:p w14:paraId="7BF229B4">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（4）簇类投影：t-SNE编码的溶剂结构信息对预测有贡献</w:t>
            </w:r>
          </w:p>
          <w:p w14:paraId="1436E63D">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（5）有机溶剂类型：线性/环状碳酸酯、醚类的组合影响溶剂化结构</w:t>
            </w:r>
          </w:p>
          <w:p w14:paraId="192B71C7">
            <w:pPr>
              <w:pStyle w:val="22"/>
              <w:snapToGrid w:val="0"/>
              <w:spacing w:after="120" w:afterLines="50" w:line="360" w:lineRule="auto"/>
              <w:ind w:firstLine="524" w:firstLineChars="200"/>
              <w:jc w:val="center"/>
              <w:rPr>
                <w:rFonts w:hint="eastAsia" w:ascii="宋体" w:hAnsi="宋体" w:eastAsia="宋体" w:cs="宋体"/>
                <w:color w:val="000000"/>
                <w:spacing w:val="11"/>
              </w:rPr>
            </w:pPr>
            <w:r>
              <w:rPr>
                <w:rFonts w:hint="eastAsia" w:ascii="宋体" w:hAnsi="宋体" w:eastAsia="宋体" w:cs="宋体"/>
                <w:color w:val="000000"/>
                <w:spacing w:val="11"/>
              </w:rPr>
              <w:pict>
                <v:shape id="_x0000_i1039" o:spt="75" alt="performance_histograms" type="#_x0000_t75" style="height:208.4pt;width:291.8pt;" filled="f" o:preferrelative="t" stroked="f" coordsize="21600,21600">
                  <v:path/>
                  <v:fill on="f" focussize="0,0"/>
                  <v:stroke on="f" joinstyle="miter"/>
                  <v:imagedata r:id="rId20" o:title="performance_histograms"/>
                  <o:lock v:ext="edit" aspectratio="t"/>
                  <w10:wrap type="none"/>
                  <w10:anchorlock/>
                </v:shape>
              </w:pict>
            </w:r>
          </w:p>
          <w:p w14:paraId="32B89AF0">
            <w:pPr>
              <w:pStyle w:val="22"/>
              <w:snapToGrid w:val="0"/>
              <w:spacing w:after="120" w:afterLines="50" w:line="360" w:lineRule="auto"/>
              <w:ind w:firstLine="524" w:firstLineChars="200"/>
              <w:jc w:val="center"/>
              <w:rPr>
                <w:rFonts w:hint="eastAsia" w:ascii="宋体" w:hAnsi="宋体" w:eastAsia="宋体" w:cs="宋体"/>
                <w:color w:val="000000"/>
                <w:spacing w:val="11"/>
              </w:rPr>
            </w:pPr>
            <w:r>
              <w:rPr>
                <w:rFonts w:hint="eastAsia" w:ascii="宋体" w:hAnsi="宋体" w:cs="宋体"/>
                <w:color w:val="000000"/>
                <w:spacing w:val="11"/>
                <w:lang w:eastAsia="zh-CN"/>
              </w:rPr>
              <w:t>图6</w:t>
            </w:r>
            <w:r>
              <w:rPr>
                <w:rFonts w:hint="eastAsia" w:ascii="宋体" w:hAnsi="宋体" w:eastAsia="宋体" w:cs="宋体"/>
                <w:color w:val="000000"/>
                <w:spacing w:val="11"/>
              </w:rPr>
              <w:t>.3.1 100随机种子性能分布</w:t>
            </w:r>
          </w:p>
          <w:p w14:paraId="6F1CB324">
            <w:pPr>
              <w:pStyle w:val="22"/>
              <w:snapToGrid w:val="0"/>
              <w:spacing w:after="120" w:afterLines="50" w:line="360" w:lineRule="auto"/>
              <w:ind w:firstLine="524" w:firstLineChars="200"/>
              <w:jc w:val="both"/>
              <w:rPr>
                <w:rFonts w:hint="eastAsia" w:ascii="宋体" w:hAnsi="宋体" w:eastAsia="宋体" w:cs="宋体"/>
                <w:color w:val="000000"/>
                <w:spacing w:val="11"/>
              </w:rPr>
            </w:pPr>
          </w:p>
          <w:p w14:paraId="3B1150A2">
            <w:pPr>
              <w:pStyle w:val="20"/>
              <w:snapToGrid w:val="0"/>
              <w:spacing w:after="120" w:afterLines="50" w:line="360" w:lineRule="auto"/>
              <w:ind w:firstLine="526" w:firstLineChars="200"/>
              <w:jc w:val="both"/>
              <w:rPr>
                <w:rFonts w:hint="eastAsia" w:ascii="宋体" w:hAnsi="宋体" w:eastAsia="宋体" w:cs="宋体"/>
                <w:color w:val="000000"/>
              </w:rPr>
            </w:pPr>
            <w:r>
              <w:rPr>
                <w:rFonts w:hint="eastAsia" w:ascii="宋体" w:hAnsi="宋体" w:eastAsia="宋体" w:cs="宋体"/>
                <w:b/>
                <w:bCs/>
                <w:color w:val="000000"/>
                <w:lang w:val="en-US" w:eastAsia="zh-CN"/>
              </w:rPr>
              <w:t>6</w:t>
            </w:r>
            <w:bookmarkStart w:id="0" w:name="_GoBack"/>
            <w:bookmarkEnd w:id="0"/>
            <w:r>
              <w:rPr>
                <w:rFonts w:hint="eastAsia" w:ascii="宋体" w:hAnsi="宋体" w:eastAsia="宋体" w:cs="宋体"/>
                <w:b/>
                <w:bCs/>
                <w:color w:val="000000"/>
              </w:rPr>
              <w:t>.4训练模型优化历史可视化</w:t>
            </w:r>
          </w:p>
          <w:p w14:paraId="224F27B4">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t>本模型在四个阶段：少量数据的预实验，全部数据的实验，加入簇类分析与特征工程的实验，最终5折交叉实验与100个随机种子验证、引入attention机制的优化实验中，设计合理，模型在泛化的条件下性能损失小（</w:t>
            </w:r>
            <w:r>
              <w:rPr>
                <w:rFonts w:hint="eastAsia" w:ascii="宋体" w:hAnsi="宋体" w:cs="宋体"/>
                <w:color w:val="000000"/>
                <w:spacing w:val="11"/>
                <w:lang w:eastAsia="zh-CN"/>
              </w:rPr>
              <w:t>图6</w:t>
            </w:r>
            <w:r>
              <w:rPr>
                <w:rFonts w:hint="eastAsia" w:ascii="宋体" w:hAnsi="宋体" w:eastAsia="宋体" w:cs="宋体"/>
                <w:color w:val="000000"/>
                <w:spacing w:val="11"/>
              </w:rPr>
              <w:t>.3.1），特征工程效果显著（</w:t>
            </w:r>
            <w:r>
              <w:rPr>
                <w:rFonts w:hint="eastAsia" w:ascii="宋体" w:hAnsi="宋体" w:cs="宋体"/>
                <w:color w:val="000000"/>
                <w:spacing w:val="11"/>
                <w:lang w:eastAsia="zh-CN"/>
              </w:rPr>
              <w:t>图6</w:t>
            </w:r>
            <w:r>
              <w:rPr>
                <w:rFonts w:hint="eastAsia" w:ascii="宋体" w:hAnsi="宋体" w:eastAsia="宋体" w:cs="宋体"/>
                <w:color w:val="000000"/>
                <w:spacing w:val="11"/>
              </w:rPr>
              <w:t>.3.2）。</w:t>
            </w:r>
          </w:p>
          <w:p w14:paraId="51B2D77E">
            <w:pPr>
              <w:pStyle w:val="22"/>
              <w:snapToGrid w:val="0"/>
              <w:spacing w:after="120" w:afterLines="50" w:line="360" w:lineRule="auto"/>
              <w:ind w:firstLine="524" w:firstLineChars="200"/>
              <w:jc w:val="both"/>
              <w:rPr>
                <w:rFonts w:hint="eastAsia" w:ascii="宋体" w:hAnsi="宋体" w:eastAsia="宋体" w:cs="宋体"/>
                <w:color w:val="000000"/>
                <w:spacing w:val="11"/>
              </w:rPr>
            </w:pPr>
            <w:r>
              <w:rPr>
                <w:rFonts w:hint="eastAsia" w:ascii="宋体" w:hAnsi="宋体" w:eastAsia="宋体" w:cs="宋体"/>
                <w:color w:val="000000"/>
                <w:spacing w:val="11"/>
              </w:rPr>
              <w:pict>
                <v:shape id="_x0000_i1040" o:spt="75" alt="performance_comparison" type="#_x0000_t75" style="height:130.35pt;width:376.65pt;" filled="f" o:preferrelative="t" stroked="f" coordsize="21600,21600">
                  <v:path/>
                  <v:fill on="f" focussize="0,0"/>
                  <v:stroke on="f" joinstyle="miter"/>
                  <v:imagedata r:id="rId21" o:title="performance_comparison"/>
                  <o:lock v:ext="edit" aspectratio="t"/>
                  <w10:wrap type="none"/>
                  <w10:anchorlock/>
                </v:shape>
              </w:pict>
            </w:r>
          </w:p>
          <w:p w14:paraId="5501D1F7">
            <w:pPr>
              <w:pStyle w:val="22"/>
              <w:snapToGrid w:val="0"/>
              <w:spacing w:after="120" w:afterLines="50" w:line="360" w:lineRule="auto"/>
              <w:ind w:firstLine="524" w:firstLineChars="200"/>
              <w:jc w:val="center"/>
              <w:rPr>
                <w:rFonts w:hint="eastAsia" w:ascii="宋体" w:hAnsi="宋体" w:eastAsia="宋体" w:cs="宋体"/>
                <w:color w:val="000000"/>
                <w:spacing w:val="11"/>
              </w:rPr>
            </w:pPr>
            <w:r>
              <w:rPr>
                <w:rFonts w:hint="eastAsia" w:ascii="宋体" w:hAnsi="宋体" w:cs="宋体"/>
                <w:color w:val="000000"/>
                <w:spacing w:val="11"/>
                <w:lang w:eastAsia="zh-CN"/>
              </w:rPr>
              <w:t>图6</w:t>
            </w:r>
            <w:r>
              <w:rPr>
                <w:rFonts w:hint="eastAsia" w:ascii="宋体" w:hAnsi="宋体" w:eastAsia="宋体" w:cs="宋体"/>
                <w:color w:val="000000"/>
                <w:spacing w:val="11"/>
              </w:rPr>
              <w:t>.3.1 各阶段性能指标对比</w:t>
            </w:r>
          </w:p>
          <w:p w14:paraId="41E0DEBA">
            <w:pPr>
              <w:pStyle w:val="22"/>
              <w:snapToGrid w:val="0"/>
              <w:spacing w:after="120" w:afterLines="50" w:line="360" w:lineRule="auto"/>
              <w:ind w:firstLine="524" w:firstLineChars="200"/>
              <w:jc w:val="both"/>
              <w:rPr>
                <w:rFonts w:hint="eastAsia" w:ascii="宋体" w:hAnsi="宋体" w:eastAsia="宋体" w:cs="宋体"/>
                <w:color w:val="000000"/>
                <w:spacing w:val="11"/>
              </w:rPr>
            </w:pPr>
          </w:p>
          <w:p w14:paraId="6ACD51EC">
            <w:pPr>
              <w:pStyle w:val="20"/>
              <w:snapToGrid w:val="0"/>
              <w:spacing w:after="120" w:afterLines="50" w:line="360" w:lineRule="auto"/>
              <w:jc w:val="center"/>
              <w:rPr>
                <w:rFonts w:hint="eastAsia" w:ascii="宋体" w:hAnsi="宋体" w:eastAsia="宋体" w:cs="宋体"/>
                <w:b/>
                <w:bCs/>
                <w:color w:val="000000"/>
              </w:rPr>
            </w:pPr>
            <w:r>
              <w:rPr>
                <w:rFonts w:hint="eastAsia" w:ascii="宋体" w:hAnsi="宋体" w:eastAsia="宋体" w:cs="宋体"/>
                <w:b/>
                <w:bCs/>
                <w:color w:val="000000"/>
              </w:rPr>
              <w:pict>
                <v:shape id="_x0000_i1041" o:spt="75" alt="feature_evolution" type="#_x0000_t75" style="height:123.9pt;width:250.5pt;" filled="f" o:preferrelative="t" stroked="f" coordsize="21600,21600">
                  <v:path/>
                  <v:fill on="f" focussize="0,0"/>
                  <v:stroke on="f" joinstyle="miter"/>
                  <v:imagedata r:id="rId22" o:title="feature_evolution"/>
                  <o:lock v:ext="edit" aspectratio="t"/>
                  <w10:wrap type="none"/>
                  <w10:anchorlock/>
                </v:shape>
              </w:pict>
            </w:r>
          </w:p>
          <w:p w14:paraId="61CCA818">
            <w:pPr>
              <w:pStyle w:val="22"/>
              <w:snapToGrid w:val="0"/>
              <w:spacing w:after="120" w:afterLines="50" w:line="360" w:lineRule="auto"/>
              <w:ind w:firstLine="524" w:firstLineChars="200"/>
              <w:jc w:val="center"/>
              <w:rPr>
                <w:rFonts w:hint="eastAsia" w:ascii="宋体" w:hAnsi="宋体" w:eastAsia="宋体" w:cs="宋体"/>
                <w:color w:val="000000"/>
                <w:spacing w:val="11"/>
              </w:rPr>
            </w:pPr>
            <w:r>
              <w:rPr>
                <w:rFonts w:hint="eastAsia" w:ascii="宋体" w:hAnsi="宋体" w:cs="宋体"/>
                <w:color w:val="000000"/>
                <w:spacing w:val="11"/>
                <w:lang w:eastAsia="zh-CN"/>
              </w:rPr>
              <w:t>图6</w:t>
            </w:r>
            <w:r>
              <w:rPr>
                <w:rFonts w:hint="eastAsia" w:ascii="宋体" w:hAnsi="宋体" w:eastAsia="宋体" w:cs="宋体"/>
                <w:color w:val="000000"/>
                <w:spacing w:val="11"/>
              </w:rPr>
              <w:t>.3.2 特征工程数目优化</w:t>
            </w:r>
          </w:p>
          <w:p w14:paraId="03598726">
            <w:pPr>
              <w:pStyle w:val="20"/>
              <w:snapToGrid w:val="0"/>
              <w:spacing w:after="120" w:afterLines="50" w:line="360" w:lineRule="auto"/>
              <w:jc w:val="both"/>
              <w:rPr>
                <w:rFonts w:hint="eastAsia" w:ascii="宋体" w:hAnsi="宋体" w:eastAsia="宋体" w:cs="宋体"/>
                <w:b/>
                <w:bCs/>
                <w:color w:val="000000"/>
              </w:rPr>
            </w:pPr>
          </w:p>
          <w:p w14:paraId="1CA27BE6">
            <w:pPr>
              <w:pStyle w:val="22"/>
              <w:snapToGrid w:val="0"/>
              <w:spacing w:after="120" w:afterLines="50" w:line="360" w:lineRule="auto"/>
              <w:ind w:firstLine="320" w:firstLineChars="200"/>
              <w:jc w:val="both"/>
              <w:rPr>
                <w:rFonts w:hint="eastAsia" w:ascii="宋体" w:hAnsi="宋体" w:eastAsia="宋体" w:cs="宋体"/>
                <w:sz w:val="16"/>
                <w:szCs w:val="16"/>
                <w:lang w:val="en-US" w:eastAsia="zh-CN"/>
              </w:rPr>
            </w:pPr>
          </w:p>
          <w:p w14:paraId="2077D7C9">
            <w:pPr>
              <w:pStyle w:val="22"/>
              <w:snapToGrid w:val="0"/>
              <w:spacing w:line="540" w:lineRule="atLeast"/>
              <w:ind w:left="80" w:right="80" w:firstLine="480"/>
              <w:rPr>
                <w:rFonts w:hint="eastAsia" w:ascii="宋体" w:hAnsi="宋体" w:eastAsia="宋体" w:cs="宋体"/>
                <w:color w:val="000000"/>
                <w:sz w:val="20"/>
                <w:szCs w:val="20"/>
                <w:lang w:val="en-US" w:eastAsia="zh-CN" w:bidi="ar-SA"/>
              </w:rPr>
            </w:pPr>
            <w:r>
              <w:rPr>
                <w:rFonts w:hint="eastAsia" w:ascii="宋体" w:hAnsi="宋体" w:eastAsia="宋体" w:cs="宋体"/>
                <w:b/>
                <w:bCs/>
                <w:color w:val="000000"/>
                <w:spacing w:val="11"/>
                <w:lang w:val="en-US" w:eastAsia="zh-CN" w:bidi="ar-SA"/>
              </w:rPr>
              <w:t xml:space="preserve">项目实施的收获和体会，项目工作有哪些不足，有哪些问题尚需深入研究，项目工作中的困难、问题和建议： </w:t>
            </w:r>
          </w:p>
          <w:p w14:paraId="309DFA76">
            <w:pPr>
              <w:snapToGrid w:val="0"/>
              <w:spacing w:after="120" w:afterLines="50" w:line="360" w:lineRule="auto"/>
              <w:ind w:firstLine="480" w:firstLineChars="200"/>
              <w:rPr>
                <w:rFonts w:hint="eastAsia" w:ascii="宋体" w:hAnsi="宋体" w:eastAsia="宋体" w:cs="宋体"/>
                <w:color w:val="000000"/>
                <w:lang w:val="en-US" w:eastAsia="zh-CN" w:bidi="ar-SA"/>
              </w:rPr>
            </w:pPr>
            <w:r>
              <w:rPr>
                <w:rFonts w:hint="eastAsia" w:ascii="宋体" w:hAnsi="宋体" w:eastAsia="宋体" w:cs="宋体"/>
                <w:color w:val="000000"/>
                <w:lang w:val="en-US" w:eastAsia="zh-CN" w:bidi="ar-SA"/>
              </w:rPr>
              <w:t> </w:t>
            </w:r>
          </w:p>
          <w:p w14:paraId="379E3C70">
            <w:pPr>
              <w:snapToGrid w:val="0"/>
              <w:spacing w:after="120" w:afterLines="50" w:line="360" w:lineRule="auto"/>
              <w:ind w:firstLine="524" w:firstLineChars="200"/>
              <w:rPr>
                <w:rFonts w:hint="eastAsia" w:ascii="宋体" w:hAnsi="宋体" w:eastAsia="宋体" w:cs="宋体"/>
                <w:color w:val="000000"/>
                <w:spacing w:val="11"/>
              </w:rPr>
            </w:pPr>
            <w:r>
              <w:rPr>
                <w:rFonts w:hint="eastAsia" w:ascii="宋体" w:hAnsi="宋体" w:eastAsia="宋体" w:cs="宋体"/>
                <w:color w:val="000000"/>
                <w:spacing w:val="11"/>
              </w:rPr>
              <w:t>在本次项目中，我们成功得到高效率轻量化准确率高的锂离子有机电解液电导率预测模型，但在研究的过程中，我们发现不少可以优化的地方与成功的方面</w:t>
            </w:r>
          </w:p>
          <w:p w14:paraId="4C8157AC">
            <w:pPr>
              <w:snapToGrid w:val="0"/>
              <w:spacing w:after="120" w:afterLines="50" w:line="360" w:lineRule="auto"/>
              <w:ind w:firstLine="524" w:firstLineChars="200"/>
              <w:rPr>
                <w:rFonts w:hint="eastAsia" w:ascii="宋体" w:hAnsi="宋体" w:eastAsia="宋体" w:cs="宋体"/>
                <w:color w:val="000000"/>
                <w:spacing w:val="11"/>
              </w:rPr>
            </w:pPr>
            <w:r>
              <w:rPr>
                <w:rFonts w:hint="eastAsia" w:ascii="宋体" w:hAnsi="宋体" w:eastAsia="宋体" w:cs="宋体"/>
                <w:color w:val="000000"/>
                <w:spacing w:val="11"/>
              </w:rPr>
              <w:t>尚待优化的方向：</w:t>
            </w:r>
          </w:p>
          <w:p w14:paraId="190D4A29">
            <w:pPr>
              <w:snapToGrid w:val="0"/>
              <w:spacing w:after="120" w:afterLines="50" w:line="360" w:lineRule="auto"/>
              <w:ind w:firstLine="524" w:firstLineChars="200"/>
              <w:rPr>
                <w:rFonts w:hint="eastAsia" w:ascii="宋体" w:hAnsi="宋体" w:eastAsia="宋体" w:cs="宋体"/>
                <w:color w:val="000000"/>
                <w:spacing w:val="11"/>
              </w:rPr>
            </w:pPr>
            <w:r>
              <w:rPr>
                <w:rFonts w:hint="eastAsia" w:ascii="宋体" w:hAnsi="宋体" w:eastAsia="宋体" w:cs="宋体"/>
                <w:color w:val="000000"/>
                <w:spacing w:val="11"/>
              </w:rPr>
              <w:t xml:space="preserve"> 1. 数据集存在一定偏差。在文献数据提取中，文献值往往是别人实验中理想或性能良好的值，而对于性能差、低电导率的那些广泛数据并没有公布出来。而模型的正交性往往同时也需要那些不值得写进论文的数据。</w:t>
            </w:r>
          </w:p>
          <w:p w14:paraId="2DE2D738">
            <w:pPr>
              <w:snapToGrid w:val="0"/>
              <w:spacing w:after="120" w:afterLines="50" w:line="360" w:lineRule="auto"/>
              <w:ind w:firstLine="524" w:firstLineChars="200"/>
              <w:rPr>
                <w:rFonts w:hint="eastAsia" w:ascii="宋体" w:hAnsi="宋体" w:eastAsia="宋体" w:cs="宋体"/>
                <w:color w:val="000000"/>
                <w:spacing w:val="11"/>
              </w:rPr>
            </w:pPr>
            <w:r>
              <w:rPr>
                <w:rFonts w:hint="eastAsia" w:ascii="宋体" w:hAnsi="宋体" w:eastAsia="宋体" w:cs="宋体"/>
                <w:color w:val="000000"/>
                <w:spacing w:val="11"/>
              </w:rPr>
              <w:t>2. 数据集数据量少。由于目前有机物的复杂性与组合的多样性，大量广泛的样本数据集并没有公开，计算化学得出来的数据存在数量与质量不可兼得的困境。若想进一步研究可能需要与企业或相关领域研究所合作。</w:t>
            </w:r>
          </w:p>
          <w:p w14:paraId="72674E64">
            <w:pPr>
              <w:snapToGrid w:val="0"/>
              <w:spacing w:after="120" w:afterLines="50" w:line="360" w:lineRule="auto"/>
              <w:ind w:firstLine="524" w:firstLineChars="200"/>
              <w:rPr>
                <w:rFonts w:hint="eastAsia" w:ascii="宋体" w:hAnsi="宋体" w:eastAsia="宋体" w:cs="宋体"/>
                <w:color w:val="000000"/>
                <w:spacing w:val="11"/>
              </w:rPr>
            </w:pPr>
            <w:r>
              <w:rPr>
                <w:rFonts w:hint="eastAsia" w:ascii="宋体" w:hAnsi="宋体" w:eastAsia="宋体" w:cs="宋体"/>
                <w:color w:val="000000"/>
                <w:spacing w:val="11"/>
              </w:rPr>
              <w:t>3. 特征工程的进一步透明化。目前仅仅通过分子结构来绘制溶剂分子的特征分布，并没有引入介电常数、电子亲和力等与电导率等联系更为密切的特征，这对于模型的可解释性存在一定的局限。</w:t>
            </w:r>
          </w:p>
          <w:p w14:paraId="00374460">
            <w:pPr>
              <w:snapToGrid w:val="0"/>
              <w:spacing w:after="120" w:afterLines="50" w:line="360" w:lineRule="auto"/>
              <w:ind w:firstLine="524" w:firstLineChars="200"/>
              <w:rPr>
                <w:rFonts w:hint="eastAsia" w:ascii="宋体" w:hAnsi="宋体" w:eastAsia="宋体" w:cs="宋体"/>
                <w:color w:val="000000"/>
                <w:spacing w:val="11"/>
              </w:rPr>
            </w:pPr>
            <w:r>
              <w:rPr>
                <w:rFonts w:hint="eastAsia" w:ascii="宋体" w:hAnsi="宋体" w:eastAsia="宋体" w:cs="宋体"/>
                <w:color w:val="000000"/>
                <w:spacing w:val="11"/>
              </w:rPr>
              <w:t>4. 数据驱动存在局限性。在混合溶液性质计算中，使用的是加权平均和的形式，这样固然存在优势，但更深层的知识驱动才能推动模型的优化。同时，由于数据集中单位的不同（如浓度的v与w），我们暂时的方案是不统一单位而将这个也作为特征输入进模型，因为混合物的密度在不同温度、盐下往往存在区别，这同样是需要更深层的知识驱动才能推动模型的优化。</w:t>
            </w:r>
          </w:p>
          <w:p w14:paraId="6346B5AB">
            <w:pPr>
              <w:snapToGrid w:val="0"/>
              <w:spacing w:after="120" w:afterLines="50" w:line="360" w:lineRule="auto"/>
              <w:ind w:firstLine="524" w:firstLineChars="200"/>
              <w:rPr>
                <w:rFonts w:hint="eastAsia" w:ascii="宋体" w:hAnsi="宋体" w:eastAsia="宋体" w:cs="宋体"/>
                <w:color w:val="000000"/>
                <w:spacing w:val="11"/>
              </w:rPr>
            </w:pPr>
          </w:p>
          <w:p w14:paraId="2AB45410">
            <w:pPr>
              <w:snapToGrid w:val="0"/>
              <w:spacing w:after="120" w:afterLines="50" w:line="360" w:lineRule="auto"/>
              <w:ind w:firstLine="524" w:firstLineChars="200"/>
              <w:rPr>
                <w:rFonts w:hint="eastAsia" w:ascii="宋体" w:hAnsi="宋体" w:eastAsia="宋体" w:cs="宋体"/>
                <w:color w:val="000000"/>
                <w:spacing w:val="11"/>
              </w:rPr>
            </w:pPr>
            <w:r>
              <w:rPr>
                <w:rFonts w:hint="eastAsia" w:ascii="宋体" w:hAnsi="宋体" w:eastAsia="宋体" w:cs="宋体"/>
                <w:color w:val="000000"/>
                <w:spacing w:val="11"/>
              </w:rPr>
              <w:t>成功的方面：</w:t>
            </w:r>
          </w:p>
          <w:p w14:paraId="6309C419">
            <w:pPr>
              <w:snapToGrid w:val="0"/>
              <w:spacing w:after="120" w:afterLines="50" w:line="360" w:lineRule="auto"/>
              <w:ind w:firstLine="524" w:firstLineChars="200"/>
              <w:rPr>
                <w:rFonts w:hint="eastAsia" w:ascii="宋体" w:hAnsi="宋体" w:eastAsia="宋体" w:cs="宋体"/>
                <w:color w:val="000000"/>
                <w:spacing w:val="11"/>
              </w:rPr>
            </w:pPr>
            <w:r>
              <w:rPr>
                <w:rFonts w:hint="eastAsia" w:ascii="宋体" w:hAnsi="宋体" w:eastAsia="宋体" w:cs="宋体"/>
                <w:color w:val="000000"/>
                <w:spacing w:val="11"/>
              </w:rPr>
              <w:t>1. 在机器学习与化学结合领域，我们在数据量少的情况下成功得到模型，这为化学其它同样深层缺乏研究的领域的研究提供一定的参考价值。</w:t>
            </w:r>
          </w:p>
          <w:p w14:paraId="08B4EE91">
            <w:pPr>
              <w:snapToGrid w:val="0"/>
              <w:spacing w:after="120" w:afterLines="50" w:line="360" w:lineRule="auto"/>
              <w:ind w:firstLine="524" w:firstLineChars="200"/>
              <w:rPr>
                <w:rFonts w:hint="eastAsia" w:ascii="宋体" w:hAnsi="宋体" w:eastAsia="宋体" w:cs="宋体"/>
                <w:color w:val="000000"/>
                <w:spacing w:val="11"/>
              </w:rPr>
            </w:pPr>
            <w:r>
              <w:rPr>
                <w:rFonts w:hint="eastAsia" w:ascii="宋体" w:hAnsi="宋体" w:eastAsia="宋体" w:cs="宋体"/>
                <w:color w:val="000000"/>
                <w:spacing w:val="11"/>
              </w:rPr>
              <w:t>2. 在工程应用领域，我们所得到的特征几乎都是可以从脚本中获取，模型包装一下能够实现对批量数据的轻量化高效率预测，能够满足90%的初筛需求。</w:t>
            </w:r>
          </w:p>
          <w:p w14:paraId="2030F157">
            <w:pPr>
              <w:snapToGrid w:val="0"/>
              <w:spacing w:after="120" w:afterLines="50" w:line="360" w:lineRule="auto"/>
              <w:ind w:firstLine="524" w:firstLineChars="200"/>
              <w:rPr>
                <w:rFonts w:ascii="宋体" w:hAnsi="宋体" w:cs="宋体"/>
                <w:color w:val="000000"/>
                <w:lang w:bidi="ar-SA"/>
              </w:rPr>
            </w:pPr>
            <w:r>
              <w:rPr>
                <w:rFonts w:hint="eastAsia" w:ascii="宋体" w:hAnsi="宋体" w:eastAsia="宋体" w:cs="宋体"/>
                <w:color w:val="000000"/>
                <w:spacing w:val="11"/>
              </w:rPr>
              <w:t>3. 在化学研究领域，我们的特征工程与模型的结构可以通过更改输入的数据集来进一步研究各种特征与电导率的关系，这对相关领域的研究提供了一个参考思路</w:t>
            </w:r>
          </w:p>
        </w:tc>
      </w:tr>
    </w:tbl>
    <w:p w14:paraId="012A4741">
      <w:pPr>
        <w:pStyle w:val="5"/>
        <w:spacing w:before="100" w:after="100" w:line="600" w:lineRule="atLeast"/>
        <w:rPr>
          <w:lang w:val="en-US" w:eastAsia="zh-CN" w:bidi="ar-SA"/>
        </w:rPr>
      </w:pPr>
      <w:r>
        <w:rPr>
          <w:rFonts w:ascii="黑体" w:hAnsi="黑体" w:eastAsia="黑体" w:cs="黑体"/>
          <w:sz w:val="28"/>
          <w:szCs w:val="28"/>
          <w:lang w:val="en-US" w:eastAsia="zh-CN" w:bidi="ar-SA"/>
        </w:rPr>
        <w:t>三、 经费开支与报销情况（必填）</w:t>
      </w:r>
    </w:p>
    <w:tbl>
      <w:tblPr>
        <w:tblStyle w:val="12"/>
        <w:tblW w:w="5000" w:type="pct"/>
        <w:tblInd w:w="92" w:type="dxa"/>
        <w:tblLayout w:type="autofit"/>
        <w:tblCellMar>
          <w:top w:w="15" w:type="dxa"/>
          <w:left w:w="15" w:type="dxa"/>
          <w:bottom w:w="15" w:type="dxa"/>
          <w:right w:w="15" w:type="dxa"/>
        </w:tblCellMar>
      </w:tblPr>
      <w:tblGrid>
        <w:gridCol w:w="8900"/>
      </w:tblGrid>
      <w:tr w14:paraId="0BBAB83C">
        <w:tblPrEx>
          <w:tblCellMar>
            <w:top w:w="15" w:type="dxa"/>
            <w:left w:w="15" w:type="dxa"/>
            <w:bottom w:w="15" w:type="dxa"/>
            <w:right w:w="15" w:type="dxa"/>
          </w:tblCellMar>
        </w:tblPrEx>
        <w:trPr>
          <w:trHeight w:val="1696" w:hRule="atLeast"/>
        </w:trPr>
        <w:tc>
          <w:tcPr>
            <w:tcW w:w="0" w:type="auto"/>
            <w:tcBorders>
              <w:top w:val="single" w:color="000000" w:sz="8" w:space="0"/>
              <w:left w:val="single" w:color="000000" w:sz="8" w:space="0"/>
              <w:bottom w:val="single" w:color="000000" w:sz="8" w:space="0"/>
              <w:right w:val="single" w:color="000000" w:sz="8" w:space="0"/>
            </w:tcBorders>
            <w:shd w:val="clear" w:color="auto" w:fill="auto"/>
            <w:tcMar>
              <w:top w:w="130" w:type="dxa"/>
              <w:left w:w="130" w:type="dxa"/>
              <w:bottom w:w="130" w:type="dxa"/>
              <w:right w:w="130" w:type="dxa"/>
            </w:tcMar>
            <w:vAlign w:val="center"/>
          </w:tcPr>
          <w:p w14:paraId="4DFC4C0C">
            <w:pPr>
              <w:pStyle w:val="20"/>
              <w:spacing w:before="60" w:after="60" w:line="480" w:lineRule="atLeast"/>
              <w:ind w:right="562" w:firstLine="526"/>
              <w:rPr>
                <w:color w:val="000000"/>
                <w:lang w:val="en-US" w:eastAsia="zh-CN" w:bidi="ar-SA"/>
              </w:rPr>
            </w:pPr>
            <w:r>
              <w:rPr>
                <w:rFonts w:ascii="宋体" w:hAnsi="宋体" w:eastAsia="宋体" w:cs="宋体"/>
                <w:b/>
                <w:bCs/>
                <w:color w:val="000000"/>
                <w:lang w:val="en-US" w:eastAsia="zh-CN" w:bidi="ar-SA"/>
              </w:rPr>
              <w:t xml:space="preserve">经费报销情况 </w:t>
            </w:r>
          </w:p>
          <w:p w14:paraId="62FE547B">
            <w:pPr>
              <w:pStyle w:val="20"/>
              <w:spacing w:before="60" w:after="60" w:line="480" w:lineRule="atLeast"/>
              <w:ind w:right="562"/>
              <w:rPr>
                <w:color w:val="000000"/>
                <w:lang w:val="en-US" w:eastAsia="zh-CN" w:bidi="ar-SA"/>
              </w:rPr>
            </w:pPr>
          </w:p>
          <w:tbl>
            <w:tblPr>
              <w:tblStyle w:val="12"/>
              <w:tblpPr w:leftFromText="180" w:rightFromText="180" w:vertAnchor="text" w:horzAnchor="page" w:tblpX="920" w:tblpY="367"/>
              <w:tblOverlap w:val="never"/>
              <w:tblW w:w="64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1"/>
              <w:gridCol w:w="2300"/>
              <w:gridCol w:w="3576"/>
            </w:tblGrid>
            <w:tr w14:paraId="69B71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871" w:type="dxa"/>
                  <w:gridSpan w:val="2"/>
                  <w:vAlign w:val="center"/>
                </w:tcPr>
                <w:p w14:paraId="51FBDC1B">
                  <w:pPr>
                    <w:jc w:val="center"/>
                    <w:rPr>
                      <w:rFonts w:eastAsia="楷体"/>
                      <w:color w:val="000000"/>
                      <w:szCs w:val="21"/>
                    </w:rPr>
                  </w:pPr>
                  <w:r>
                    <w:rPr>
                      <w:rFonts w:eastAsia="楷体"/>
                      <w:color w:val="000000"/>
                      <w:szCs w:val="21"/>
                    </w:rPr>
                    <w:t>资助经费</w:t>
                  </w:r>
                </w:p>
              </w:tc>
              <w:tc>
                <w:tcPr>
                  <w:tcW w:w="3576" w:type="dxa"/>
                  <w:vAlign w:val="center"/>
                </w:tcPr>
                <w:p w14:paraId="4637E774">
                  <w:pPr>
                    <w:jc w:val="center"/>
                    <w:rPr>
                      <w:rFonts w:eastAsia="楷体"/>
                      <w:color w:val="000000"/>
                      <w:szCs w:val="21"/>
                    </w:rPr>
                  </w:pPr>
                  <w:r>
                    <w:rPr>
                      <w:rFonts w:hint="eastAsia" w:eastAsia="楷体"/>
                      <w:color w:val="000000"/>
                      <w:szCs w:val="21"/>
                    </w:rPr>
                    <w:t>6</w:t>
                  </w:r>
                  <w:r>
                    <w:rPr>
                      <w:rFonts w:eastAsia="楷体"/>
                      <w:color w:val="000000"/>
                      <w:szCs w:val="21"/>
                    </w:rPr>
                    <w:t>000元</w:t>
                  </w:r>
                </w:p>
              </w:tc>
            </w:tr>
            <w:tr w14:paraId="4E110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571" w:type="dxa"/>
                  <w:vMerge w:val="restart"/>
                  <w:vAlign w:val="center"/>
                </w:tcPr>
                <w:p w14:paraId="30541465">
                  <w:pPr>
                    <w:jc w:val="center"/>
                    <w:rPr>
                      <w:rFonts w:eastAsia="楷体"/>
                      <w:color w:val="000000"/>
                      <w:szCs w:val="21"/>
                    </w:rPr>
                  </w:pPr>
                  <w:r>
                    <w:rPr>
                      <w:rFonts w:eastAsia="楷体"/>
                      <w:color w:val="000000"/>
                      <w:szCs w:val="21"/>
                    </w:rPr>
                    <w:t>资助经费具体使用情况</w:t>
                  </w:r>
                </w:p>
              </w:tc>
              <w:tc>
                <w:tcPr>
                  <w:tcW w:w="2300" w:type="dxa"/>
                  <w:vAlign w:val="center"/>
                </w:tcPr>
                <w:p w14:paraId="249F2ED9">
                  <w:pPr>
                    <w:jc w:val="center"/>
                    <w:rPr>
                      <w:rFonts w:eastAsia="楷体"/>
                      <w:color w:val="000000"/>
                      <w:szCs w:val="21"/>
                    </w:rPr>
                  </w:pPr>
                  <w:r>
                    <w:rPr>
                      <w:rFonts w:eastAsia="楷体"/>
                      <w:color w:val="000000"/>
                      <w:szCs w:val="21"/>
                    </w:rPr>
                    <w:t>项目</w:t>
                  </w:r>
                </w:p>
              </w:tc>
              <w:tc>
                <w:tcPr>
                  <w:tcW w:w="3576" w:type="dxa"/>
                  <w:vAlign w:val="center"/>
                </w:tcPr>
                <w:p w14:paraId="09D5119A">
                  <w:pPr>
                    <w:jc w:val="center"/>
                    <w:rPr>
                      <w:rFonts w:eastAsia="楷体"/>
                      <w:color w:val="000000"/>
                      <w:szCs w:val="21"/>
                    </w:rPr>
                  </w:pPr>
                  <w:r>
                    <w:rPr>
                      <w:rFonts w:eastAsia="楷体"/>
                      <w:color w:val="000000"/>
                      <w:szCs w:val="21"/>
                    </w:rPr>
                    <w:t>金额（元）</w:t>
                  </w:r>
                </w:p>
              </w:tc>
            </w:tr>
            <w:tr w14:paraId="13589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8" w:hRule="atLeast"/>
              </w:trPr>
              <w:tc>
                <w:tcPr>
                  <w:tcW w:w="571" w:type="dxa"/>
                  <w:vMerge w:val="continue"/>
                  <w:vAlign w:val="center"/>
                </w:tcPr>
                <w:p w14:paraId="7D71CE66">
                  <w:pPr>
                    <w:jc w:val="center"/>
                    <w:rPr>
                      <w:rFonts w:eastAsia="楷体"/>
                      <w:color w:val="000000"/>
                      <w:szCs w:val="21"/>
                    </w:rPr>
                  </w:pPr>
                </w:p>
              </w:tc>
              <w:tc>
                <w:tcPr>
                  <w:tcW w:w="2300" w:type="dxa"/>
                  <w:vAlign w:val="center"/>
                </w:tcPr>
                <w:p w14:paraId="12082AA6">
                  <w:pPr>
                    <w:jc w:val="center"/>
                    <w:rPr>
                      <w:rFonts w:eastAsia="楷体"/>
                      <w:color w:val="000000"/>
                      <w:szCs w:val="21"/>
                    </w:rPr>
                  </w:pPr>
                  <w:r>
                    <w:rPr>
                      <w:rFonts w:eastAsia="楷体"/>
                      <w:color w:val="000000"/>
                      <w:szCs w:val="21"/>
                    </w:rPr>
                    <w:t>计算、分析、测试费</w:t>
                  </w:r>
                </w:p>
              </w:tc>
              <w:tc>
                <w:tcPr>
                  <w:tcW w:w="3576" w:type="dxa"/>
                  <w:vAlign w:val="center"/>
                </w:tcPr>
                <w:p w14:paraId="5E58E510">
                  <w:pPr>
                    <w:jc w:val="center"/>
                    <w:rPr>
                      <w:rFonts w:eastAsia="楷体"/>
                      <w:color w:val="000000"/>
                      <w:szCs w:val="21"/>
                    </w:rPr>
                  </w:pPr>
                  <w:r>
                    <w:rPr>
                      <w:rFonts w:hint="eastAsia" w:eastAsia="楷体"/>
                      <w:color w:val="000000"/>
                      <w:szCs w:val="21"/>
                      <w:lang w:val="en-US" w:eastAsia="zh-CN"/>
                    </w:rPr>
                    <w:t>6</w:t>
                  </w:r>
                  <w:r>
                    <w:rPr>
                      <w:rFonts w:eastAsia="楷体"/>
                      <w:color w:val="000000"/>
                      <w:szCs w:val="21"/>
                    </w:rPr>
                    <w:t>000</w:t>
                  </w:r>
                </w:p>
              </w:tc>
            </w:tr>
            <w:tr w14:paraId="3A061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4" w:hRule="atLeast"/>
              </w:trPr>
              <w:tc>
                <w:tcPr>
                  <w:tcW w:w="571" w:type="dxa"/>
                  <w:vMerge w:val="continue"/>
                  <w:vAlign w:val="center"/>
                </w:tcPr>
                <w:p w14:paraId="47BD709A">
                  <w:pPr>
                    <w:jc w:val="center"/>
                    <w:rPr>
                      <w:rFonts w:eastAsia="楷体"/>
                      <w:color w:val="000000"/>
                      <w:szCs w:val="21"/>
                    </w:rPr>
                  </w:pPr>
                </w:p>
              </w:tc>
              <w:tc>
                <w:tcPr>
                  <w:tcW w:w="2300" w:type="dxa"/>
                  <w:vAlign w:val="center"/>
                </w:tcPr>
                <w:p w14:paraId="499591DF">
                  <w:pPr>
                    <w:jc w:val="center"/>
                    <w:rPr>
                      <w:rFonts w:eastAsia="楷体"/>
                      <w:color w:val="000000"/>
                      <w:szCs w:val="21"/>
                    </w:rPr>
                  </w:pPr>
                  <w:r>
                    <w:rPr>
                      <w:rFonts w:eastAsia="楷体"/>
                      <w:color w:val="000000"/>
                      <w:szCs w:val="21"/>
                    </w:rPr>
                    <w:t>合    计</w:t>
                  </w:r>
                </w:p>
              </w:tc>
              <w:tc>
                <w:tcPr>
                  <w:tcW w:w="3576" w:type="dxa"/>
                  <w:vAlign w:val="center"/>
                </w:tcPr>
                <w:p w14:paraId="0A09EE42">
                  <w:pPr>
                    <w:jc w:val="center"/>
                    <w:rPr>
                      <w:rFonts w:eastAsia="楷体"/>
                      <w:color w:val="000000"/>
                      <w:szCs w:val="21"/>
                    </w:rPr>
                  </w:pPr>
                  <w:r>
                    <w:rPr>
                      <w:rFonts w:hint="eastAsia" w:eastAsia="楷体"/>
                      <w:color w:val="000000"/>
                      <w:szCs w:val="21"/>
                      <w:lang w:val="en-US" w:eastAsia="zh-CN"/>
                    </w:rPr>
                    <w:t>6</w:t>
                  </w:r>
                  <w:r>
                    <w:rPr>
                      <w:rFonts w:eastAsia="楷体"/>
                      <w:color w:val="000000"/>
                      <w:szCs w:val="21"/>
                    </w:rPr>
                    <w:t>000</w:t>
                  </w:r>
                </w:p>
              </w:tc>
            </w:tr>
            <w:tr w14:paraId="1F2C6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571" w:type="dxa"/>
                  <w:vMerge w:val="continue"/>
                  <w:vAlign w:val="center"/>
                </w:tcPr>
                <w:p w14:paraId="15A3884A">
                  <w:pPr>
                    <w:jc w:val="center"/>
                    <w:rPr>
                      <w:rFonts w:eastAsia="楷体"/>
                      <w:color w:val="000000"/>
                      <w:szCs w:val="21"/>
                    </w:rPr>
                  </w:pPr>
                </w:p>
              </w:tc>
              <w:tc>
                <w:tcPr>
                  <w:tcW w:w="2300" w:type="dxa"/>
                  <w:vAlign w:val="center"/>
                </w:tcPr>
                <w:p w14:paraId="3DB03B20">
                  <w:pPr>
                    <w:jc w:val="center"/>
                    <w:rPr>
                      <w:rFonts w:eastAsia="楷体"/>
                      <w:color w:val="000000"/>
                      <w:szCs w:val="21"/>
                    </w:rPr>
                  </w:pPr>
                  <w:commentRangeStart w:id="2"/>
                  <w:r>
                    <w:rPr>
                      <w:rFonts w:eastAsia="楷体"/>
                      <w:color w:val="000000"/>
                      <w:szCs w:val="21"/>
                    </w:rPr>
                    <w:t>经费结余</w:t>
                  </w:r>
                </w:p>
              </w:tc>
              <w:tc>
                <w:tcPr>
                  <w:tcW w:w="3576" w:type="dxa"/>
                  <w:vAlign w:val="center"/>
                </w:tcPr>
                <w:p w14:paraId="2CD915F7">
                  <w:pPr>
                    <w:jc w:val="center"/>
                    <w:rPr>
                      <w:rFonts w:eastAsia="楷体"/>
                      <w:color w:val="000000"/>
                      <w:szCs w:val="21"/>
                    </w:rPr>
                  </w:pPr>
                  <w:r>
                    <w:rPr>
                      <w:rFonts w:eastAsia="楷体"/>
                      <w:color w:val="000000"/>
                      <w:szCs w:val="21"/>
                    </w:rPr>
                    <w:t>0.00</w:t>
                  </w:r>
                  <w:commentRangeEnd w:id="2"/>
                  <w:r>
                    <w:rPr>
                      <w:rStyle w:val="17"/>
                    </w:rPr>
                    <w:commentReference w:id="2"/>
                  </w:r>
                </w:p>
              </w:tc>
            </w:tr>
          </w:tbl>
          <w:p w14:paraId="05AABF20">
            <w:pPr>
              <w:pStyle w:val="20"/>
              <w:spacing w:before="60" w:after="60" w:line="480" w:lineRule="atLeast"/>
              <w:ind w:right="562"/>
              <w:rPr>
                <w:rFonts w:ascii="Times New Roman" w:hAnsi="Times New Roman" w:eastAsia="楷体" w:cs="Times New Roman"/>
                <w:color w:val="000000"/>
              </w:rPr>
            </w:pPr>
          </w:p>
          <w:p w14:paraId="0272DDFC">
            <w:pPr>
              <w:pStyle w:val="20"/>
              <w:spacing w:before="60" w:after="60" w:line="480" w:lineRule="atLeast"/>
              <w:ind w:right="562" w:firstLine="524"/>
              <w:rPr>
                <w:color w:val="000000"/>
                <w:lang w:val="en-US" w:eastAsia="zh-CN" w:bidi="ar-SA"/>
              </w:rPr>
            </w:pPr>
          </w:p>
        </w:tc>
      </w:tr>
    </w:tbl>
    <w:p w14:paraId="153A854F">
      <w:pPr>
        <w:pStyle w:val="5"/>
        <w:spacing w:before="100" w:after="100" w:line="600" w:lineRule="atLeast"/>
        <w:rPr>
          <w:lang w:val="en-US" w:eastAsia="zh-CN" w:bidi="ar-SA"/>
        </w:rPr>
      </w:pPr>
      <w:r>
        <w:rPr>
          <w:rFonts w:ascii="黑体" w:hAnsi="黑体" w:eastAsia="黑体" w:cs="黑体"/>
          <w:sz w:val="28"/>
          <w:szCs w:val="28"/>
          <w:lang w:val="en-US" w:eastAsia="zh-CN" w:bidi="ar-SA"/>
        </w:rPr>
        <w:t xml:space="preserve">四、 指导老师结题意见 </w:t>
      </w:r>
    </w:p>
    <w:tbl>
      <w:tblPr>
        <w:tblStyle w:val="12"/>
        <w:tblW w:w="5000" w:type="pct"/>
        <w:tblInd w:w="332" w:type="dxa"/>
        <w:tblLayout w:type="autofit"/>
        <w:tblCellMar>
          <w:top w:w="15" w:type="dxa"/>
          <w:left w:w="15" w:type="dxa"/>
          <w:bottom w:w="15" w:type="dxa"/>
          <w:right w:w="15" w:type="dxa"/>
        </w:tblCellMar>
      </w:tblPr>
      <w:tblGrid>
        <w:gridCol w:w="8740"/>
      </w:tblGrid>
      <w:tr w14:paraId="30B07141">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color="auto" w:fill="auto"/>
            <w:tcMar>
              <w:top w:w="130" w:type="dxa"/>
              <w:left w:w="50" w:type="dxa"/>
              <w:bottom w:w="130" w:type="dxa"/>
              <w:right w:w="50" w:type="dxa"/>
            </w:tcMar>
            <w:vAlign w:val="center"/>
          </w:tcPr>
          <w:p w14:paraId="0118D1F4">
            <w:pPr>
              <w:pStyle w:val="20"/>
              <w:spacing w:before="240" w:after="240"/>
              <w:ind w:left="240" w:right="240"/>
              <w:rPr>
                <w:color w:val="000000"/>
                <w:lang w:val="en-US" w:eastAsia="zh-CN" w:bidi="ar-SA"/>
              </w:rPr>
            </w:pPr>
            <w:r>
              <w:rPr>
                <w:rFonts w:ascii="宋体" w:hAnsi="宋体" w:eastAsia="宋体" w:cs="宋体"/>
                <w:color w:val="000000"/>
                <w:lang w:val="en-US" w:eastAsia="zh-CN" w:bidi="ar-SA"/>
              </w:rPr>
              <w:t xml:space="preserve">  </w:t>
            </w:r>
          </w:p>
          <w:p w14:paraId="303B32F4">
            <w:pPr>
              <w:pStyle w:val="20"/>
              <w:spacing w:before="240" w:after="40"/>
              <w:ind w:right="800"/>
              <w:jc w:val="right"/>
              <w:rPr>
                <w:color w:val="000000"/>
                <w:lang w:val="en-US" w:eastAsia="zh-CN" w:bidi="ar-SA"/>
              </w:rPr>
            </w:pPr>
            <w:r>
              <w:rPr>
                <w:rFonts w:ascii="仿宋" w:hAnsi="仿宋" w:eastAsia="仿宋" w:cs="仿宋"/>
                <w:b/>
                <w:bCs/>
                <w:color w:val="000000"/>
                <w:lang w:val="en-US" w:eastAsia="zh-CN" w:bidi="ar-SA"/>
              </w:rPr>
              <w:t>导师：</w:t>
            </w:r>
            <w:r>
              <w:rPr>
                <w:rFonts w:ascii="Calibri" w:hAnsi="Calibri" w:eastAsia="Calibri" w:cs="Calibri"/>
                <w:b/>
                <w:bCs/>
                <w:color w:val="000000"/>
                <w:lang w:val="en-US" w:eastAsia="zh-CN" w:bidi="ar-SA"/>
              </w:rPr>
              <w:t>          </w:t>
            </w:r>
          </w:p>
          <w:p w14:paraId="6A1E8A67">
            <w:pPr>
              <w:pStyle w:val="20"/>
              <w:spacing w:before="240" w:after="40"/>
              <w:ind w:right="800"/>
              <w:jc w:val="right"/>
              <w:rPr>
                <w:color w:val="000000"/>
                <w:lang w:val="en-US" w:eastAsia="zh-CN" w:bidi="ar-SA"/>
              </w:rPr>
            </w:pPr>
            <w:r>
              <w:rPr>
                <w:rFonts w:ascii="Calibri" w:hAnsi="Calibri" w:eastAsia="Calibri" w:cs="Calibri"/>
                <w:b/>
                <w:bCs/>
                <w:color w:val="000000"/>
                <w:lang w:val="en-US" w:eastAsia="zh-CN" w:bidi="ar-SA"/>
              </w:rPr>
              <w:t>  </w:t>
            </w:r>
            <w:r>
              <w:rPr>
                <w:rFonts w:ascii="仿宋" w:hAnsi="仿宋" w:eastAsia="仿宋" w:cs="仿宋"/>
                <w:b/>
                <w:bCs/>
                <w:color w:val="000000"/>
                <w:lang w:val="en-US" w:eastAsia="zh-CN" w:bidi="ar-SA"/>
              </w:rPr>
              <w:t>年</w:t>
            </w:r>
            <w:r>
              <w:rPr>
                <w:rFonts w:ascii="Calibri" w:hAnsi="Calibri" w:eastAsia="Calibri" w:cs="Calibri"/>
                <w:b/>
                <w:bCs/>
                <w:color w:val="000000"/>
                <w:lang w:val="en-US" w:eastAsia="zh-CN" w:bidi="ar-SA"/>
              </w:rPr>
              <w:t>        </w:t>
            </w:r>
            <w:r>
              <w:rPr>
                <w:rFonts w:ascii="仿宋" w:hAnsi="仿宋" w:eastAsia="仿宋" w:cs="仿宋"/>
                <w:b/>
                <w:bCs/>
                <w:color w:val="000000"/>
                <w:lang w:val="en-US" w:eastAsia="zh-CN" w:bidi="ar-SA"/>
              </w:rPr>
              <w:t>月</w:t>
            </w:r>
            <w:r>
              <w:rPr>
                <w:rFonts w:ascii="Calibri" w:hAnsi="Calibri" w:eastAsia="Calibri" w:cs="Calibri"/>
                <w:b/>
                <w:bCs/>
                <w:color w:val="000000"/>
                <w:lang w:val="en-US" w:eastAsia="zh-CN" w:bidi="ar-SA"/>
              </w:rPr>
              <w:t>        </w:t>
            </w:r>
            <w:r>
              <w:rPr>
                <w:rFonts w:ascii="仿宋" w:hAnsi="仿宋" w:eastAsia="仿宋" w:cs="仿宋"/>
                <w:b/>
                <w:bCs/>
                <w:color w:val="000000"/>
                <w:lang w:val="en-US" w:eastAsia="zh-CN" w:bidi="ar-SA"/>
              </w:rPr>
              <w:t>日</w:t>
            </w:r>
            <w:r>
              <w:rPr>
                <w:rFonts w:ascii="Calibri" w:hAnsi="Calibri" w:eastAsia="Calibri" w:cs="Calibri"/>
                <w:b/>
                <w:bCs/>
                <w:color w:val="000000"/>
                <w:lang w:val="en-US" w:eastAsia="zh-CN" w:bidi="ar-SA"/>
              </w:rPr>
              <w:t>  </w:t>
            </w:r>
          </w:p>
        </w:tc>
      </w:tr>
    </w:tbl>
    <w:p w14:paraId="7BF58A4D">
      <w:pPr>
        <w:pStyle w:val="5"/>
        <w:spacing w:before="100" w:after="100" w:line="600" w:lineRule="atLeast"/>
        <w:rPr>
          <w:lang w:val="en-US" w:eastAsia="zh-CN" w:bidi="ar-SA"/>
        </w:rPr>
      </w:pPr>
      <w:r>
        <w:rPr>
          <w:rFonts w:ascii="黑体" w:hAnsi="黑体" w:eastAsia="黑体" w:cs="黑体"/>
          <w:sz w:val="28"/>
          <w:szCs w:val="28"/>
          <w:lang w:val="en-US" w:eastAsia="zh-CN" w:bidi="ar-SA"/>
        </w:rPr>
        <w:t xml:space="preserve">五、 院系结题意见 </w:t>
      </w:r>
    </w:p>
    <w:tbl>
      <w:tblPr>
        <w:tblStyle w:val="12"/>
        <w:tblW w:w="5000" w:type="pct"/>
        <w:tblInd w:w="332" w:type="dxa"/>
        <w:tblLayout w:type="autofit"/>
        <w:tblCellMar>
          <w:top w:w="15" w:type="dxa"/>
          <w:left w:w="15" w:type="dxa"/>
          <w:bottom w:w="15" w:type="dxa"/>
          <w:right w:w="15" w:type="dxa"/>
        </w:tblCellMar>
      </w:tblPr>
      <w:tblGrid>
        <w:gridCol w:w="8740"/>
      </w:tblGrid>
      <w:tr w14:paraId="78093909">
        <w:tblPrEx>
          <w:tblCellMar>
            <w:top w:w="15" w:type="dxa"/>
            <w:left w:w="15" w:type="dxa"/>
            <w:bottom w:w="15" w:type="dxa"/>
            <w:right w:w="15" w:type="dxa"/>
          </w:tblCellMar>
        </w:tblPrEx>
        <w:tc>
          <w:tcPr>
            <w:tcW w:w="0" w:type="auto"/>
            <w:tcBorders>
              <w:top w:val="single" w:color="000000" w:sz="8" w:space="0"/>
              <w:left w:val="single" w:color="000000" w:sz="8" w:space="0"/>
              <w:bottom w:val="single" w:color="000000" w:sz="8" w:space="0"/>
              <w:right w:val="single" w:color="000000" w:sz="8" w:space="0"/>
            </w:tcBorders>
            <w:shd w:val="clear" w:color="auto" w:fill="auto"/>
            <w:tcMar>
              <w:top w:w="130" w:type="dxa"/>
              <w:left w:w="50" w:type="dxa"/>
              <w:bottom w:w="130" w:type="dxa"/>
              <w:right w:w="50" w:type="dxa"/>
            </w:tcMar>
            <w:vAlign w:val="center"/>
          </w:tcPr>
          <w:p w14:paraId="15C794F3">
            <w:pPr>
              <w:pStyle w:val="20"/>
              <w:spacing w:before="240" w:after="40"/>
              <w:ind w:right="800"/>
              <w:jc w:val="right"/>
              <w:rPr>
                <w:color w:val="000000"/>
                <w:lang w:val="en-US" w:eastAsia="zh-CN" w:bidi="ar-SA"/>
              </w:rPr>
            </w:pPr>
            <w:r>
              <w:rPr>
                <w:rFonts w:ascii="Calibri" w:hAnsi="Calibri" w:eastAsia="Calibri" w:cs="Calibri"/>
                <w:b/>
                <w:bCs/>
                <w:color w:val="000000"/>
                <w:lang w:val="en-US" w:eastAsia="zh-CN" w:bidi="ar-SA"/>
              </w:rPr>
              <w:t> </w:t>
            </w:r>
          </w:p>
          <w:p w14:paraId="24A9F430">
            <w:pPr>
              <w:pStyle w:val="20"/>
              <w:spacing w:before="240" w:after="40"/>
              <w:ind w:right="800"/>
              <w:jc w:val="right"/>
              <w:rPr>
                <w:color w:val="000000"/>
                <w:lang w:val="en-US" w:eastAsia="zh-CN" w:bidi="ar-SA"/>
              </w:rPr>
            </w:pPr>
            <w:r>
              <w:rPr>
                <w:rFonts w:ascii="Calibri" w:hAnsi="Calibri" w:eastAsia="Calibri" w:cs="Calibri"/>
                <w:b/>
                <w:bCs/>
                <w:color w:val="000000"/>
                <w:lang w:val="en-US" w:eastAsia="zh-CN" w:bidi="ar-SA"/>
              </w:rPr>
              <w:t> </w:t>
            </w:r>
          </w:p>
          <w:p w14:paraId="27099AF9">
            <w:pPr>
              <w:pStyle w:val="20"/>
              <w:spacing w:before="240" w:after="40"/>
              <w:ind w:right="800"/>
              <w:jc w:val="right"/>
              <w:rPr>
                <w:color w:val="000000"/>
                <w:lang w:val="en-US" w:eastAsia="zh-CN" w:bidi="ar-SA"/>
              </w:rPr>
            </w:pPr>
            <w:r>
              <w:rPr>
                <w:rFonts w:ascii="Calibri" w:hAnsi="Calibri" w:eastAsia="Calibri" w:cs="Calibri"/>
                <w:b/>
                <w:bCs/>
                <w:color w:val="000000"/>
                <w:lang w:val="en-US" w:eastAsia="zh-CN" w:bidi="ar-SA"/>
              </w:rPr>
              <w:t> </w:t>
            </w:r>
          </w:p>
          <w:p w14:paraId="368B0B83">
            <w:pPr>
              <w:pStyle w:val="20"/>
              <w:spacing w:before="240" w:after="40"/>
              <w:ind w:right="800"/>
              <w:jc w:val="right"/>
              <w:rPr>
                <w:color w:val="000000"/>
                <w:lang w:val="en-US" w:eastAsia="zh-CN" w:bidi="ar-SA"/>
              </w:rPr>
            </w:pPr>
            <w:r>
              <w:rPr>
                <w:rFonts w:ascii="仿宋" w:hAnsi="仿宋" w:eastAsia="仿宋" w:cs="仿宋"/>
                <w:b/>
                <w:bCs/>
                <w:color w:val="000000"/>
                <w:lang w:val="en-US" w:eastAsia="zh-CN" w:bidi="ar-SA"/>
              </w:rPr>
              <w:t xml:space="preserve">**** 学院 </w:t>
            </w:r>
            <w:r>
              <w:rPr>
                <w:rFonts w:ascii="Calibri" w:hAnsi="Calibri" w:eastAsia="Calibri" w:cs="Calibri"/>
                <w:b/>
                <w:bCs/>
                <w:color w:val="000000"/>
                <w:lang w:val="en-US" w:eastAsia="zh-CN" w:bidi="ar-SA"/>
              </w:rPr>
              <w:t>  </w:t>
            </w:r>
          </w:p>
          <w:p w14:paraId="0F457E41">
            <w:pPr>
              <w:pStyle w:val="20"/>
              <w:spacing w:before="240" w:after="40"/>
              <w:ind w:right="800"/>
              <w:jc w:val="right"/>
              <w:rPr>
                <w:color w:val="000000"/>
                <w:lang w:val="en-US" w:eastAsia="zh-CN" w:bidi="ar-SA"/>
              </w:rPr>
            </w:pPr>
            <w:r>
              <w:rPr>
                <w:rFonts w:ascii="Calibri" w:hAnsi="Calibri" w:eastAsia="Calibri" w:cs="Calibri"/>
                <w:b/>
                <w:bCs/>
                <w:color w:val="000000"/>
                <w:lang w:val="en-US" w:eastAsia="zh-CN" w:bidi="ar-SA"/>
              </w:rPr>
              <w:t>  </w:t>
            </w:r>
            <w:r>
              <w:rPr>
                <w:rFonts w:ascii="仿宋" w:hAnsi="仿宋" w:eastAsia="仿宋" w:cs="仿宋"/>
                <w:b/>
                <w:bCs/>
                <w:color w:val="000000"/>
                <w:lang w:val="en-US" w:eastAsia="zh-CN" w:bidi="ar-SA"/>
              </w:rPr>
              <w:t>年</w:t>
            </w:r>
            <w:r>
              <w:rPr>
                <w:rFonts w:ascii="Calibri" w:hAnsi="Calibri" w:eastAsia="Calibri" w:cs="Calibri"/>
                <w:b/>
                <w:bCs/>
                <w:color w:val="000000"/>
                <w:lang w:val="en-US" w:eastAsia="zh-CN" w:bidi="ar-SA"/>
              </w:rPr>
              <w:t>        </w:t>
            </w:r>
            <w:r>
              <w:rPr>
                <w:rFonts w:ascii="仿宋" w:hAnsi="仿宋" w:eastAsia="仿宋" w:cs="仿宋"/>
                <w:b/>
                <w:bCs/>
                <w:color w:val="000000"/>
                <w:lang w:val="en-US" w:eastAsia="zh-CN" w:bidi="ar-SA"/>
              </w:rPr>
              <w:t>月</w:t>
            </w:r>
            <w:r>
              <w:rPr>
                <w:rFonts w:ascii="Calibri" w:hAnsi="Calibri" w:eastAsia="Calibri" w:cs="Calibri"/>
                <w:b/>
                <w:bCs/>
                <w:color w:val="000000"/>
                <w:lang w:val="en-US" w:eastAsia="zh-CN" w:bidi="ar-SA"/>
              </w:rPr>
              <w:t>        </w:t>
            </w:r>
            <w:r>
              <w:rPr>
                <w:rFonts w:ascii="仿宋" w:hAnsi="仿宋" w:eastAsia="仿宋" w:cs="仿宋"/>
                <w:b/>
                <w:bCs/>
                <w:color w:val="000000"/>
                <w:lang w:val="en-US" w:eastAsia="zh-CN" w:bidi="ar-SA"/>
              </w:rPr>
              <w:t>日</w:t>
            </w:r>
            <w:r>
              <w:rPr>
                <w:rFonts w:ascii="Calibri" w:hAnsi="Calibri" w:eastAsia="Calibri" w:cs="Calibri"/>
                <w:b/>
                <w:bCs/>
                <w:color w:val="000000"/>
                <w:lang w:val="en-US" w:eastAsia="zh-CN" w:bidi="ar-SA"/>
              </w:rPr>
              <w:t>  </w:t>
            </w:r>
          </w:p>
        </w:tc>
      </w:tr>
    </w:tbl>
    <w:p w14:paraId="14DDFBAB">
      <w:pPr>
        <w:pStyle w:val="20"/>
        <w:rPr>
          <w:lang w:val="en-US" w:eastAsia="zh-CN" w:bidi="ar-SA"/>
        </w:rPr>
      </w:pPr>
      <w:r>
        <w:rPr>
          <w:rFonts w:ascii="Calibri" w:hAnsi="Calibri" w:eastAsia="Calibri" w:cs="Calibri"/>
          <w:vanish/>
          <w:lang w:val="en-US" w:eastAsia="zh-CN" w:bidi="ar-SA"/>
        </w:rPr>
        <w:t> </w:t>
      </w:r>
    </w:p>
    <w:tbl>
      <w:tblPr>
        <w:tblStyle w:val="12"/>
        <w:tblW w:w="0" w:type="auto"/>
        <w:tblInd w:w="-14283" w:type="dxa"/>
        <w:tblLayout w:type="autofit"/>
        <w:tblCellMar>
          <w:top w:w="15" w:type="dxa"/>
          <w:left w:w="15" w:type="dxa"/>
          <w:bottom w:w="15" w:type="dxa"/>
          <w:right w:w="15" w:type="dxa"/>
        </w:tblCellMar>
      </w:tblPr>
      <w:tblGrid>
        <w:gridCol w:w="76"/>
        <w:gridCol w:w="76"/>
      </w:tblGrid>
      <w:tr w14:paraId="17BA6912">
        <w:tblPrEx>
          <w:tblCellMar>
            <w:top w:w="15" w:type="dxa"/>
            <w:left w:w="15" w:type="dxa"/>
            <w:bottom w:w="15" w:type="dxa"/>
            <w:right w:w="15" w:type="dxa"/>
          </w:tblCellMar>
        </w:tblPrEx>
        <w:tc>
          <w:tcPr>
            <w:tcW w:w="0" w:type="auto"/>
            <w:shd w:val="clear" w:color="auto" w:fill="auto"/>
            <w:tcMar>
              <w:top w:w="5" w:type="dxa"/>
              <w:left w:w="5" w:type="dxa"/>
              <w:bottom w:w="5" w:type="dxa"/>
              <w:right w:w="5" w:type="dxa"/>
            </w:tcMar>
            <w:vAlign w:val="center"/>
          </w:tcPr>
          <w:p w14:paraId="230C8A17">
            <w:pPr>
              <w:pStyle w:val="20"/>
              <w:rPr>
                <w:color w:val="000000"/>
                <w:lang w:val="en-US" w:eastAsia="zh-CN" w:bidi="ar-SA"/>
              </w:rPr>
            </w:pPr>
            <w:r>
              <w:rPr>
                <w:rFonts w:ascii="Calibri" w:hAnsi="Calibri" w:eastAsia="Calibri" w:cs="Calibri"/>
                <w:color w:val="000000"/>
                <w:lang w:val="en-US" w:eastAsia="zh-CN" w:bidi="ar-SA"/>
              </w:rPr>
              <w:t> </w:t>
            </w:r>
          </w:p>
        </w:tc>
        <w:tc>
          <w:tcPr>
            <w:tcW w:w="0" w:type="auto"/>
            <w:shd w:val="clear" w:color="auto" w:fill="auto"/>
            <w:tcMar>
              <w:top w:w="5" w:type="dxa"/>
              <w:left w:w="5" w:type="dxa"/>
              <w:bottom w:w="5" w:type="dxa"/>
              <w:right w:w="5" w:type="dxa"/>
            </w:tcMar>
            <w:vAlign w:val="center"/>
          </w:tcPr>
          <w:p w14:paraId="331A6C53">
            <w:pPr>
              <w:pStyle w:val="20"/>
              <w:rPr>
                <w:color w:val="000000"/>
                <w:lang w:val="en-US" w:eastAsia="zh-CN" w:bidi="ar-SA"/>
              </w:rPr>
            </w:pPr>
            <w:r>
              <w:rPr>
                <w:rFonts w:ascii="Calibri" w:hAnsi="Calibri" w:eastAsia="Calibri" w:cs="Calibri"/>
                <w:color w:val="000000"/>
                <w:lang w:val="en-US" w:eastAsia="zh-CN" w:bidi="ar-SA"/>
              </w:rPr>
              <w:t> </w:t>
            </w:r>
          </w:p>
        </w:tc>
      </w:tr>
    </w:tbl>
    <w:p w14:paraId="655DA4DD">
      <w:pPr>
        <w:pStyle w:val="20"/>
        <w:rPr>
          <w:lang w:val="en-US" w:eastAsia="zh-CN" w:bidi="ar-SA"/>
        </w:rPr>
      </w:pPr>
      <w:r>
        <w:rPr>
          <w:rFonts w:ascii="Calibri" w:hAnsi="Calibri" w:eastAsia="Calibri" w:cs="Calibri"/>
          <w:lang w:val="en-US" w:eastAsia="zh-CN" w:bidi="ar-SA"/>
        </w:rPr>
        <w:t> </w:t>
      </w:r>
    </w:p>
    <w:sectPr>
      <w:pgSz w:w="12240" w:h="15840"/>
      <w:pgMar w:top="1440" w:right="1800" w:bottom="1440" w:left="1800" w:header="720" w:footer="720" w:gutter="0"/>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Jing Yang" w:date="2025-12-23T17:42:00Z" w:initials="JY">
    <w:p w14:paraId="20F710C6">
      <w:pPr>
        <w:pStyle w:val="8"/>
      </w:pPr>
      <w:r>
        <w:rPr>
          <w:rFonts w:hint="eastAsia"/>
        </w:rPr>
        <w:t>注意统一字体</w:t>
      </w:r>
    </w:p>
  </w:comment>
  <w:comment w:id="1" w:author="Jing Yang" w:date="2025-12-23T17:45:00Z" w:initials="JY">
    <w:p w14:paraId="29C49EA9">
      <w:pPr>
        <w:pStyle w:val="8"/>
      </w:pPr>
      <w:r>
        <w:rPr>
          <w:rFonts w:hint="eastAsia"/>
        </w:rPr>
        <w:t>从1开始计数</w:t>
      </w:r>
    </w:p>
  </w:comment>
  <w:comment w:id="2" w:author="Jing Yang" w:date="2025-12-23T17:40:00Z" w:initials="JY">
    <w:p w14:paraId="6259AABF">
      <w:pPr>
        <w:pStyle w:val="8"/>
        <w:rPr>
          <w:rFonts w:hint="eastAsia"/>
        </w:rPr>
      </w:pPr>
      <w:r>
        <w:rPr>
          <w:rFonts w:hint="eastAsia"/>
        </w:rPr>
        <w:t>不要有结余</w:t>
      </w:r>
      <w:r>
        <w:t xml:space="preserve"> </w:t>
      </w:r>
      <w:r>
        <w:rPr>
          <w:rFonts w:hint="eastAsia"/>
        </w:rPr>
        <w:t>直接充值天河账号 让杨锋或者赵桓去找林老师直接转账</w:t>
      </w:r>
      <w:r>
        <w:t xml:space="preserve"> </w:t>
      </w:r>
      <w:r>
        <w:rPr>
          <w:rFonts w:hint="eastAsia"/>
        </w:rPr>
        <w:t>把剩下的花掉 如果有结余说明预算做的不好 这里不能体现出项目省钱就是好的优势</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F710C6" w15:done="0"/>
  <w15:commentEx w15:paraId="29C49EA9" w15:done="0"/>
  <w15:commentEx w15:paraId="6259AAB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16" w:usb3="00000000" w:csb0="00040001" w:csb1="00000000"/>
  </w:font>
  <w:font w:name="FangSong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ing Yang">
    <w15:presenceInfo w15:providerId="Windows Live" w15:userId="5d797873045607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TrackMoves/>
  <w:documentProtection w:enforcement="0"/>
  <w:defaultTabStop w:val="720"/>
  <w:noPunctuationKerning w:val="1"/>
  <w:characterSpacingControl w:val="doNotCompress"/>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TZjODcxZWY5M2IzYTI4ZWU4ODQ3ZDE2NTViZjU0YzYifQ=="/>
  </w:docVars>
  <w:rsids>
    <w:rsidRoot w:val="00CA2FF2"/>
    <w:rsid w:val="001F1D2C"/>
    <w:rsid w:val="003E2D58"/>
    <w:rsid w:val="007E5AD4"/>
    <w:rsid w:val="00AC0D57"/>
    <w:rsid w:val="00CA2FF2"/>
    <w:rsid w:val="00E928F2"/>
    <w:rsid w:val="012D7112"/>
    <w:rsid w:val="02E521EB"/>
    <w:rsid w:val="05AA44FC"/>
    <w:rsid w:val="05AB2E4B"/>
    <w:rsid w:val="05E300FC"/>
    <w:rsid w:val="07314ED5"/>
    <w:rsid w:val="07860F6D"/>
    <w:rsid w:val="07D04799"/>
    <w:rsid w:val="07DE071F"/>
    <w:rsid w:val="090012ED"/>
    <w:rsid w:val="090B1D87"/>
    <w:rsid w:val="0B253967"/>
    <w:rsid w:val="0BF81604"/>
    <w:rsid w:val="0CA23AC9"/>
    <w:rsid w:val="0D941F50"/>
    <w:rsid w:val="0DEB54A2"/>
    <w:rsid w:val="110F2AC7"/>
    <w:rsid w:val="12F3356E"/>
    <w:rsid w:val="14567918"/>
    <w:rsid w:val="14BA7D5A"/>
    <w:rsid w:val="159F2D5B"/>
    <w:rsid w:val="15F647C2"/>
    <w:rsid w:val="16610903"/>
    <w:rsid w:val="17880C9E"/>
    <w:rsid w:val="189D4FA6"/>
    <w:rsid w:val="18F86BB6"/>
    <w:rsid w:val="1AA20562"/>
    <w:rsid w:val="1AAC06F4"/>
    <w:rsid w:val="1B153E0B"/>
    <w:rsid w:val="1B822F9A"/>
    <w:rsid w:val="1BCA7754"/>
    <w:rsid w:val="1C322B9C"/>
    <w:rsid w:val="1E577DD8"/>
    <w:rsid w:val="216C7510"/>
    <w:rsid w:val="23BB6160"/>
    <w:rsid w:val="25056834"/>
    <w:rsid w:val="261650BA"/>
    <w:rsid w:val="263255E0"/>
    <w:rsid w:val="27BF06B3"/>
    <w:rsid w:val="292533AF"/>
    <w:rsid w:val="2C6B6503"/>
    <w:rsid w:val="2EC20EDA"/>
    <w:rsid w:val="322634E2"/>
    <w:rsid w:val="35623C13"/>
    <w:rsid w:val="35AA1BCC"/>
    <w:rsid w:val="372F7D91"/>
    <w:rsid w:val="382D1009"/>
    <w:rsid w:val="38C32347"/>
    <w:rsid w:val="3AF37A62"/>
    <w:rsid w:val="3BB527F9"/>
    <w:rsid w:val="3C0672C6"/>
    <w:rsid w:val="3E3022D4"/>
    <w:rsid w:val="42A22631"/>
    <w:rsid w:val="437C611B"/>
    <w:rsid w:val="438324EF"/>
    <w:rsid w:val="43BC3A0A"/>
    <w:rsid w:val="46173D3D"/>
    <w:rsid w:val="469F284C"/>
    <w:rsid w:val="4744481C"/>
    <w:rsid w:val="48AF2FAE"/>
    <w:rsid w:val="4BB62E22"/>
    <w:rsid w:val="4BDA30CD"/>
    <w:rsid w:val="4E37288F"/>
    <w:rsid w:val="506001B2"/>
    <w:rsid w:val="51E43623"/>
    <w:rsid w:val="54E827CD"/>
    <w:rsid w:val="55B44EFB"/>
    <w:rsid w:val="55DE6DB5"/>
    <w:rsid w:val="56E01BA1"/>
    <w:rsid w:val="57EF5A06"/>
    <w:rsid w:val="58A60792"/>
    <w:rsid w:val="59F4226D"/>
    <w:rsid w:val="5A7A7119"/>
    <w:rsid w:val="5F2541EA"/>
    <w:rsid w:val="631631C0"/>
    <w:rsid w:val="631952FE"/>
    <w:rsid w:val="63273F81"/>
    <w:rsid w:val="63D63E57"/>
    <w:rsid w:val="64006278"/>
    <w:rsid w:val="6677281C"/>
    <w:rsid w:val="67000C8D"/>
    <w:rsid w:val="67E17E8A"/>
    <w:rsid w:val="682B22AA"/>
    <w:rsid w:val="686E5EBB"/>
    <w:rsid w:val="6D05349C"/>
    <w:rsid w:val="6FA72D66"/>
    <w:rsid w:val="704A4319"/>
    <w:rsid w:val="704E1865"/>
    <w:rsid w:val="714C3197"/>
    <w:rsid w:val="7291707D"/>
    <w:rsid w:val="74E5153A"/>
    <w:rsid w:val="75506666"/>
    <w:rsid w:val="75785319"/>
    <w:rsid w:val="76157553"/>
    <w:rsid w:val="76A74C81"/>
    <w:rsid w:val="77F563F8"/>
    <w:rsid w:val="791D14E2"/>
    <w:rsid w:val="7BCB64F3"/>
    <w:rsid w:val="7FCE26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9" w:name="heading 7"/>
    <w:lsdException w:qFormat="1" w:uiPriority="99" w:name="heading 8"/>
    <w:lsdException w:qFormat="1"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qFormat="1" w:uiPriority="99" w:semiHidden="0" w:name="HTML Cite"/>
    <w:lsdException w:qFormat="1" w:uiPriority="99" w:semiHidden="0"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zh-CN" w:bidi="ar-SA"/>
    </w:rPr>
  </w:style>
  <w:style w:type="paragraph" w:styleId="2">
    <w:name w:val="heading 1"/>
    <w:basedOn w:val="1"/>
    <w:next w:val="1"/>
    <w:qFormat/>
    <w:uiPriority w:val="0"/>
    <w:pPr>
      <w:keepNext/>
      <w:spacing w:before="240" w:after="60"/>
      <w:outlineLvl w:val="0"/>
    </w:pPr>
    <w:rPr>
      <w:rFonts w:ascii="宋体" w:hAnsi="宋体" w:cs="宋体"/>
      <w:b/>
      <w:bCs/>
      <w:spacing w:val="11"/>
      <w:kern w:val="36"/>
      <w:sz w:val="48"/>
      <w:szCs w:val="48"/>
    </w:rPr>
  </w:style>
  <w:style w:type="paragraph" w:styleId="3">
    <w:name w:val="heading 2"/>
    <w:basedOn w:val="1"/>
    <w:next w:val="1"/>
    <w:qFormat/>
    <w:uiPriority w:val="0"/>
    <w:pPr>
      <w:keepNext/>
      <w:spacing w:before="240" w:after="60"/>
      <w:outlineLvl w:val="1"/>
    </w:pPr>
    <w:rPr>
      <w:rFonts w:ascii="宋体" w:hAnsi="宋体" w:cs="宋体"/>
      <w:b/>
      <w:bCs/>
      <w:iCs/>
      <w:spacing w:val="11"/>
      <w:sz w:val="36"/>
      <w:szCs w:val="36"/>
    </w:rPr>
  </w:style>
  <w:style w:type="paragraph" w:styleId="4">
    <w:name w:val="heading 3"/>
    <w:basedOn w:val="1"/>
    <w:next w:val="1"/>
    <w:qFormat/>
    <w:uiPriority w:val="0"/>
    <w:pPr>
      <w:keepNext/>
      <w:spacing w:before="240" w:after="60"/>
      <w:outlineLvl w:val="2"/>
    </w:pPr>
    <w:rPr>
      <w:rFonts w:ascii="宋体" w:hAnsi="宋体" w:cs="宋体"/>
      <w:b/>
      <w:bCs/>
      <w:spacing w:val="11"/>
      <w:sz w:val="27"/>
      <w:szCs w:val="27"/>
    </w:rPr>
  </w:style>
  <w:style w:type="paragraph" w:styleId="5">
    <w:name w:val="heading 4"/>
    <w:basedOn w:val="1"/>
    <w:next w:val="1"/>
    <w:qFormat/>
    <w:uiPriority w:val="0"/>
    <w:pPr>
      <w:keepNext/>
      <w:spacing w:before="240" w:after="60"/>
      <w:outlineLvl w:val="3"/>
    </w:pPr>
    <w:rPr>
      <w:rFonts w:ascii="宋体" w:hAnsi="宋体" w:cs="宋体"/>
      <w:b/>
      <w:bCs/>
      <w:spacing w:val="11"/>
    </w:rPr>
  </w:style>
  <w:style w:type="paragraph" w:styleId="6">
    <w:name w:val="heading 5"/>
    <w:basedOn w:val="1"/>
    <w:next w:val="1"/>
    <w:qFormat/>
    <w:uiPriority w:val="0"/>
    <w:pPr>
      <w:spacing w:before="240" w:after="60"/>
      <w:outlineLvl w:val="4"/>
    </w:pPr>
    <w:rPr>
      <w:rFonts w:ascii="宋体" w:hAnsi="宋体" w:cs="宋体"/>
      <w:b/>
      <w:bCs/>
      <w:iCs/>
      <w:spacing w:val="11"/>
      <w:sz w:val="20"/>
      <w:szCs w:val="20"/>
    </w:rPr>
  </w:style>
  <w:style w:type="paragraph" w:styleId="7">
    <w:name w:val="heading 6"/>
    <w:basedOn w:val="1"/>
    <w:next w:val="1"/>
    <w:qFormat/>
    <w:uiPriority w:val="0"/>
    <w:pPr>
      <w:spacing w:before="240" w:after="60"/>
      <w:outlineLvl w:val="5"/>
    </w:pPr>
    <w:rPr>
      <w:rFonts w:ascii="宋体" w:hAnsi="宋体" w:cs="宋体"/>
      <w:b/>
      <w:bCs/>
      <w:spacing w:val="11"/>
      <w:sz w:val="15"/>
      <w:szCs w:val="15"/>
    </w:rPr>
  </w:style>
  <w:style w:type="character" w:default="1" w:styleId="13">
    <w:name w:val="Default Paragraph Font"/>
    <w:semiHidden/>
    <w:qFormat/>
    <w:uiPriority w:val="0"/>
  </w:style>
  <w:style w:type="table" w:default="1" w:styleId="12">
    <w:name w:val="Normal Table"/>
    <w:unhideWhenUsed/>
    <w:qFormat/>
    <w:uiPriority w:val="99"/>
    <w:tblPr>
      <w:tblCellMar>
        <w:top w:w="0" w:type="dxa"/>
        <w:left w:w="108" w:type="dxa"/>
        <w:bottom w:w="0" w:type="dxa"/>
        <w:right w:w="108" w:type="dxa"/>
      </w:tblCellMar>
    </w:tblPr>
  </w:style>
  <w:style w:type="paragraph" w:styleId="8">
    <w:name w:val="annotation text"/>
    <w:basedOn w:val="1"/>
    <w:link w:val="23"/>
    <w:semiHidden/>
    <w:unhideWhenUsed/>
    <w:uiPriority w:val="99"/>
  </w:style>
  <w:style w:type="paragraph" w:styleId="9">
    <w:name w:val="HTML Preformatted"/>
    <w:basedOn w:val="1"/>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rPr>
  </w:style>
  <w:style w:type="paragraph" w:styleId="10">
    <w:name w:val="Normal (Web)"/>
    <w:basedOn w:val="1"/>
    <w:qFormat/>
    <w:uiPriority w:val="0"/>
    <w:pPr>
      <w:spacing w:before="100" w:beforeAutospacing="1" w:after="100" w:afterAutospacing="1"/>
    </w:pPr>
    <w:rPr>
      <w:rFonts w:ascii="宋体" w:hAnsi="宋体" w:cs="宋体"/>
    </w:rPr>
  </w:style>
  <w:style w:type="paragraph" w:styleId="11">
    <w:name w:val="annotation subject"/>
    <w:basedOn w:val="8"/>
    <w:next w:val="8"/>
    <w:link w:val="24"/>
    <w:semiHidden/>
    <w:unhideWhenUsed/>
    <w:uiPriority w:val="99"/>
    <w:rPr>
      <w:b/>
      <w:bCs/>
    </w:rPr>
  </w:style>
  <w:style w:type="character" w:styleId="14">
    <w:name w:val="Strong"/>
    <w:qFormat/>
    <w:uiPriority w:val="99"/>
    <w:rPr>
      <w:b/>
    </w:rPr>
  </w:style>
  <w:style w:type="character" w:styleId="15">
    <w:name w:val="Emphasis"/>
    <w:qFormat/>
    <w:uiPriority w:val="99"/>
    <w:rPr>
      <w:i/>
    </w:rPr>
  </w:style>
  <w:style w:type="character" w:styleId="16">
    <w:name w:val="HTML Code"/>
    <w:unhideWhenUsed/>
    <w:qFormat/>
    <w:uiPriority w:val="99"/>
    <w:rPr>
      <w:rFonts w:ascii="Courier New" w:hAnsi="Courier New"/>
      <w:sz w:val="20"/>
    </w:rPr>
  </w:style>
  <w:style w:type="character" w:styleId="17">
    <w:name w:val="annotation reference"/>
    <w:semiHidden/>
    <w:unhideWhenUsed/>
    <w:uiPriority w:val="99"/>
    <w:rPr>
      <w:sz w:val="21"/>
      <w:szCs w:val="21"/>
    </w:rPr>
  </w:style>
  <w:style w:type="character" w:styleId="18">
    <w:name w:val="HTML Cite"/>
    <w:unhideWhenUsed/>
    <w:qFormat/>
    <w:uiPriority w:val="99"/>
    <w:rPr>
      <w:i/>
    </w:rPr>
  </w:style>
  <w:style w:type="paragraph" w:customStyle="1" w:styleId="19">
    <w:name w:val="div_Section0"/>
    <w:basedOn w:val="1"/>
    <w:qFormat/>
    <w:uiPriority w:val="0"/>
  </w:style>
  <w:style w:type="paragraph" w:customStyle="1" w:styleId="20">
    <w:name w:val="p_MsoNormal"/>
    <w:basedOn w:val="1"/>
    <w:qFormat/>
    <w:uiPriority w:val="0"/>
    <w:rPr>
      <w:rFonts w:ascii="仿宋_GB2312" w:hAnsi="仿宋_GB2312" w:eastAsia="仿宋_GB2312" w:cs="仿宋_GB2312"/>
      <w:spacing w:val="11"/>
    </w:rPr>
  </w:style>
  <w:style w:type="table" w:customStyle="1" w:styleId="21">
    <w:name w:val="table_MsoNormalTable"/>
    <w:basedOn w:val="12"/>
    <w:uiPriority w:val="0"/>
  </w:style>
  <w:style w:type="paragraph" w:customStyle="1" w:styleId="22">
    <w:name w:val="37"/>
    <w:basedOn w:val="1"/>
    <w:uiPriority w:val="0"/>
  </w:style>
  <w:style w:type="character" w:customStyle="1" w:styleId="23">
    <w:name w:val="Comment Text Char"/>
    <w:link w:val="8"/>
    <w:semiHidden/>
    <w:uiPriority w:val="99"/>
    <w:rPr>
      <w:sz w:val="24"/>
      <w:szCs w:val="24"/>
    </w:rPr>
  </w:style>
  <w:style w:type="character" w:customStyle="1" w:styleId="24">
    <w:name w:val="Comment Subject Char"/>
    <w:link w:val="11"/>
    <w:semiHidden/>
    <w:uiPriority w:val="99"/>
    <w:rPr>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4" Type="http://schemas.microsoft.com/office/2011/relationships/people" Target="people.xml"/><Relationship Id="rId23" Type="http://schemas.openxmlformats.org/officeDocument/2006/relationships/fontTable" Target="fontTable.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8068</Words>
  <Characters>10425</Characters>
  <Lines>79</Lines>
  <Paragraphs>22</Paragraphs>
  <TotalTime>35</TotalTime>
  <ScaleCrop>false</ScaleCrop>
  <LinksUpToDate>false</LinksUpToDate>
  <CharactersWithSpaces>10768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2025-12-23T09:37:00Z</dcterms:created>
  <dc:creator>JWB</dc:creator>
  <cp:lastModifiedBy>自旋为半</cp:lastModifiedBy>
  <dcterms:modified xsi:type="dcterms:W3CDTF">2025-12-23T11:17:22Z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D311A48AEB5D494FA5998AA535E54B73_13</vt:lpwstr>
  </property>
  <property fmtid="{D5CDD505-2E9C-101B-9397-08002B2CF9AE}" pid="4" name="KSOTemplateDocerSaveRecord">
    <vt:lpwstr>eyJoZGlkIjoiM2NkOTRlZjU0NGQyNDc4NDU1ODFhNTU1ZDIwODkwODgiLCJ1c2VySWQiOiIxMjY3MzI0MDgxIn0=</vt:lpwstr>
  </property>
  <property fmtid="{D5CDD505-2E9C-101B-9397-08002B2CF9AE}" pid="5" name="GrammarlyDocumentId">
    <vt:lpwstr>84452bf8-e875-4b1e-8ef3-700e8a861690</vt:lpwstr>
  </property>
</Properties>
</file>