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[Recipient's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writing on behalf of the Data Analytics Team. In response to your voicemail, we have thoroughly assessed the datasets you provided in terms of their quality. Throughout our analysis, we identified various issues and errors that require rectification to ensure the data's suitability for phase two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Recognizing the significance of Data Quality Assurance in the analytical process, we'd like to propose several suggestions and recommendations to address inconsistencies and enhance the overall data quality: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-Given the interrelated nature of all three datasets, it's advisable to consolidate them through merging. This consolidation will contribute to improved data quality and analysis.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instances where Date of Birth (DOB) values for customers are missing, we propose replacing these gaps with the mode of DOB values from other customers. This approach maintains data integrity while filling in the gaps.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Addressing missing tenure values, we recommend calculating the mean of tenures and substituting the missing values with this calculated average to ensure data consistency.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Within the Transactions dataset, a thorough review of the 'product_first_sold_date' column is necessary to verify the presence of pertinent information.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streamline the dataset, consider removing extraneous columns, such as the 'default' column in the Customer Demographic Table.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For improved relevance and clarity, it's suggested to employ 'Male', 'Female', and 'Unidentified' as gender column values.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enhance analysis in phase two, explore options for filling in missing values, thereby augmenting data completeness.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Additionally, you may contemplate eliminating entries with blank missing values, deeming them either incomplete or potentially erroneous.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strategies outlined above offer effective means to mitigate the data quality challenges uncovered in the provided datasets. Our objective is to empower your analysis by ensuring data accuracy and consistency.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Warm regards,</w:t>
      </w:r>
    </w:p>
    <w:p w:rsidR="00000000" w:rsidDel="00000000" w:rsidP="00000000" w:rsidRDefault="00000000" w:rsidRPr="00000000" w14:paraId="0000001A">
      <w:pPr>
        <w:rPr/>
      </w:pPr>
      <w:r w:rsidDel="00000000" w:rsidR="00000000" w:rsidRPr="00000000">
        <w:rPr>
          <w:rtl w:val="0"/>
        </w:rPr>
        <w:t xml:space="preserve">Supin Hooda</w:t>
      </w:r>
    </w:p>
    <w:p w:rsidR="00000000" w:rsidDel="00000000" w:rsidP="00000000" w:rsidRDefault="00000000" w:rsidRPr="00000000" w14:paraId="0000001B">
      <w:pPr>
        <w:rPr/>
      </w:pPr>
      <w:r w:rsidDel="00000000" w:rsidR="00000000" w:rsidRPr="00000000">
        <w:rPr>
          <w:rtl w:val="0"/>
        </w:rPr>
        <w:t xml:space="preserve">Data Analytics Team</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