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i w:val="0"/>
          <w:color w:val="2E5B9A"/>
          <w:sz w:val="30"/>
        </w:rPr>
        <w:t>ELITE FOODS</w:t>
      </w:r>
    </w:p>
    <w:p>
      <w:pPr>
        <w:jc w:val="center"/>
      </w:pPr>
      <w:r>
        <w:rPr>
          <w:b w:val="0"/>
          <w:i/>
          <w:color w:val="595959"/>
          <w:sz w:val="22"/>
        </w:rPr>
        <w:t>Sales &amp; Distribution Technology Programme</w:t>
      </w:r>
    </w:p>
    <w:p/>
    <w:p/>
    <w:p>
      <w:pPr>
        <w:pBdr>
          <w:bottom w:val="single" w:sz="12" w:space="1" w:color="2E5B9A"/>
        </w:pBdr>
        <w:spacing w:after="40"/>
      </w:pPr>
    </w:p>
    <w:p>
      <w:pPr>
        <w:spacing w:after="80"/>
        <w:jc w:val="center"/>
      </w:pPr>
      <w:r>
        <w:rPr>
          <w:b/>
          <w:i w:val="0"/>
          <w:color w:val="1F365D"/>
          <w:sz w:val="52"/>
        </w:rPr>
        <w:t>BUSINESS REQUIREMENTS DOCUMENT</w:t>
      </w:r>
    </w:p>
    <w:p>
      <w:pPr>
        <w:spacing w:after="80"/>
        <w:jc w:val="center"/>
      </w:pPr>
      <w:r>
        <w:rPr>
          <w:b/>
          <w:i w:val="0"/>
          <w:color w:val="2E5B9A"/>
          <w:sz w:val="36"/>
        </w:rPr>
        <w:t>Secondary Schemes Management System</w:t>
      </w:r>
    </w:p>
    <w:p>
      <w:pPr>
        <w:jc w:val="center"/>
      </w:pPr>
      <w:r>
        <w:rPr>
          <w:b w:val="0"/>
          <w:i/>
          <w:color w:val="595959"/>
          <w:sz w:val="22"/>
        </w:rPr>
        <w:t>Multi-SKU Scheme Configuration, Slab Logic, Eligibility, Payout &amp; Reporting</w:t>
      </w:r>
    </w:p>
    <w:p>
      <w:pPr>
        <w:pBdr>
          <w:bottom w:val="single" w:sz="12" w:space="1" w:color="2E5B9A"/>
        </w:pBdr>
        <w:spacing w:after="40"/>
      </w:pP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FFFFFF"/>
                <w:sz w:val="21"/>
              </w:rPr>
              <w:t>Document Title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 w:val="0"/>
                <w:sz w:val="21"/>
              </w:rPr>
              <w:t>Business Requirements Document – Secondary Schemes Management System</w:t>
            </w:r>
          </w:p>
        </w:tc>
      </w:tr>
      <w:tr>
        <w:tc>
          <w:tcPr>
            <w:tcW w:type="dxa" w:w="2880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FFFFFF"/>
                <w:sz w:val="21"/>
              </w:rPr>
              <w:t>Version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 w:val="0"/>
                <w:sz w:val="21"/>
              </w:rPr>
              <w:t>1.0</w:t>
            </w:r>
          </w:p>
        </w:tc>
      </w:tr>
      <w:tr>
        <w:tc>
          <w:tcPr>
            <w:tcW w:type="dxa" w:w="2880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FFFFFF"/>
                <w:sz w:val="21"/>
              </w:rPr>
              <w:t>Date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 w:val="0"/>
                <w:sz w:val="21"/>
              </w:rPr>
              <w:t>21 May 2026</w:t>
            </w:r>
          </w:p>
        </w:tc>
      </w:tr>
      <w:tr>
        <w:tc>
          <w:tcPr>
            <w:tcW w:type="dxa" w:w="2880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FFFFFF"/>
                <w:sz w:val="21"/>
              </w:rPr>
              <w:t>Prepared By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 w:val="0"/>
                <w:sz w:val="21"/>
              </w:rPr>
              <w:t>Anusha Koppera — Business Analysis Team (Implementation Partner)</w:t>
            </w:r>
          </w:p>
        </w:tc>
      </w:tr>
      <w:tr>
        <w:tc>
          <w:tcPr>
            <w:tcW w:type="dxa" w:w="2880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FFFFFF"/>
                <w:sz w:val="21"/>
              </w:rPr>
              <w:t>Client / Sponsor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 w:val="0"/>
                <w:sz w:val="21"/>
              </w:rPr>
              <w:t>Elite Foods — Sales &amp; Marketing (Secondary Sales)</w:t>
            </w:r>
          </w:p>
        </w:tc>
      </w:tr>
    </w:tbl>
    <w:p>
      <w:pPr>
        <w:spacing w:before="360"/>
        <w:jc w:val="center"/>
      </w:pPr>
      <w:r>
        <w:rPr>
          <w:b w:val="0"/>
          <w:i/>
          <w:color w:val="595959"/>
          <w:sz w:val="20"/>
        </w:rPr>
        <w:t>Status: Draft for Client Review &amp; Approval</w:t>
      </w:r>
    </w:p>
    <w:p>
      <w:pPr>
        <w:jc w:val="center"/>
      </w:pPr>
      <w:r>
        <w:rPr>
          <w:b w:val="0"/>
          <w:i/>
          <w:color w:val="595959"/>
          <w:sz w:val="17"/>
        </w:rPr>
        <w:t>Confidential — for internal circulation between Elite Foods and the implementation partner only.</w:t>
      </w:r>
    </w:p>
    <w:p>
      <w:r>
        <w:br w:type="page"/>
      </w:r>
    </w:p>
    <w:p>
      <w:pPr>
        <w:pStyle w:val="Heading1"/>
      </w:pPr>
      <w:r>
        <w:t>Document Control</w:t>
      </w:r>
    </w:p>
    <w:p>
      <w:pPr>
        <w:pStyle w:val="Heading2"/>
      </w:pPr>
      <w:r>
        <w:t>Version History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1584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160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016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Reviewer</w:t>
            </w:r>
          </w:p>
        </w:tc>
        <w:tc>
          <w:tcPr>
            <w:tcW w:type="dxa" w:w="460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0.1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20 May 2026</w:t>
            </w:r>
          </w:p>
        </w:tc>
        <w:tc>
          <w:tcPr>
            <w:tcW w:type="dxa" w:w="216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Anusha Koppera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Rakesh Reddy</w:t>
            </w:r>
          </w:p>
        </w:tc>
        <w:tc>
          <w:tcPr>
            <w:tcW w:type="dxa" w:w="46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Initial draft from Session 1 (19 May 2026) requirement capture.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0.2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21 May 2026</w:t>
            </w:r>
          </w:p>
        </w:tc>
        <w:tc>
          <w:tcPr>
            <w:tcW w:type="dxa" w:w="216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Anusha Koppera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Durga Prasad</w:t>
            </w:r>
          </w:p>
        </w:tc>
        <w:tc>
          <w:tcPr>
            <w:tcW w:type="dxa" w:w="46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Updated with Session 2 (21 May 2026): FOC, order-value &amp; category (Plum) schemes, applicability hierarchy.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0.3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21 May 2026</w:t>
            </w:r>
          </w:p>
        </w:tc>
        <w:tc>
          <w:tcPr>
            <w:tcW w:type="dxa" w:w="216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Anusha Koppera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Rakesh Reddy</w:t>
            </w:r>
          </w:p>
        </w:tc>
        <w:tc>
          <w:tcPr>
            <w:tcW w:type="dxa" w:w="46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Incorporated TN / KA / West scheme data files into the Scheme Catalogue.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21 May 2026</w:t>
            </w:r>
          </w:p>
        </w:tc>
        <w:tc>
          <w:tcPr>
            <w:tcW w:type="dxa" w:w="216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Anusha Koppera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Sunny PJ / Parvathi Iyer</w:t>
            </w:r>
          </w:p>
        </w:tc>
        <w:tc>
          <w:tcPr>
            <w:tcW w:type="dxa" w:w="46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Consolidated baseline issued to Elite for review and sign-off.</w:t>
            </w:r>
          </w:p>
        </w:tc>
      </w:tr>
    </w:tbl>
    <w:p>
      <w:pPr>
        <w:pStyle w:val="Heading2"/>
      </w:pPr>
      <w:r>
        <w:t>Distribution List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16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Organisation</w:t>
            </w:r>
          </w:p>
        </w:tc>
        <w:tc>
          <w:tcPr>
            <w:tcW w:type="dxa" w:w="4320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Role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Parvathi Iyer</w:t>
            </w:r>
          </w:p>
        </w:tc>
        <w:tc>
          <w:tcPr>
            <w:tcW w:type="dxa" w:w="31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Elite Foods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Business Owner – Secondary Sales &amp; Schemes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Sunny PJ</w:t>
            </w:r>
          </w:p>
        </w:tc>
        <w:tc>
          <w:tcPr>
            <w:tcW w:type="dxa" w:w="31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Elite Foods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Senior Stakeholder / Sponsor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Rakesh Reddy</w:t>
            </w:r>
          </w:p>
        </w:tc>
        <w:tc>
          <w:tcPr>
            <w:tcW w:type="dxa" w:w="31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Implementation Partner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Solution Architect / Delivery Lead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Anusha Koppera</w:t>
            </w:r>
          </w:p>
        </w:tc>
        <w:tc>
          <w:tcPr>
            <w:tcW w:type="dxa" w:w="31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Implementation Partner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Business Analyst (Author)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Durga Prasad</w:t>
            </w:r>
          </w:p>
        </w:tc>
        <w:tc>
          <w:tcPr>
            <w:tcW w:type="dxa" w:w="31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Implementation Partner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DMS / Development Lead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Mayuri Patel</w:t>
            </w:r>
          </w:p>
        </w:tc>
        <w:tc>
          <w:tcPr>
            <w:tcW w:type="dxa" w:w="31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Implementation Partner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Development Team</w:t>
            </w:r>
          </w:p>
        </w:tc>
      </w:tr>
    </w:tbl>
    <w:p>
      <w:pPr>
        <w:pStyle w:val="Heading2"/>
      </w:pPr>
      <w:r>
        <w:t>Approvals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Approver</w:t>
            </w:r>
          </w:p>
        </w:tc>
        <w:tc>
          <w:tcPr>
            <w:tcW w:type="dxa" w:w="3456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4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1440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Sunny PJ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Sponsor – Elite Foods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4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Parvathi Iyer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Business Owner – Elite Foods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4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Rakesh Reddy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Solution Architect – Partner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4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/>
      </w:pPr>
      <w:r>
        <w:rPr>
          <w:b w:val="0"/>
          <w:color w:val="1F365D"/>
          <w:sz w:val="22"/>
        </w:rPr>
        <w:t>Document Control</w:t>
      </w:r>
    </w:p>
    <w:p>
      <w:pPr>
        <w:spacing w:after="80"/>
      </w:pPr>
      <w:r>
        <w:rPr>
          <w:b/>
          <w:color w:val="1F365D"/>
          <w:sz w:val="22"/>
        </w:rPr>
        <w:t>1.  Executive Summary</w:t>
      </w:r>
    </w:p>
    <w:p>
      <w:pPr>
        <w:spacing w:after="80"/>
      </w:pPr>
      <w:r>
        <w:rPr>
          <w:b/>
          <w:color w:val="1F365D"/>
          <w:sz w:val="22"/>
        </w:rPr>
        <w:t>2.  Business Objectives</w:t>
      </w:r>
    </w:p>
    <w:p>
      <w:pPr>
        <w:spacing w:after="80"/>
      </w:pPr>
      <w:r>
        <w:rPr>
          <w:b/>
          <w:color w:val="1F365D"/>
          <w:sz w:val="22"/>
        </w:rPr>
        <w:t>3.  Stakeholders</w:t>
      </w:r>
    </w:p>
    <w:p>
      <w:pPr>
        <w:spacing w:after="80"/>
      </w:pPr>
      <w:r>
        <w:rPr>
          <w:b/>
          <w:color w:val="1F365D"/>
          <w:sz w:val="22"/>
        </w:rPr>
        <w:t>4.  Current State (As-Is)</w:t>
      </w:r>
    </w:p>
    <w:p>
      <w:pPr>
        <w:spacing w:after="80"/>
      </w:pPr>
      <w:r>
        <w:rPr>
          <w:b/>
          <w:color w:val="1F365D"/>
          <w:sz w:val="22"/>
        </w:rPr>
        <w:t>5.  Future State (To-Be)</w:t>
      </w:r>
    </w:p>
    <w:p>
      <w:pPr>
        <w:spacing w:after="80"/>
      </w:pPr>
      <w:r>
        <w:rPr>
          <w:b/>
          <w:color w:val="1F365D"/>
          <w:sz w:val="22"/>
        </w:rPr>
        <w:t>6.  Functional Requirements</w:t>
      </w:r>
    </w:p>
    <w:p>
      <w:pPr>
        <w:spacing w:after="80"/>
      </w:pPr>
      <w:r>
        <w:rPr>
          <w:b/>
          <w:color w:val="1F365D"/>
          <w:sz w:val="22"/>
        </w:rPr>
        <w:t>7.  Scheme Catalogue</w:t>
      </w:r>
    </w:p>
    <w:p>
      <w:pPr>
        <w:spacing w:after="80"/>
      </w:pPr>
      <w:r>
        <w:rPr>
          <w:b/>
          <w:color w:val="1F365D"/>
          <w:sz w:val="22"/>
        </w:rPr>
        <w:t>8.  Business Rules</w:t>
      </w:r>
    </w:p>
    <w:p>
      <w:pPr>
        <w:spacing w:after="80"/>
      </w:pPr>
      <w:r>
        <w:rPr>
          <w:b/>
          <w:color w:val="1F365D"/>
          <w:sz w:val="22"/>
        </w:rPr>
        <w:t>9.  Non-Functional Requirements</w:t>
      </w:r>
    </w:p>
    <w:p>
      <w:pPr>
        <w:spacing w:after="80"/>
      </w:pPr>
      <w:r>
        <w:rPr>
          <w:b/>
          <w:color w:val="1F365D"/>
          <w:sz w:val="22"/>
        </w:rPr>
        <w:t>10. Assumptions &amp; Constraints</w:t>
      </w:r>
    </w:p>
    <w:p>
      <w:pPr>
        <w:spacing w:after="80"/>
      </w:pPr>
      <w:r>
        <w:rPr>
          <w:b/>
          <w:color w:val="1F365D"/>
          <w:sz w:val="22"/>
        </w:rPr>
        <w:t>11. Open Items / Decisions Pending</w:t>
      </w:r>
    </w:p>
    <w:p>
      <w:pPr>
        <w:spacing w:after="80"/>
      </w:pPr>
      <w:r>
        <w:rPr>
          <w:b/>
          <w:color w:val="1F365D"/>
          <w:sz w:val="22"/>
        </w:rPr>
        <w:t>12. Glossary</w:t>
      </w:r>
    </w:p>
    <w:p>
      <w:pPr>
        <w:spacing w:before="160"/>
      </w:pPr>
      <w:r>
        <w:rPr>
          <w:b w:val="0"/>
          <w:i/>
          <w:color w:val="595959"/>
          <w:sz w:val="17"/>
        </w:rPr>
        <w:t>This contents list is provided for navigation. Page references update automatically in Microsoft Word via Insert ► Table of Contents if a dynamic field is preferred.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pStyle w:val="Heading2"/>
      </w:pPr>
      <w:r>
        <w:t>1.1 Purpose</w:t>
      </w:r>
    </w:p>
    <w:p>
      <w:r>
        <w:rPr>
          <w:b w:val="0"/>
          <w:i w:val="0"/>
        </w:rPr>
        <w:t>This Business Requirements Document (BRD) defines the business and functional requirements for enhancing Elite Foods' Secondary Schemes Management capability across the Salesforce-based order-taking application (“SF”) and the Distribution Management System (“DMS”). It consolidates the outcomes of two requirement-gathering sessions held on 19 May 2026 (Session 1) and 21 May 2026 (Session 2) together with the state-wise scheme data files supplied by the business (Tamil Nadu, Karnataka and West). The document is intended to be the approved scope baseline for the next implementation phase.</w:t>
      </w:r>
    </w:p>
    <w:p>
      <w:pPr>
        <w:pStyle w:val="Heading2"/>
      </w:pPr>
      <w:r>
        <w:t>1.2 Scope</w:t>
      </w:r>
    </w:p>
    <w:p>
      <w:r>
        <w:rPr>
          <w:b w:val="0"/>
          <w:i w:val="0"/>
        </w:rPr>
        <w:t>In scope: secondary (retailer / outlet level) schemes only — their configuration, grouping of SKUs, slab logic, eligibility and applicability rules, payout / price calculation, approvals and lifecycle, order &amp; invoice handling, traceability and reporting.</w:t>
      </w:r>
    </w:p>
    <w:p>
      <w:pPr>
        <w:pStyle w:val="ListBullet"/>
        <w:spacing w:after="60"/>
      </w:pPr>
      <w:r>
        <w:rPr>
          <w:b/>
        </w:rPr>
        <w:t xml:space="preserve">Included: </w:t>
      </w:r>
      <w:r>
        <w:t>Multi-SKU “scheme groups” so a single scheme can be applied to many SKU codes.</w:t>
      </w:r>
    </w:p>
    <w:p>
      <w:pPr>
        <w:pStyle w:val="ListBullet"/>
        <w:spacing w:after="60"/>
      </w:pPr>
      <w:r>
        <w:t>Six scheme types: Basic (X+Y), Quantity Performance Schemes (QPS slabs), FOC giveaway, Order-Value slab discount, Category / Value-based (“Plum”) schemes, and cumulative category/invoice-value discount.</w:t>
      </w:r>
    </w:p>
    <w:p>
      <w:pPr>
        <w:pStyle w:val="ListBullet"/>
        <w:spacing w:after="60"/>
      </w:pPr>
      <w:r>
        <w:t>Cascading applicability: Channel → Area → Territory → Distributor → Outlet Category.</w:t>
      </w:r>
    </w:p>
    <w:p>
      <w:pPr>
        <w:pStyle w:val="ListBullet"/>
        <w:spacing w:after="60"/>
      </w:pPr>
      <w:r>
        <w:rPr>
          <w:b/>
        </w:rPr>
        <w:t xml:space="preserve">Excluded: </w:t>
      </w:r>
      <w:r>
        <w:t>Primary schemes / Primary PBS — to be addressed in a subsequent discussion and phase.</w:t>
      </w:r>
    </w:p>
    <w:p>
      <w:pPr>
        <w:pStyle w:val="ListBullet"/>
        <w:spacing w:after="60"/>
      </w:pPr>
      <w:r>
        <w:t>Cumulative period (month-long) claim / credit-note based schemes, returns-netting and consumer (B2C) combo promos — deferred (see Section 11).</w:t>
      </w:r>
    </w:p>
    <w:p>
      <w:pPr>
        <w:pStyle w:val="Heading2"/>
      </w:pPr>
      <w:r>
        <w:t>1.3 Background</w:t>
      </w:r>
    </w:p>
    <w:p>
      <w:r>
        <w:rPr>
          <w:b w:val="0"/>
          <w:i w:val="0"/>
        </w:rPr>
        <w:t>Elite Foods operates secondary schemes that today bind a single scheme to a single SKU. In practice the business runs the same scheme across many variants of a product (for example all Bar Cake 140 g flavours under one 11+1 scheme), layers quantity performance schemes on top, and runs region-specific value and order-level schemes. The current module cannot group SKUs, cannot represent the layered/slab behaviour cleanly, and ties reporting to a one-scheme-per-line assumption. The business therefore requires a re-worked scheme structure that is flexible enough to model all operating patterns observed across states without hard-coding any single scenario.</w:t>
      </w:r>
    </w:p>
    <w:p>
      <w:pPr>
        <w:pStyle w:val="Heading1"/>
      </w:pPr>
      <w:r>
        <w:t>2. Business Objectives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024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Objective</w:t>
            </w:r>
          </w:p>
        </w:tc>
        <w:tc>
          <w:tcPr>
            <w:tcW w:type="dxa" w:w="6192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Group multiple SKUs under one scheme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Allow a scheme to be defined once and applied to many SKU codes/variants that share the same price and grammage, removing today's one-scheme-per-SKU limitation.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0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Support all operating scheme types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Model Basic (X+Y), QPS slabs, FOC giveaways, order-value slab discounts and category/value-based schemes, including several schemes operating concurrently on the same order or line item.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0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Apply schemes flexibly by hierarchy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Permit a channel-level scheme to be applied selectively down to area, territory, distributor and outlet category through a cascading multi-select with an “all” option.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0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Calculate payout accurately and consistently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Distribute scheme value correctly (price distribution for same-price groups; FOC for differing products), respect qualifying-quantity thresholds, and base value discounts on Gross Sales Value (GSV).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0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Guarantee traceability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Persist the scheme(s) applied against each order line and order so any price reduction can be explained, audited and reported — schemes are never deleted, only deactivated.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Enable scheme reporting &amp; claims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Preserve existing claim calculation while enabling scheme-wise / order-wise benefit reporting under the new multi-scheme model.</w:t>
            </w:r>
          </w:p>
        </w:tc>
      </w:tr>
    </w:tbl>
    <w:p>
      <w:pPr>
        <w:pStyle w:val="Heading1"/>
      </w:pPr>
      <w:r>
        <w:t>3. Stakeholders</w:t>
      </w:r>
    </w:p>
    <w:p>
      <w:r>
        <w:rPr>
          <w:b w:val="0"/>
          <w:i w:val="0"/>
        </w:rPr>
        <w:t>The following roles were identified from the two requirement sessions. Elite Foods owns the business requirement; the implementation partner owns solution design and delivery. Area / Regional Sales Managers (ASM / RSM) are referenced as the source of scheme data and confirmations, though they did not attend the sessions directly.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Stakeholder</w:t>
            </w:r>
          </w:p>
        </w:tc>
        <w:tc>
          <w:tcPr>
            <w:tcW w:type="dxa" w:w="2592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Organisation</w:t>
            </w:r>
          </w:p>
        </w:tc>
        <w:tc>
          <w:tcPr>
            <w:tcW w:type="dxa" w:w="4464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Role &amp; Responsibility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Parvathi Iyer</w:t>
            </w:r>
          </w:p>
        </w:tc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Elite Foods</w:t>
            </w:r>
          </w:p>
        </w:tc>
        <w:tc>
          <w:tcPr>
            <w:tcW w:type="dxa" w:w="44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Business owner for secondary schemes; explains scheme operating patterns, supplies state scheme files, confirms rules with RSMs, approves the document.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Sunny PJ</w:t>
            </w:r>
          </w:p>
        </w:tc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Elite Foods</w:t>
            </w:r>
          </w:p>
        </w:tc>
        <w:tc>
          <w:tcPr>
            <w:tcW w:type="dxa" w:w="44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Senior stakeholder / sponsor; sets direction on channel/territory/distributor specificity, scheme validity &amp; lifecycle, and invoice-level traceability.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Rakesh Reddy</w:t>
            </w:r>
          </w:p>
        </w:tc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Implementation Partner</w:t>
            </w:r>
          </w:p>
        </w:tc>
        <w:tc>
          <w:tcPr>
            <w:tcW w:type="dxa" w:w="44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Solution architect &amp; delivery lead; drives requirement clarification, owns scheme architecture, estimation and re-scoping decisions.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Anusha Koppera</w:t>
            </w:r>
          </w:p>
        </w:tc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Implementation Partner</w:t>
            </w:r>
          </w:p>
        </w:tc>
        <w:tc>
          <w:tcPr>
            <w:tcW w:type="dxa" w:w="44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Business analyst; captures and documents requirements, raises clarifying queries, authors and circulates this BRD.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Durga Prasad</w:t>
            </w:r>
          </w:p>
        </w:tc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Implementation Partner</w:t>
            </w:r>
          </w:p>
        </w:tc>
        <w:tc>
          <w:tcPr>
            <w:tcW w:type="dxa" w:w="44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DMS / development lead; clarifies claim calculation, grouping, validations and reporting impacts.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Mayuri Patel</w:t>
            </w:r>
          </w:p>
        </w:tc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Implementation Partner</w:t>
            </w:r>
          </w:p>
        </w:tc>
        <w:tc>
          <w:tcPr>
            <w:tcW w:type="dxa" w:w="44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Development team member.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Arun Kumar</w:t>
            </w:r>
          </w:p>
        </w:tc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Implementation Partner</w:t>
            </w:r>
          </w:p>
        </w:tc>
        <w:tc>
          <w:tcPr>
            <w:tcW w:type="dxa" w:w="44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Development team (prior discussions on auto-calculation and price fetch).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ASM / RSM (Area &amp; Regional Sales Managers)</w:t>
            </w:r>
          </w:p>
        </w:tc>
        <w:tc>
          <w:tcPr>
            <w:tcW w:type="dxa" w:w="25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Elite Foods (Field)</w:t>
            </w:r>
          </w:p>
        </w:tc>
        <w:tc>
          <w:tcPr>
            <w:tcW w:type="dxa" w:w="44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Source of state/region scheme proposals and confirmation of qualifying basis (GSV/NSV, before/after GST). Consulted offline.</w:t>
            </w:r>
          </w:p>
        </w:tc>
      </w:tr>
    </w:tbl>
    <w:p>
      <w:pPr>
        <w:pStyle w:val="Heading1"/>
      </w:pPr>
      <w:r>
        <w:t>4. Current State (As-Is)</w:t>
      </w:r>
    </w:p>
    <w:p>
      <w:pPr>
        <w:pStyle w:val="Heading2"/>
      </w:pPr>
      <w:r>
        <w:t>4.1 How schemes are managed today</w:t>
      </w:r>
    </w:p>
    <w:p>
      <w:r>
        <w:rPr>
          <w:b w:val="0"/>
          <w:i w:val="0"/>
        </w:rPr>
        <w:t>A scheme module already exists in SF/DMS and supports recognised scheme types and a validity window. Schemes are created by an administrator, scoped to a sales channel, and applied during secondary order capture; the resulting benefit is reflected in the secondary order/invoice and feeds the distributor claim calculation (before-category price → after-category price → after-scheme price).</w:t>
      </w:r>
    </w:p>
    <w:p>
      <w:pPr>
        <w:pStyle w:val="Heading2"/>
      </w:pPr>
      <w:r>
        <w:t>4.2 Pain points raised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Pain Point</w:t>
            </w:r>
          </w:p>
        </w:tc>
        <w:tc>
          <w:tcPr>
            <w:tcW w:type="dxa" w:w="6624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Single SKU per scheme</w:t>
            </w:r>
          </w:p>
        </w:tc>
        <w:tc>
          <w:tcPr>
            <w:tcW w:type="dxa" w:w="66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 scheme can be tagged to only one SKU. The business routinely runs one scheme across many variants (e.g. all Bar Cake 140 g flavours under 11+1), which the system cannot represent.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Price not auto-populating</w:t>
            </w:r>
          </w:p>
        </w:tc>
        <w:tc>
          <w:tcPr>
            <w:tcW w:type="dxa" w:w="66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When defining a scheme, the channel base/retailer-landing price and MRP no longer auto-populate from the price book (it worked in earlier trials, now blank), forcing manual entry and risking error.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Layered schemes hard to model</w:t>
            </w:r>
          </w:p>
        </w:tc>
        <w:tc>
          <w:tcPr>
            <w:tcW w:type="dxa" w:w="66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Basic + QPS-1 + QPS-2 run together on the same products; the after-scheme price has to be computed manually and supplied because auto-calculation across layers is not supported.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Reporting tied to one-scheme-per-line</w:t>
            </w:r>
          </w:p>
        </w:tc>
        <w:tc>
          <w:tcPr>
            <w:tcW w:type="dxa" w:w="66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Today's scheme-wise benefit report works only because each line carries a single scheme via a lookup. With multiple schemes per line/order this breaks.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Cumulative / period schemes manual</w:t>
            </w:r>
          </w:p>
        </w:tc>
        <w:tc>
          <w:tcPr>
            <w:tcW w:type="dxa" w:w="66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Month-long order-value accumulation schemes are handled manually by the distributor (or as a credit note), not by the system.</w:t>
            </w:r>
          </w:p>
        </w:tc>
      </w:tr>
      <w:tr>
        <w:tc>
          <w:tcPr>
            <w:tcW w:type="dxa" w:w="27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No multi-product FOC</w:t>
            </w:r>
          </w:p>
        </w:tc>
        <w:tc>
          <w:tcPr>
            <w:tcW w:type="dxa" w:w="66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Cross-product free-goods (e.g. buy 5 kg atta, get 200 g vermicelli / 100 g oats) cannot be defined as a scheme today.</w:t>
            </w:r>
          </w:p>
        </w:tc>
      </w:tr>
    </w:tbl>
    <w:p>
      <w:pPr>
        <w:pStyle w:val="Heading1"/>
      </w:pPr>
      <w:r>
        <w:t>5. Future State (To-Be)</w:t>
      </w:r>
    </w:p>
    <w:p>
      <w:r>
        <w:rPr>
          <w:b w:val="0"/>
          <w:i w:val="0"/>
        </w:rPr>
        <w:t>The re-worked module will allow administrators to define reusable scheme groups and layer multiple scheme types on them, apply them flexibly across the sales hierarchy, calculate payouts deterministically and retain a full audit trail of what was applied.</w:t>
      </w:r>
    </w:p>
    <w:p>
      <w:pPr>
        <w:pStyle w:val="Heading2"/>
      </w:pPr>
      <w:r>
        <w:t>5.1 Scheme group</w:t>
      </w:r>
    </w:p>
    <w:p>
      <w:pPr>
        <w:pStyle w:val="ListBullet"/>
        <w:spacing w:after="60"/>
      </w:pPr>
      <w:r>
        <w:t>A scheme group is a named set of applicable SKU codes, built channel-wise.</w:t>
      </w:r>
    </w:p>
    <w:p>
      <w:pPr>
        <w:pStyle w:val="ListBullet"/>
        <w:spacing w:after="60"/>
      </w:pPr>
      <w:r>
        <w:t>SKUs are selected via filters (category, sub-category, group, sub-group, variant, grammage, MRP) with a “select all” action; a group may contain one or many SKUs.</w:t>
      </w:r>
    </w:p>
    <w:p>
      <w:pPr>
        <w:pStyle w:val="ListBullet"/>
        <w:spacing w:after="60"/>
      </w:pPr>
      <w:r>
        <w:t>All SKUs in a price-division scheme group must carry the same MRP/price (and, for cakes, the same grammage). FOC giveaways are exempt (different product is dispersed separately).</w:t>
      </w:r>
    </w:p>
    <w:p>
      <w:pPr>
        <w:pStyle w:val="Heading2"/>
      </w:pPr>
      <w:r>
        <w:t>5.2 Layered scheme types</w:t>
      </w:r>
    </w:p>
    <w:p>
      <w:r>
        <w:rPr>
          <w:b w:val="0"/>
          <w:i w:val="0"/>
        </w:rPr>
        <w:t>On a scheme group the business can run, concurrently, a Basic scheme, one or more QPS slabs, a category/value-based scheme and an order-value scheme. The Basic scheme always applies; QPS slabs are mutually exclusive among themselves but layer on the Basic-scheme net rate; order-value and category schemes are computed on GSV. See Section 7 for the scheme types and Section 8 for the calculation rules.</w:t>
      </w:r>
    </w:p>
    <w:p>
      <w:pPr>
        <w:pStyle w:val="Heading2"/>
      </w:pPr>
      <w:r>
        <w:t>5.3 Cascading applicability</w:t>
      </w:r>
    </w:p>
    <w:p>
      <w:pPr>
        <w:pStyle w:val="ListBullet"/>
        <w:spacing w:after="60"/>
      </w:pPr>
      <w:r>
        <w:t>A scheme is created at channel level, then applied via a cascading selector: Channel → Area → Territory → Distributor → Outlet Category (GT1, GT2, Club, …), each with “all”.</w:t>
      </w:r>
    </w:p>
    <w:p>
      <w:pPr>
        <w:pStyle w:val="ListBullet"/>
        <w:spacing w:after="60"/>
      </w:pPr>
      <w:r>
        <w:t>Distributor names are presented with their SAP codes; only the relevant outlet categories for the selected channel are offered.</w:t>
      </w:r>
    </w:p>
    <w:p>
      <w:pPr>
        <w:pStyle w:val="Heading2"/>
      </w:pPr>
      <w:r>
        <w:t>5.4 Traceability &amp; lifecycle</w:t>
      </w:r>
    </w:p>
    <w:p>
      <w:pPr>
        <w:pStyle w:val="ListBullet"/>
        <w:spacing w:after="60"/>
      </w:pPr>
      <w:r>
        <w:t>Every order line / order stores the scheme ID(s) applied; a UI indicator (button) reveals applied-scheme details in a pop-up, with a header-level scheme summary.</w:t>
      </w:r>
    </w:p>
    <w:p>
      <w:pPr>
        <w:pStyle w:val="ListBullet"/>
        <w:spacing w:after="60"/>
      </w:pPr>
      <w:r>
        <w:t>Schemes have a validity period and active/inactive state; once live they cannot be edited except to extend the end date; they are cloned (not edited) to change, and are never deleted — only deactivated. Administrator-only.</w:t>
      </w:r>
    </w:p>
    <w:p>
      <w:pPr>
        <w:pStyle w:val="Heading1"/>
      </w:pPr>
      <w:r>
        <w:t>6. Functional Requirements</w:t>
      </w:r>
    </w:p>
    <w:p>
      <w:r>
        <w:rPr>
          <w:b w:val="0"/>
          <w:i/>
          <w:color w:val="595959"/>
          <w:sz w:val="19"/>
        </w:rPr>
        <w:t>Requirements are grouped by capability. Priority uses MoSCoW: M = Must, S = Should, C = Could. Source indicates the originating Session (S1 = 19 May, S2 = 21 May) and/or the scheme data files (Excel).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Req ID</w:t>
            </w:r>
          </w:p>
        </w:tc>
        <w:tc>
          <w:tcPr>
            <w:tcW w:type="dxa" w:w="6480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Requirement Description</w:t>
            </w:r>
          </w:p>
        </w:tc>
        <w:tc>
          <w:tcPr>
            <w:tcW w:type="dxa" w:w="864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00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Source</w:t>
            </w:r>
          </w:p>
        </w:tc>
      </w:tr>
      <w:tr>
        <w:tc>
          <w:tcPr>
            <w:tcW w:type="dxa" w:w="1008"/>
            <w:gridSpan w:val="4"/>
            <w:shd w:val="clear" w:color="auto" w:fill="D6DEE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1F365D"/>
                <w:sz w:val="20"/>
              </w:rPr>
              <w:t>Scheme Group Configuration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FR-001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allow a single scheme to be defined against a group of multiple SKU codes (a “scheme group”), not just one SKU.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FR-002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allow SKUs to be added to a scheme group using filters: category, sub-category, group, sub-group, variant, grammage and MRP, displaying the matching SKUs with a “select all” action.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FR-003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support a scheme group containing exactly one SKU (and multiple SKU codes that represent the same product across plants/depots).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FR-004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auto-populate MRP and the channel retailer-landing price from the price book when a scheme is defined; manual override shall not be required when price-book data exists.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FR-005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prevent the same SKU from appearing in more than one scheme group within the same sales channel (group-level uniqueness validation).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FR-006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enforce that all SKUs in a price-division scheme group carry the same MRP/price (and same grammage for bakery); products of differing MRP/grammage shall instead be handled as FOC giveaways.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gridSpan w:val="4"/>
            <w:shd w:val="clear" w:color="auto" w:fill="D6DEE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1F365D"/>
                <w:sz w:val="20"/>
              </w:rPr>
              <w:t>Scheme Types &amp; Slab Logic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FR-010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support a Basic scheme of “X+Y” form (e.g. 10+1, 11+1, 23+1, 22+2, 6+1, 36+36), applying one free set for every qualifying group of (X+Y) units across the ordered quantity.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S2, Excel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FR-011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apply the Basic scheme either as a straight FOC (when a single set is ordered) or as a distributed discount across the qualifying quantity (when multiples are ordered).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FR-012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support Quantity Performance Schemes (QPS-1, QPS-2, …) defined as slabs on a qualifying quantity (e.g. buy 3 cases → ₹40/case; buy 5 cases → ₹80/case).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S2, Excel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FR-013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express and evaluate QPS qualifying quantities in “each” units (cases × units-per-case), since secondary billing is always in each.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FR-014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QPS slabs shall be mutually exclusive among themselves and shall be computed on the Basic-scheme net rate (not the gross rate).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FR-015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When ordered quantity exceeds a slab, the system shall decompose it into the largest qualifying slab-lots (e.g. 8 cases → one 5-case lot + one 3-case lot) and apply each lot's benefit; any remainder receives only the Basic scheme.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FR-016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support an FOC giveaway scheme in which a different product is given free (e.g. 5 kg Chakki Atta → 200 g vermicelli per kg, or 100 g oats), subject to a minimum qualifying quantity.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S2, Excel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FR-017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FOC giveaways shall be added as a separate order line at a negligible price (e.g. ₹0.01) with applicable tax, and shall not trigger price distribution.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FR-018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support an Order-Value slab discount applied on total order value (GSV), e.g. ₹5,000–20,000 → 5%, 20,001–35,000 → 7%, 35,001–50,000 → 9%, 50,001+ → 11% (Silver/Gold/Platinum/Diamond classes).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S2, Excel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FR-019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Order-Value discount shall be evaluated per single order (not accumulated over a period) and shown as a single header-level discount line, not divided across line items.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FR-020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support a Category / Value-based (“Plum”) scheme that sums the value of all line items in a category and applies a value slab (e.g. 50,000–100,000 → 1%, …, 200,001+ → 2.5%) on GSV, optionally time-bound (e.g. Nov–Dec).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S2, Excel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FR-021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support a cumulative category/invoice-value discount (e.g. staples such as Chakki Atta: total bill ≥ ₹5,000 → flat 5%–8%).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Excel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FR-022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allow multiple scheme types (Basic + QPS + Category + Order-Value) to apply concurrently to the same order/line item.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FR-023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Slabs, percentages and qualifying thresholds shall be fully configurable (variable over time) without code change.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gridSpan w:val="4"/>
            <w:shd w:val="clear" w:color="auto" w:fill="D6DEE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1F365D"/>
                <w:sz w:val="20"/>
              </w:rPr>
              <w:t>Eligibility &amp; Applicability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FR-030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create scheme groups at sales-channel level.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FR-031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apply a scheme through a cascading selector — Channel → Area → Territory → Distributor → Outlet Category — each level offering “all” or specific selection.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FR-032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restrict scheme applicability to specific secondary outlet categories (e.g. GT1, GT2) and exclude categories such as Elite Club that already receive a fixed margin.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FR-033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present only the outlet categories valid for the selected channel, and present distributors together with their SAP codes.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FR-034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ensure that, for a given area, an SKU is associated with only one active scheme of a competing type at a time (no duplicate competing schemes on the same product in the same area).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FR-035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allow the same SKU/scheme group to be applied differently across different areas/channels (e.g. operated in Northern Tamil Nadu but not Chennai).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</w:t>
            </w:r>
          </w:p>
        </w:tc>
      </w:tr>
      <w:tr>
        <w:tc>
          <w:tcPr>
            <w:tcW w:type="dxa" w:w="1008"/>
            <w:gridSpan w:val="4"/>
            <w:shd w:val="clear" w:color="auto" w:fill="D6DEE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1F365D"/>
                <w:sz w:val="20"/>
              </w:rPr>
              <w:t>Payout / Price Calculation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FR-040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For price-division schemes, the system shall compute the after-scheme per-unit price by distributing the value of free units across the qualifying quantity (e.g. retailer price × X ÷ (X+Y)).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FR-041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calculate QPS benefit by taking the Basic-scheme net rate, applying it across the qualifying quantity to derive net sales value, deducting the per-case/per-slab benefit, and redistributing to a revised per-unit price (4-decimal precision internally, 2-decimal display).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FR-042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Order-Value and Category scheme qualifying value and the resulting discount shall both be computed on Gross Sales Value (GSV).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FR-043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Value-based discounts shall be applied before GST; GST shall continue to be computed per line item and summed.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FR-044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recalculate applicable schemes and totals in real time as line items, quantities or prices change during order capture.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FR-045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preserve the existing distributor claim calculation logic; only the scheme pattern changes, not the claim method.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</w:t>
            </w:r>
          </w:p>
        </w:tc>
      </w:tr>
      <w:tr>
        <w:tc>
          <w:tcPr>
            <w:tcW w:type="dxa" w:w="1008"/>
            <w:gridSpan w:val="4"/>
            <w:shd w:val="clear" w:color="auto" w:fill="D6DEE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1F365D"/>
                <w:sz w:val="20"/>
              </w:rPr>
              <w:t>Validations, Lifecycle &amp; Administration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FR-050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Scheme creation, editing, activation/deactivation shall be restricted to administrator users only.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FR-051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Each scheme shall have a validity period (start/end date) and an active/inactive status; expired schemes shall not be applied.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FR-052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While a scheme is live, editing shall be limited to extending the end date; reduction of the period or other edits after go-live shall not be permitted.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FR-053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Schemes shall never be deletable; they may only be deactivated, and a new scheme cloned/created to introduce changes.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FR-054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On any price change the business shall create a new SKU code rather than edit the price of an existing SKU; the system shall support this (base code unchanged, depot/variant code changes).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gridSpan w:val="4"/>
            <w:shd w:val="clear" w:color="auto" w:fill="D6DEE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1F365D"/>
                <w:sz w:val="20"/>
              </w:rPr>
              <w:t>Order / Invoice Handling &amp; Traceability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FR-060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persist, in the back end, the scheme ID(s) and benefit applied against each order line item and each order.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FR-061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order/invoice UI shall provide a per-line indicator (button) that opens a pop-up detailing the schemes applied, plus a header-level scheme/discount summary (similar to the GST summary), avoiding a lengthy default invoice.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FR-062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secondary order report shall continue to flag whether a scheme is applied against a product and display the scheme ID.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FR-063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FOC / zero-value handling shall comply with the finance constraint that invoices cannot carry a true zero price (use a negligible taxable value).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gridSpan w:val="4"/>
            <w:shd w:val="clear" w:color="auto" w:fill="D6DEE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20" w:before="20"/>
            </w:pPr>
            <w:r>
              <w:rPr>
                <w:b/>
                <w:color w:val="1F365D"/>
                <w:sz w:val="20"/>
              </w:rPr>
              <w:t>Reporting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FR-070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provide scheme-wise benefit reporting that works under the new multiple-schemes-per-line/order model (e.g. order-wise and monthly claim-amount views).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FR-071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system shall retain the category-scheme vs normal-scheme distinction used in the existing DMS claim report.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S1, S2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2E5B9A"/>
                <w:sz w:val="17"/>
              </w:rPr>
              <w:t>FR-072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The reporting data structure (description field vs dedicated table) shall be designed to support per-scheme totals without excessive object growth (design decision pending — see Section 11).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7"/>
              </w:rPr>
              <w:t>S2</w:t>
            </w:r>
          </w:p>
        </w:tc>
      </w:tr>
    </w:tbl>
    <w:p>
      <w:r>
        <w:br w:type="page"/>
      </w:r>
    </w:p>
    <w:p>
      <w:pPr>
        <w:pStyle w:val="Heading1"/>
      </w:pPr>
      <w:r>
        <w:t>7. Scheme Catalogue</w:t>
      </w:r>
    </w:p>
    <w:p>
      <w:r>
        <w:rPr>
          <w:b w:val="0"/>
          <w:i/>
          <w:color w:val="595959"/>
          <w:sz w:val="19"/>
        </w:rPr>
        <w:t>The table summarises the schemes represented in the supplied state data files (Tamil Nadu – May'26, Karnataka – FY26-27 &amp; QPS slabs, West – Q1). Rows are grouped by scheme/category per region with representative SKUs; the full SKU lists remain in the source workbooks.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44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7"/>
              </w:rPr>
              <w:t>Scheme Name</w:t>
            </w:r>
          </w:p>
        </w:tc>
        <w:tc>
          <w:tcPr>
            <w:tcW w:type="dxa" w:w="1224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7"/>
              </w:rPr>
              <w:t>State / Region</w:t>
            </w:r>
          </w:p>
        </w:tc>
        <w:tc>
          <w:tcPr>
            <w:tcW w:type="dxa" w:w="136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36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7"/>
              </w:rPr>
              <w:t>Target Metric</w:t>
            </w:r>
          </w:p>
        </w:tc>
        <w:tc>
          <w:tcPr>
            <w:tcW w:type="dxa" w:w="280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7"/>
              </w:rPr>
              <w:t>Slab Structure</w:t>
            </w:r>
          </w:p>
        </w:tc>
        <w:tc>
          <w:tcPr>
            <w:tcW w:type="dxa" w:w="1656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7"/>
              </w:rPr>
              <w:t>Payout Type</w:t>
            </w:r>
          </w:p>
        </w:tc>
        <w:tc>
          <w:tcPr>
            <w:tcW w:type="dxa" w:w="1584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7"/>
              </w:rPr>
              <w:t>Eligibility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TN Bread/Toast Primary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Tamil Nadu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(X+Y)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Qty (each)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10+1 (Tasty Treat 300g; Brown/Sandwich/Family Bread)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Free goods / price-distributed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GT channel, May'26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TN Milk/Elachi/Classic Rusk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Tamil Nadu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+ QPS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Qty (each) + cases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23+1 / 18+1 / 15+1; QPS1 buy 3 cases → ₹40/case; QPS2 buy 5 cases → ₹80/case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Price-distributed discount + slab rebate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All outlets, May'26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TN Cakes (Cup/Bar/Pudding/Brownie)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Tamil Nadu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%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Net DB landing %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3.45%–9.09% primary scheme to fixed net DB landing price per SKU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On-invoice price discount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GT distributor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TN Wholesale QPS (Cup/Heart/Brownie)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Tamil Nadu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QPS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Cases (min 3)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WS channel QPS ~4.16% (min 3 cases)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Slab rebate per case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Wholesale channel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TN CPS Staples (Atta/Rava/Oats)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Tamil Nadu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Cumulative slab / FOC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Bags / kg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Buy 2/3/5/10 bags → ₹2/3/4/5 per kg (Distributor); SS: 5/10 bags → ₹2/3 per kg; Oats 8.33%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Per-kg rebate / FOC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Distributor &amp; Super-Stockist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TN Cookies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Tamil Nadu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%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Net DB landing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9.09% primary scheme to net DB landing; flavour-specific landed price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On-invoice discount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GT, May'26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TN Modern Trade / NSO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Tamil Nadu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Order/Value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% off (all SKUs)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15% off NSO across MT chains (D-Mart, Zepto, Reliance, etc.) May'26–Jun'26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Flat % discount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Modern Trade / e-com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 Cake (Centoz/Bar/Slice/Brownie)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Karnataka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(X+Y)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Qty (each)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22+2, 11+1, 29+1, 34+2, 35+1 by SKU (Apr &amp; May)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Free goods / price-distributed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BTL FY26-27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 Fruit Bar / Cup Cake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Karnataka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(X+Y)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Qty (each)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12+1 / 11+1 / 29+1 by SKU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Free goods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BTL FY26-27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 Rusk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Karnataka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(X+Y)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Qty (each)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11+1, 12+1, 6+1 (1 kg packs) by SKU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Free goods / price-distributed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BTL FY26-27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 Cookies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Karnataka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(X+Y)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Qty (each)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12+1; 34+2 (₹5 16g)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Free goods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BTL FY26-27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 CPD Staples (Atta/Rava/Maida/Rice)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Karnataka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(X+Y)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Qty (each)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19+1 (mostly); 15+1 for 5 kg atta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Free goods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BTL FY26-27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 Mixes / Vermicelli / Soya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Karnataka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(X+Y)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Qty (each)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11+1, 6+1, 19+1; Gulab Jamun 36+36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Free goods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BTL FY26-27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 Oats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Karnataka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(X+Y)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Qty (each)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11+1 (500 g &amp; 1 kg pouch)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Free goods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BTL FY26-27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 Order-Value QPS (Scheme Class)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Karnataka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Order-Value slab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Total order value (GSV)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5,000–20,000 → 5% (Silver); 20,001–35,000 → 7% (Gold); 35,001–50,000 → 9% (Platinum); 50,001+ → 11% (Diamond)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Header-level % discount on GSV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Per outlet / per single order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 Plum Category Scheme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Karnataka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Category / Value-based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Plum category value (GSV)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50,000–100,000 → 1%; 100,001–150,000 → 1.5%; 150,001–200,000 → 2%; 200,001+ → 2.5%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Category-level % discount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Plum cakes; Nov–Dec season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 Seasonal / Channel incentives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Karnataka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Incentive / Other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% of sales / display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Distributor 2% (100% target); Sub-stockist 1%; Channel mgmt 0.20%; Modern Trade 8%; Rusk display ₹500/outlet/month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Incentive / display payout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Distributor, SS, MT, BMA outlets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West Bakery (Cakes/Rusk/Cookies/Cup)</w:t>
            </w:r>
          </w:p>
        </w:tc>
        <w:tc>
          <w:tcPr>
            <w:tcW w:type="dxa" w:w="122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West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Basic (X+Y)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Qty (each)</w:t>
            </w:r>
          </w:p>
        </w:tc>
        <w:tc>
          <w:tcPr>
            <w:tcW w:type="dxa" w:w="28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Mostly 12+1; 20+1 (Classic Rusk 135g, Choco Brownie 50g); 6+1 (405g); 2+1 (1 kg)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Free goods / price-distributed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Q1 (Mar–May); single &amp; grouped SKUs</w:t>
            </w:r>
          </w:p>
        </w:tc>
      </w:tr>
    </w:tbl>
    <w:p>
      <w:pPr>
        <w:spacing w:before="80"/>
      </w:pPr>
      <w:r>
        <w:rPr>
          <w:b w:val="0"/>
          <w:i/>
          <w:color w:val="595959"/>
          <w:sz w:val="17"/>
        </w:rPr>
        <w:t>Note: KA columns C&amp;D in the source workbook (% and %-on-budget) are internal budgeting figures and are excluded from the operating scheme definition, as confirmed in Session 2.</w:t>
      </w:r>
    </w:p>
    <w:p>
      <w:r>
        <w:br w:type="page"/>
      </w:r>
    </w:p>
    <w:p>
      <w:pPr>
        <w:pStyle w:val="Heading1"/>
      </w:pPr>
      <w:r>
        <w:t>8. Business Rules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Rule</w:t>
            </w:r>
          </w:p>
        </w:tc>
        <w:tc>
          <w:tcPr>
            <w:tcW w:type="dxa" w:w="2304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6192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Statement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BR-01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Same-price grouping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All SKUs in a price-division scheme group must share the same MRP/price (and same grammage for bakery) so that scheme value can be distributed correctly.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BR-02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FOC for differing products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When the free item differs in MRP/grammage from the qualifying item, the scheme is an FOC giveaway dispersed on a separate line at negligible value; price distribution does not apply.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BR-03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Basic scheme repetition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 Basic X+Y scheme yields one free set for every (X+Y) qualifying units (e.g. 216 units under 23+1 → nine free units), applied across the ordered quantity.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BR-04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QPS threshold in each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QPS qualifying quantity is held in “each” (cases × units-per-case). The qualifying threshold must be met for a slab to apply; below threshold the QPS does not apply.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BR-05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QPS layering &amp; exclusivity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QPS is computed on the Basic-scheme net rate. QPS-1/QPS-2/QPS-3 are mutually exclusive among themselves but are each linked to (layer on) the Basic scheme.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BR-06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Slab decomposition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Quantities above a slab are decomposed into the largest qualifying lots (e.g. 8 cases → 5+3); each lot earns its slab benefit; remainder gets only the Basic scheme.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BR-07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Concurrent scheme types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Basic, QPS, Category (Plum) and Order-Value schemes may all apply to the same order; only QPS slabs are mutually exclusive.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BR-08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GSV basis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Order-Value and Category scheme qualification and discount are both computed on Gross Sales Value (GSV), and applied before GST.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BR-09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Per-order evaluation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Order-Value and Category schemes are evaluated per single order. Cumulative period accumulation is out of scope for secondary (would be claim/credit-note based).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BR-10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Price change → new SKU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 price change is represented by a new SKU code; the price of an existing SKU is never edited in place.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BR-11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One SKU, one group per channel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Within a sales channel an SKU may belong to only one scheme group; applicability (not grouping) restricts a scheme to specific areas/territories/distributors.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BR-12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Outlet-category targeting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Schemes apply only to eligible secondary outlet categories (e.g. GT1/GT2); fixed-margin categories such as Elite Club are excluded.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BR-13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Lifecycle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Schemes are admin-only, validity-bound, never deleted (only deactivated); once live only the end date may be extended, otherwise a new scheme is cloned/created.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BR-14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Traceability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The scheme(s) applied are stored against each line/order to explain and audit every price reduction.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BR-15</w:t>
            </w:r>
          </w:p>
        </w:tc>
        <w:tc>
          <w:tcPr>
            <w:tcW w:type="dxa" w:w="230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Claim continuity</w:t>
            </w:r>
          </w:p>
        </w:tc>
        <w:tc>
          <w:tcPr>
            <w:tcW w:type="dxa" w:w="619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Distributor claim calculation (before-category → after-category → after-scheme price) is unchanged; only the scheme pattern changes.</w:t>
            </w:r>
          </w:p>
        </w:tc>
      </w:tr>
    </w:tbl>
    <w:p>
      <w:pPr>
        <w:pStyle w:val="Heading1"/>
      </w:pPr>
      <w:r>
        <w:t>9. Non-Functional Requirements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2016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6336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NFR-01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Performance</w:t>
            </w:r>
          </w:p>
        </w:tc>
        <w:tc>
          <w:tcPr>
            <w:tcW w:type="dxa" w:w="63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Scheme evaluation and order totals must recalculate in real time as line items, quantities or prices change during order capture, without perceptible lag on mobile (DMS) and desktop (SF).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NFR-02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Scalability</w:t>
            </w:r>
          </w:p>
        </w:tc>
        <w:tc>
          <w:tcPr>
            <w:tcW w:type="dxa" w:w="63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The model must support hundreds of SKUs grouped across multiple states/channels, and several concurrent scheme types per order, with configurable slabs/percentages.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NFR-03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Auditability</w:t>
            </w:r>
          </w:p>
        </w:tc>
        <w:tc>
          <w:tcPr>
            <w:tcW w:type="dxa" w:w="63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Applied scheme IDs and benefits are persisted per line/order; schemes are never deleted (deactivate only); changes are made by cloning, preserving history.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NFR-04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Compliance (Tax)</w:t>
            </w:r>
          </w:p>
        </w:tc>
        <w:tc>
          <w:tcPr>
            <w:tcW w:type="dxa" w:w="63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GST is computed per line item; value discounts apply on GSV before GST; FOC items carry a negligible taxable value to satisfy the no-zero-price invoice constraint.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NFR-05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Security / Access</w:t>
            </w:r>
          </w:p>
        </w:tc>
        <w:tc>
          <w:tcPr>
            <w:tcW w:type="dxa" w:w="63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Scheme creation, editing, activation and deactivation are restricted to administrator users.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NFR-06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Usability</w:t>
            </w:r>
          </w:p>
        </w:tc>
        <w:tc>
          <w:tcPr>
            <w:tcW w:type="dxa" w:w="63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Applied schemes are surfaced via a per-line indicator and pop-up plus a header summary, keeping the default invoice concise; UI to be validated via Figma.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NFR-07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Configurability</w:t>
            </w:r>
          </w:p>
        </w:tc>
        <w:tc>
          <w:tcPr>
            <w:tcW w:type="dxa" w:w="63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Slabs, percentages, thresholds, validity periods and applicability must be changeable by configuration, without code deployment.</w:t>
            </w:r>
          </w:p>
        </w:tc>
      </w:tr>
      <w:tr>
        <w:tc>
          <w:tcPr>
            <w:tcW w:type="dxa" w:w="100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8"/>
              </w:rPr>
              <w:t>NFR-08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Maintainability</w:t>
            </w:r>
          </w:p>
        </w:tc>
        <w:tc>
          <w:tcPr>
            <w:tcW w:type="dxa" w:w="633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Reporting storage should avoid excessive object/row growth while supporting per-scheme totals (design pending).</w:t>
            </w:r>
          </w:p>
        </w:tc>
      </w:tr>
    </w:tbl>
    <w:p>
      <w:pPr>
        <w:pStyle w:val="Heading1"/>
      </w:pPr>
      <w:r>
        <w:t>10. Assumptions &amp; Constraints</w:t>
      </w:r>
    </w:p>
    <w:p>
      <w:pPr>
        <w:pStyle w:val="Heading2"/>
      </w:pPr>
      <w:r>
        <w:t>10.1 Assumptions</w:t>
      </w:r>
    </w:p>
    <w:p>
      <w:pPr>
        <w:pStyle w:val="ListBullet"/>
        <w:spacing w:after="60"/>
      </w:pPr>
      <w:r>
        <w:t>Secondary billing is always in “each”; case-based scheme definitions are converted to each (units-per-case is held in the SKU master).</w:t>
      </w:r>
    </w:p>
    <w:p>
      <w:pPr>
        <w:pStyle w:val="ListBullet"/>
        <w:spacing w:after="60"/>
      </w:pPr>
      <w:r>
        <w:t>Price-book / SKU master holds MRP, retailer-landing price and units-per-case for each SKU.</w:t>
      </w:r>
    </w:p>
    <w:p>
      <w:pPr>
        <w:pStyle w:val="ListBullet"/>
        <w:spacing w:after="60"/>
      </w:pPr>
      <w:r>
        <w:t>Scheme groups are created channel-wise; applicability is then restricted down the hierarchy.</w:t>
      </w:r>
    </w:p>
    <w:p>
      <w:pPr>
        <w:pStyle w:val="ListBullet"/>
        <w:spacing w:after="60"/>
      </w:pPr>
      <w:r>
        <w:t>The qualifying and discount basis for value schemes is GSV (confirmed in Session 2).</w:t>
      </w:r>
    </w:p>
    <w:p>
      <w:pPr>
        <w:pStyle w:val="ListBullet"/>
        <w:spacing w:after="60"/>
      </w:pPr>
      <w:r>
        <w:t>The existing claim calculation and secondary order report remain available and largely unchanged.</w:t>
      </w:r>
    </w:p>
    <w:p>
      <w:pPr>
        <w:pStyle w:val="Heading2"/>
      </w:pPr>
      <w:r>
        <w:t>10.2 Constraints</w:t>
      </w:r>
    </w:p>
    <w:p>
      <w:pPr>
        <w:pStyle w:val="ListBullet"/>
        <w:spacing w:after="60"/>
      </w:pPr>
      <w:r>
        <w:t>Invoices cannot carry a true zero price (finance constraint); FOC uses a negligible taxable value.</w:t>
      </w:r>
    </w:p>
    <w:p>
      <w:pPr>
        <w:pStyle w:val="ListBullet"/>
        <w:spacing w:after="60"/>
      </w:pPr>
      <w:r>
        <w:t>Cumulative month-long / period schemes cannot reflect immediate benefit in secondary and are therefore out of scope (claim/credit-note based, future phase).</w:t>
      </w:r>
    </w:p>
    <w:p>
      <w:pPr>
        <w:pStyle w:val="ListBullet"/>
        <w:spacing w:after="60"/>
      </w:pPr>
      <w:r>
        <w:t>Mandatory “AND” conditions across multiple SKUs (must buy both products) are not currently operated and are excluded to limit complexity.</w:t>
      </w:r>
    </w:p>
    <w:p>
      <w:pPr>
        <w:pStyle w:val="ListBullet"/>
        <w:spacing w:after="60"/>
      </w:pPr>
      <w:r>
        <w:t>A scheme, once live, cannot be edited except to extend its end date.</w:t>
      </w:r>
    </w:p>
    <w:p>
      <w:pPr>
        <w:pStyle w:val="ListBullet"/>
        <w:spacing w:after="60"/>
      </w:pPr>
      <w:r>
        <w:t>Adding the new FOC scheme type may affect the original estimate; scope/effort to be re-confirmed (see Section 11).</w:t>
      </w:r>
    </w:p>
    <w:p>
      <w:pPr>
        <w:pStyle w:val="Heading1"/>
      </w:pPr>
      <w:r>
        <w:t>11. Open Items / Decisions Pending</w:t>
      </w:r>
    </w:p>
    <w:p>
      <w:r>
        <w:rPr>
          <w:b w:val="0"/>
          <w:i/>
          <w:color w:val="595959"/>
          <w:sz w:val="19"/>
        </w:rPr>
        <w:t>The following points were raised but not fully closed across the two sessions; several reflect differences in interpretation that should be confirmed before build.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08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24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  <w:tc>
          <w:tcPr>
            <w:tcW w:type="dxa" w:w="1584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296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6"/>
              </w:rPr>
              <w:t>OI-01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FOC scheme type effort / scope</w:t>
            </w:r>
          </w:p>
        </w:tc>
        <w:tc>
          <w:tcPr>
            <w:tcW w:type="dxa" w:w="42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New FOC (cross-product) scheme type emerged in discussion and was not in the original estimate. Re-estimate after the full scheme list is received.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Rakesh Reddy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Open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6"/>
              </w:rPr>
              <w:t>OI-02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Qualifying basis NSV vs GSV</w:t>
            </w:r>
          </w:p>
        </w:tc>
        <w:tc>
          <w:tcPr>
            <w:tcW w:type="dxa" w:w="42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Confirmed during Session 2: both qualifying value and discount are on GSV. To be re-confirmed in writing by RSM.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Parvathi Iyer / RSM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Resolved (confirm in writing)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6"/>
              </w:rPr>
              <w:t>OI-03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Discount before/after GST</w:t>
            </w:r>
          </w:p>
        </w:tc>
        <w:tc>
          <w:tcPr>
            <w:tcW w:type="dxa" w:w="42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Working assumption is value discount before GST (on GSV), with line-item GST summed. RSM to confirm general practice.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Parvathi Iyer / RSM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Open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6"/>
              </w:rPr>
              <w:t>OI-04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Reporting data structure</w:t>
            </w:r>
          </w:p>
        </w:tc>
        <w:tc>
          <w:tcPr>
            <w:tcW w:type="dxa" w:w="42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Whether applied schemes are stored in a description field or a dedicated table, balancing report needs against object growth. Partner to propose architecture; business to supply the expected report list.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Rakesh Reddy / Parvathi Iyer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Open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6"/>
              </w:rPr>
              <w:t>OI-05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Applied-scheme UI</w:t>
            </w:r>
          </w:p>
        </w:tc>
        <w:tc>
          <w:tcPr>
            <w:tcW w:type="dxa" w:w="42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Per-line button + pop-up and header summary to be designed and validated via Figma before build.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Implementation Partner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Open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6"/>
              </w:rPr>
              <w:t>OI-06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Cumulative period schemes</w:t>
            </w:r>
          </w:p>
        </w:tc>
        <w:tc>
          <w:tcPr>
            <w:tcW w:type="dxa" w:w="42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Month-long order-value accumulation deferred; may be delivered for high-end distributors in a later DMS phase (credit-note / next-month adjustment).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Both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Deferred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6"/>
              </w:rPr>
              <w:t>OI-07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Returns adjustment</w:t>
            </w:r>
          </w:p>
        </w:tc>
        <w:tc>
          <w:tcPr>
            <w:tcW w:type="dxa" w:w="42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Whether scheme benefit should be netted against returns (and in which month) varies by distributor; deferred.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Both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Deferred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6"/>
              </w:rPr>
              <w:t>OI-08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Reuse vs full rework</w:t>
            </w:r>
          </w:p>
        </w:tc>
        <w:tc>
          <w:tcPr>
            <w:tcW w:type="dxa" w:w="42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Whether the existing scheme module can be reused or must be fully reworked; leaning towards a re-worked structure.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Rakesh Reddy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Open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sz w:val="16"/>
              </w:rPr>
              <w:t>OI-09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Full scheme list</w:t>
            </w:r>
          </w:p>
        </w:tc>
        <w:tc>
          <w:tcPr>
            <w:tcW w:type="dxa" w:w="42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Business to provide the complete list of all schemes across all channels, product groups, states and regions for final analysis.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Parvathi Iyer / RSMs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Open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center"/>
            </w:pPr>
            <w:r>
              <w:rPr>
                <w:b w:val="0"/>
                <w:sz w:val="16"/>
              </w:rPr>
              <w:t>OI-10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Best-value vs stacking (interpretation)</w:t>
            </w:r>
          </w:p>
        </w:tc>
        <w:tc>
          <w:tcPr>
            <w:tcW w:type="dxa" w:w="42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Session 1 implied applying only the single best-value scheme; Session 2 clarified that scheme types stack and only QPS slabs are mutually exclusive. This BRD adopts the Session 2 position (see Section 8); to be confirmed.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Both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6"/>
              </w:rPr>
              <w:t>Flagged</w:t>
            </w:r>
          </w:p>
        </w:tc>
      </w:tr>
    </w:tbl>
    <w:p>
      <w:pPr>
        <w:pStyle w:val="Heading2"/>
      </w:pPr>
      <w:r>
        <w:t>11.1 Notes on contradictions / gaps between the two sessions</w:t>
      </w:r>
    </w:p>
    <w:p>
      <w:pPr>
        <w:pStyle w:val="ListBullet"/>
        <w:spacing w:after="60"/>
      </w:pPr>
      <w:r>
        <w:t>Best value vs stacking: reconciled in favour of the Session 2 position — Basic + QPS + Category + Order-Value stack; only QPS slabs are mutually exclusive (OI-10).</w:t>
      </w:r>
    </w:p>
    <w:p>
      <w:pPr>
        <w:pStyle w:val="ListBullet"/>
        <w:spacing w:after="60"/>
      </w:pPr>
      <w:r>
        <w:t>Same-MRP rule: stated absolutely in Session 1, then qualified in Session 2 — it applies to price-division schemes only; FOC giveaways with differing MRP/grammage are handled separately.</w:t>
      </w:r>
    </w:p>
    <w:p>
      <w:pPr>
        <w:pStyle w:val="ListBullet"/>
        <w:spacing w:after="60"/>
      </w:pPr>
      <w:r>
        <w:t>Period schemes: Session 1 referenced cumulative invoice-value schemes; Session 2 limited secondary to per-order evaluation and deferred cumulative behaviour.</w:t>
      </w:r>
    </w:p>
    <w:p>
      <w:pPr>
        <w:pStyle w:val="ListBullet"/>
        <w:spacing w:after="60"/>
      </w:pPr>
      <w:r>
        <w:t>Staples grammage validation: Session 1 sought a grammage validation; Session 2 resolved staples cross-product giveaways via the FOC route instead.</w:t>
      </w:r>
    </w:p>
    <w:p>
      <w:pPr>
        <w:pStyle w:val="ListBullet"/>
        <w:spacing w:after="60"/>
      </w:pPr>
      <w:r>
        <w:t>East 17+1 two-price group: identified as a data-entry error and confirmed not to be a real requirement — groups carry a single MRP.</w:t>
      </w:r>
    </w:p>
    <w:p>
      <w:pPr>
        <w:pStyle w:val="Heading1"/>
      </w:pPr>
      <w:r>
        <w:t>12. Glossary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6912"/>
            <w:shd w:val="clear" w:color="auto" w:fill="1F365D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Basic Scheme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 quantity-based “X+Y” scheme (buy X, get Y free).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BTL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Below-the-line marketing spend / scheme budget.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Channel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 sales channel (e.g. General Trade, Wholesale, Modern Trade).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DMS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Distribution Management System — manages distributor-to-retailer (secondary) operations.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FOC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Free of Cost — free goods given with a qualifying purchase.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GSV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Gross Sales Value — value before discount/GST adjustments; basis for value schemes.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GT1 / GT2 / Club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Secondary outlet categories under a distributor (General Trade tiers; Elite Club).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MRP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Maximum Retail Price.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MT / NSO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Modern Trade / New Store Opening (chain retail).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NSV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Net Sales Value — value after the relevant scheme/discount.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Plum scheme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 category/value-based scheme on plum (cake) SKUs, typically seasonal (Nov–Dec).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Primary scheme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Scheme at the company-to-distributor level (out of scope for this BRD).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QPS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Quantity Performance Scheme — slab-based rebate on qualifying quantity (e.g. per case).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Scheme class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Named order-value slab tier (Silver/Gold/Platinum/Diamond).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Scheme group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 named set of applicable SKU codes against which a scheme is defined.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Secondary scheme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Scheme operated at the retailer/outlet level (the subject of this BRD).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SF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The Salesforce-based order-taking application.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SKU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Stock Keeping Unit — a uniquely coded product/pack.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Super Stockist (SS)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An intermediary stockist in a multi-tier distribution market.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UPC</w:t>
            </w:r>
          </w:p>
        </w:tc>
        <w:tc>
          <w:tcPr>
            <w:tcW w:type="dxa" w:w="6912"/>
            <w:tcMar>
              <w:top w:w="60" w:type="dxa"/>
              <w:bottom w:w="60" w:type="dxa"/>
              <w:start w:w="90" w:type="dxa"/>
              <w:end w:w="90" w:type="dxa"/>
            </w:tcMar>
            <w:vAlign w:val="center"/>
            <w:shd w:val="clear" w:color="auto" w:fill="EAEFF7"/>
          </w:tcPr>
          <w:p>
            <w:pPr>
              <w:spacing w:after="20" w:before="20"/>
              <w:jc w:val="left"/>
            </w:pPr>
            <w:r>
              <w:rPr>
                <w:b w:val="0"/>
                <w:sz w:val="18"/>
              </w:rPr>
              <w:t>Units Per Case — number of each-units in one case.</w:t>
            </w:r>
          </w:p>
        </w:tc>
      </w:tr>
    </w:tbl>
    <w:p>
      <w:pPr>
        <w:spacing w:before="280"/>
        <w:jc w:val="center"/>
      </w:pPr>
      <w:r>
        <w:rPr>
          <w:b w:val="0"/>
          <w:i/>
          <w:color w:val="595959"/>
        </w:rPr>
        <w:t>— End of Document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Elite Foods — BRD: Secondary Schemes Management System  |  v1.0  |  Confidential  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B9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5B9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