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20 — Études de cas</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Duolingo : engagement complet</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Linear, Superhuman, Vanta</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Canva, Notion, Sentry</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Duolingo : engagement complet</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duolingo : engagement complet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Décomposer motivation, objectif, première victoire, streak et paywall</w:t>
      </w:r>
    </w:p>
    <w:p w:rsidR="00000000" w:rsidDel="00000000" w:rsidP="00000000" w:rsidRDefault="00000000" w:rsidRPr="00000000" w14:paraId="00000015">
      <w:pPr>
        <w:rPr/>
      </w:pPr>
      <w:r w:rsidDel="00000000" w:rsidR="00000000" w:rsidRPr="00000000">
        <w:rPr>
          <w:rtl w:val="0"/>
        </w:rPr>
        <w:t xml:space="preserve">Décomposer motivation, objectif, première victoire, streak et paywall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Copier la boucle, pas la mascotte.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Relier chaque écran à une métrique</w:t>
      </w:r>
    </w:p>
    <w:p w:rsidR="00000000" w:rsidDel="00000000" w:rsidP="00000000" w:rsidRDefault="00000000" w:rsidRPr="00000000" w14:paraId="0000001B">
      <w:pPr>
        <w:rPr/>
      </w:pPr>
      <w:r w:rsidDel="00000000" w:rsidR="00000000" w:rsidRPr="00000000">
        <w:rPr>
          <w:rtl w:val="0"/>
        </w:rPr>
        <w:t xml:space="preserve">Relier chaque écran à une métrique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Distinguer mécanisme et copie superficielle</w:t>
      </w:r>
    </w:p>
    <w:p w:rsidR="00000000" w:rsidDel="00000000" w:rsidP="00000000" w:rsidRDefault="00000000" w:rsidRPr="00000000" w14:paraId="0000001E">
      <w:pPr>
        <w:rPr/>
      </w:pPr>
      <w:r w:rsidDel="00000000" w:rsidR="00000000" w:rsidRPr="00000000">
        <w:rPr>
          <w:rtl w:val="0"/>
        </w:rPr>
        <w:t xml:space="preserve">Distinguer mécanisme et copie superficielle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L’objectif déclaré personnalise; la leçon active; le streak donne continuité.</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Duolingo : engagement complet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Duolingo : engagement complet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Duolingo : engagement complet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Linear, Superhuman, Vanta</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linear, superhuman, vanta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Comparer focus utilisateur, PMF mesuré et concierge MVP</w:t>
      </w:r>
    </w:p>
    <w:p w:rsidR="00000000" w:rsidDel="00000000" w:rsidP="00000000" w:rsidRDefault="00000000" w:rsidRPr="00000000" w14:paraId="00000061">
      <w:pPr>
        <w:rPr/>
      </w:pPr>
      <w:r w:rsidDel="00000000" w:rsidR="00000000" w:rsidRPr="00000000">
        <w:rPr>
          <w:rtl w:val="0"/>
        </w:rPr>
        <w:t xml:space="preserve">Comparer focus utilisateur, PMF mesuré et concierge MVP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Un cas sert à former une hypothèse, pas une règle universelle.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Extraire principes transférables</w:t>
      </w:r>
    </w:p>
    <w:p w:rsidR="00000000" w:rsidDel="00000000" w:rsidP="00000000" w:rsidRDefault="00000000" w:rsidRPr="00000000" w14:paraId="00000067">
      <w:pPr>
        <w:rPr/>
      </w:pPr>
      <w:r w:rsidDel="00000000" w:rsidR="00000000" w:rsidRPr="00000000">
        <w:rPr>
          <w:rtl w:val="0"/>
        </w:rPr>
        <w:t xml:space="preserve">Extraire principes transférables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Identifier limites de chaque cas</w:t>
      </w:r>
    </w:p>
    <w:p w:rsidR="00000000" w:rsidDel="00000000" w:rsidP="00000000" w:rsidRDefault="00000000" w:rsidRPr="00000000" w14:paraId="0000006A">
      <w:pPr>
        <w:rPr/>
      </w:pPr>
      <w:r w:rsidDel="00000000" w:rsidR="00000000" w:rsidRPr="00000000">
        <w:rPr>
          <w:rtl w:val="0"/>
        </w:rPr>
        <w:t xml:space="preserve">Identifier limites de chaque cas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Linear réduit le périmètre; Superhuman mesure l’attachement; Vanta apprend manuellement.</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Linear, Superhuman, Vanta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Linear, Superhuman, Vanta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Linear, Superhuman, Vanta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Canva, Notion, Sentry</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canva, notion, sentry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Analyser templates, collaboration, freemium et expansion</w:t>
      </w:r>
    </w:p>
    <w:p w:rsidR="00000000" w:rsidDel="00000000" w:rsidP="00000000" w:rsidRDefault="00000000" w:rsidRPr="00000000" w14:paraId="000000AD">
      <w:pPr>
        <w:rPr/>
      </w:pPr>
      <w:r w:rsidDel="00000000" w:rsidR="00000000" w:rsidRPr="00000000">
        <w:rPr>
          <w:rtl w:val="0"/>
        </w:rPr>
        <w:t xml:space="preserve">Analyser templates, collaboration, freemium et expansion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Le gratuit doit conduire naturellement à plus de valeur.</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Cartographier leurs boucles</w:t>
      </w:r>
    </w:p>
    <w:p w:rsidR="00000000" w:rsidDel="00000000" w:rsidP="00000000" w:rsidRDefault="00000000" w:rsidRPr="00000000" w14:paraId="000000B3">
      <w:pPr>
        <w:rPr/>
      </w:pPr>
      <w:r w:rsidDel="00000000" w:rsidR="00000000" w:rsidRPr="00000000">
        <w:rPr>
          <w:rtl w:val="0"/>
        </w:rPr>
        <w:t xml:space="preserve">Cartographier leurs boucles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Adapter aux trois modèles</w:t>
      </w:r>
    </w:p>
    <w:p w:rsidR="00000000" w:rsidDel="00000000" w:rsidP="00000000" w:rsidRDefault="00000000" w:rsidRPr="00000000" w14:paraId="000000B6">
      <w:pPr>
        <w:rPr/>
      </w:pPr>
      <w:r w:rsidDel="00000000" w:rsidR="00000000" w:rsidRPr="00000000">
        <w:rPr>
          <w:rtl w:val="0"/>
        </w:rPr>
        <w:t xml:space="preserve">Adapter aux trois modèles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template réduit time-to-value et crée une sortie partageable.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Canva, Notion, Sentry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Canva, Notion, Sentry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Canva, Notion, Sentry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Études de cas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