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324a"/>
          <w:sz w:val="52"/>
          <w:szCs w:val="52"/>
          <w:rtl w:val="0"/>
        </w:rPr>
        <w:t xml:space="preserve">Playbook SaaS &amp;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Arial" w:cs="Arial" w:eastAsia="Arial" w:hAnsi="Arial"/>
          <w:color w:val="66727e"/>
          <w:sz w:val="24"/>
          <w:szCs w:val="24"/>
          <w:rtl w:val="0"/>
        </w:rPr>
        <w:t xml:space="preserve">Document maître • Formation modulaire pour créer, lancer et faire croître des produits numériques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6ef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ÉDITION 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 système de connaissances vivant : tronc commun, trois branches (SaaS, app par abonnement, jeu mobile), marchés USA et France, décisions fondées sur les cohortes.</w:t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Comment utiliser la 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Commencez par les catégories 01 à 03. Puis choisissez les modules produit adaptés, avant d’aborder monétisation, acquisition, rétention et analytics. Finance, équipe et scaling ne sont pas des sujets de fin : leurs bases doivent exister dès que le produit encaisse ou traite des données réelles.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Sommaire général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01 — Fondations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Penser en système, pas en idée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Choisir le bon modèle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Doctrine de décision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02 — Trouver une idée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Cartographier les opportunités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ICP, JTBD et douleur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Marché et positionnement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03 — Validation et Product-Market Fit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Validation sans surconstruire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Activation et aha moment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Mesurer le PMF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04 — UX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Architecture de l’expérience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Onboarding à six leviers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Recherche et tests UX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05 — UI Design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Hiérarchie visuelle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Design system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Premium sans artifice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06 — Branding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Stratégie de marque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Nom, voix et identité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Brand-to-growth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07 — Product Design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Flows et architecture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Priorisation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Spécification testable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08 — Développement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Architecture MVP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Qualité et livraison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Sécurité et fiabilité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09 — 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Choisir le bon usage IA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Construire un système fiable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Économie et conformité IA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10 — Applications mobiles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Architecture produit mobile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Stores et release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Engagement natif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11 — Abonnements et pricing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Architecture de valeur et prix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Construire un bon paywall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Psychologie gratuit → payant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12 — Acquisition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Système de canaux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Usine créative et UGC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Distribution USA et France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13 — Rétention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Boucle de valeur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Cohortes et churn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CRM et réactivation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14 — Analytics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Plan de mesure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Funnels et cohortes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Expérimentation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15 — Croissance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North Star et système de croissance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Loops et viralité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Scale discipliné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16 — Équipe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Équipe initiale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Système d’exécution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Culture et management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17 — Finance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Unit economics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Pilotage SaaS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Budget et trésorerie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18 — Scaling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Scale technique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Scale opérationnel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Internationalisation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19 — Exit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Construire un actif transférable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Valorisation et acquéreurs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Processus et due diligence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20 — Études de cas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Duolingo : engagement complet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Linear, Superhuman, Vanta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Canva, Notion, Sentry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21 — Bibliothèque opérateur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Frameworks de décision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Checklists et SOP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Templates prêts à remplir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KPI et calculatrices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Prompts IA et outils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Glossaire et inspirations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La doctrine du playbook</w:t>
      </w:r>
    </w:p>
    <w:tbl>
      <w:tblPr>
        <w:tblStyle w:val="Table2"/>
        <w:tblW w:w="9720.0" w:type="dxa"/>
        <w:jc w:val="left"/>
        <w:tblInd w:w="-11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eaf4fa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7d7e"/>
                <w:sz w:val="18"/>
                <w:szCs w:val="18"/>
                <w:rtl w:val="0"/>
              </w:rPr>
              <w:t xml:space="preserve">CHAÎNE DE VALEUR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Tendance validée → problème réel → promesse claire → MVP instrumenté → activation rapide → monétisation testée → rétention prouvée → distribution reproductible → unit economics positifs → scale progressif.</w:t>
            </w:r>
          </w:p>
        </w:tc>
      </w:tr>
    </w:tbl>
    <w:p w:rsidR="00000000" w:rsidDel="00000000" w:rsidP="00000000" w:rsidRDefault="00000000" w:rsidRPr="00000000" w14:paraId="0000006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Les trois branches</w:t>
      </w:r>
    </w:p>
    <w:tbl>
      <w:tblPr>
        <w:tblStyle w:val="Table3"/>
        <w:tblW w:w="9876.0" w:type="dxa"/>
        <w:jc w:val="left"/>
        <w:tblInd w:w="-115.0" w:type="dxa"/>
        <w:tblLayout w:type="fixed"/>
        <w:tblLook w:val="0400"/>
      </w:tblPr>
      <w:tblGrid>
        <w:gridCol w:w="2469"/>
        <w:gridCol w:w="2469"/>
        <w:gridCol w:w="2469"/>
        <w:gridCol w:w="2469"/>
        <w:tblGridChange w:id="0">
          <w:tblGrid>
            <w:gridCol w:w="2469"/>
            <w:gridCol w:w="2469"/>
            <w:gridCol w:w="2469"/>
            <w:gridCol w:w="2469"/>
          </w:tblGrid>
        </w:tblGridChange>
      </w:tblGrid>
      <w:tr>
        <w:trPr>
          <w:cantSplit w:val="0"/>
          <w:tblHeader w:val="0"/>
        </w:trPr>
        <w:tc>
          <w:tcPr>
            <w:shd w:fill="18324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App abonnement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24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Jeu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Valeur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Workflow / ROI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Résultat récurrent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Fun / progression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Workflow réussi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Premier bénéfice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Tutoriel + boucle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Revenu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MRR / expansion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Trial / renewal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IAP / ads / pass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Rétention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Logo + revenu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Cohortes D/M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D1/D7/D30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Distribution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Sales / PLG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Stores / social</w:t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Stores / créatives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Gouvernance des connaissances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Dater chaque benchmark et conserver son lien source.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Marquer : principe établi, tendance observée ou hypothèse.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Archiver les résultats négatifs autant que les gagnants.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Réviser trimestriellement plateformes, stores, IA, pricing et conformité.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Ne jamais transformer une tactique de fondateur en loi universelle.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Plan de mise en pratique — 12 semaines</w:t>
      </w:r>
    </w:p>
    <w:tbl>
      <w:tblPr>
        <w:tblStyle w:val="Table4"/>
        <w:tblW w:w="9878.0" w:type="dxa"/>
        <w:jc w:val="left"/>
        <w:tblInd w:w="-115.0" w:type="dxa"/>
        <w:tblLayout w:type="fixed"/>
        <w:tblLook w:val="0400"/>
      </w:tblPr>
      <w:tblGrid>
        <w:gridCol w:w="4939"/>
        <w:gridCol w:w="4939"/>
        <w:tblGridChange w:id="0">
          <w:tblGrid>
            <w:gridCol w:w="4939"/>
            <w:gridCol w:w="4939"/>
          </w:tblGrid>
        </w:tblGridChange>
      </w:tblGrid>
      <w:tr>
        <w:trPr>
          <w:cantSplit w:val="0"/>
          <w:tblHeader w:val="0"/>
        </w:trPr>
        <w:tc>
          <w:tcPr>
            <w:shd w:fill="147d7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7d7e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Fondations, idée, entretiens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Validation, prototype, activation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5–6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Product design, développement, instrumentation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Onboarding et paywall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Pricing et première monétisation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Usine créative et acquisition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Rétention et CRM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Unit economics et scale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Revue PMF et roadmap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Règles éthiques et opérationnelles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Prix, trial, renouvellement, rareté et probabilités restent explicites.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Aucun faux témoignage, faux compteur ou identité trompeuse.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Les numéros et accès critiques restent stables et récupérables.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Les données personnelles sont minimisées, protégées et supprimables.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La rétention ne justifie pas des mécaniques compulsives ou opaques.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Documents de la collection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01_Fondations.docx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02_Trouver_une_idee.docx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03_Validation_et_Product_Market_Fit.docx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04_UX.docx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05_UI_Design.docx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06_Branding.docx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07_Product_Design.docx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08_Developpement.docx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09_IA.docx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10_Applications_mobiles.docx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11_Abonnements_et_pricing.docx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12_Acquisition.docx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13_Retention.docx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14_Analytics.docx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15_Croissance.docx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16_Equipe.docx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17_Finance.docx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18_Scaling.docx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19_Exit.docx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20_Etudes_de_cas.docx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2733"/>
          <w:sz w:val="21"/>
          <w:szCs w:val="21"/>
          <w:u w:val="none"/>
          <w:shd w:fill="auto" w:val="clear"/>
          <w:vertAlign w:val="baseline"/>
          <w:rtl w:val="0"/>
        </w:rPr>
        <w:t xml:space="preserve">21_Bibliotheque_operateur.docx</w:t>
      </w:r>
    </w:p>
    <w:sectPr>
      <w:footerReference r:id="rId6" w:type="default"/>
      <w:pgSz w:h="15840" w:w="12240" w:orient="portrait"/>
      <w:pgMar w:bottom="1123" w:top="1123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d27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727e"/>
        <w:sz w:val="16"/>
        <w:szCs w:val="16"/>
        <w:u w:val="none"/>
        <w:shd w:fill="auto" w:val="clear"/>
        <w:vertAlign w:val="baseline"/>
        <w:rtl w:val="0"/>
      </w:rPr>
      <w:t xml:space="preserve">Document maître  •  Édition 1.0  •  Août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d2733"/>
        <w:sz w:val="21"/>
        <w:szCs w:val="21"/>
        <w:lang w:val="en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60" w:lineRule="auto"/>
    </w:pPr>
    <w:rPr>
      <w:rFonts w:ascii="Arial" w:cs="Arial" w:eastAsia="Arial" w:hAnsi="Arial"/>
      <w:b w:val="1"/>
      <w:bCs w:val="1"/>
      <w:color w:val="18324a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80" w:lineRule="auto"/>
    </w:pPr>
    <w:rPr>
      <w:rFonts w:ascii="Arial" w:cs="Arial" w:eastAsia="Arial" w:hAnsi="Arial"/>
      <w:b w:val="1"/>
      <w:bCs w:val="1"/>
      <w:color w:val="147d7e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00" w:lineRule="auto"/>
    </w:pPr>
    <w:rPr>
      <w:rFonts w:ascii="Arial" w:cs="Arial" w:eastAsia="Arial" w:hAnsi="Arial"/>
      <w:b w:val="1"/>
      <w:bCs w:val="1"/>
      <w:color w:val="18324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