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al" w:cs="Arial" w:eastAsia="Arial" w:hAnsi="Arial"/>
          <w:b w:val="1"/>
          <w:bCs w:val="1"/>
          <w:color w:val="18324a"/>
          <w:sz w:val="52"/>
          <w:szCs w:val="52"/>
          <w:rtl w:val="0"/>
        </w:rPr>
        <w:t xml:space="preserve">13 — Rétention</w:t>
      </w:r>
      <w:r w:rsidDel="00000000" w:rsidR="00000000" w:rsidRPr="00000000">
        <w:rPr>
          <w:rtl w:val="0"/>
        </w:rPr>
      </w:r>
    </w:p>
    <w:p w:rsidR="00000000" w:rsidDel="00000000" w:rsidP="00000000" w:rsidRDefault="00000000" w:rsidRPr="00000000" w14:paraId="00000002">
      <w:pPr>
        <w:spacing w:after="360" w:lineRule="auto"/>
        <w:rPr/>
      </w:pPr>
      <w:r w:rsidDel="00000000" w:rsidR="00000000" w:rsidRPr="00000000">
        <w:rPr>
          <w:rFonts w:ascii="Arial" w:cs="Arial" w:eastAsia="Arial" w:hAnsi="Arial"/>
          <w:color w:val="66727e"/>
          <w:sz w:val="24"/>
          <w:szCs w:val="24"/>
          <w:rtl w:val="0"/>
        </w:rPr>
        <w:t xml:space="preserve">Formation opérateur • SaaS, applications mobiles et jeux • Marchés USA &amp; France</w:t>
      </w:r>
      <w:r w:rsidDel="00000000" w:rsidR="00000000" w:rsidRPr="00000000">
        <w:rPr>
          <w:rtl w:val="0"/>
        </w:rPr>
      </w:r>
    </w:p>
    <w:tbl>
      <w:tblPr>
        <w:tblStyle w:val="Table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3">
            <w:pPr>
              <w:spacing w:after="40" w:lineRule="auto"/>
              <w:rPr/>
            </w:pPr>
            <w:r w:rsidDel="00000000" w:rsidR="00000000" w:rsidRPr="00000000">
              <w:rPr>
                <w:rFonts w:ascii="Arial" w:cs="Arial" w:eastAsia="Arial" w:hAnsi="Arial"/>
                <w:b w:val="1"/>
                <w:bCs w:val="1"/>
                <w:color w:val="147d7e"/>
                <w:sz w:val="18"/>
                <w:szCs w:val="18"/>
                <w:rtl w:val="0"/>
              </w:rPr>
              <w:t xml:space="preserve">MODE D’EMPLOI</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t xml:space="preserve">Lisez un module, réalisez son exercice sur un projet réel, puis consignez la décision. Les benchmarks orientent; vos cohortes décident.</w:t>
            </w:r>
          </w:p>
        </w:tc>
      </w:tr>
    </w:tbl>
    <w:p w:rsidR="00000000" w:rsidDel="00000000" w:rsidP="00000000" w:rsidRDefault="00000000" w:rsidRPr="00000000" w14:paraId="00000005">
      <w:pPr>
        <w:spacing w:after="2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Parcours de la catégorie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1. Boucle de valeur</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2. Cohortes et churn</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3. CRM et réactivation</w:t>
      </w:r>
    </w:p>
    <w:p w:rsidR="00000000" w:rsidDel="00000000" w:rsidP="00000000" w:rsidRDefault="00000000" w:rsidRPr="00000000" w14:paraId="0000000A">
      <w:pPr>
        <w:pStyle w:val="Heading1"/>
        <w:rPr/>
      </w:pPr>
      <w:r w:rsidDel="00000000" w:rsidR="00000000" w:rsidRPr="00000000">
        <w:rPr>
          <w:rtl w:val="0"/>
        </w:rPr>
        <w:t xml:space="preserve">Standard de preuve</w:t>
      </w:r>
    </w:p>
    <w:p w:rsidR="00000000" w:rsidDel="00000000" w:rsidP="00000000" w:rsidRDefault="00000000" w:rsidRPr="00000000" w14:paraId="0000000B">
      <w:pPr>
        <w:rPr/>
      </w:pPr>
      <w:r w:rsidDel="00000000" w:rsidR="00000000" w:rsidRPr="00000000">
        <w:rPr>
          <w:rtl w:val="0"/>
        </w:rPr>
        <w:t xml:space="preserve">Chaque recommandation est à traiter comme principe établi, tendance observée ou hypothèse à tester. Les règles légales, stores et plateformes doivent être revérifiées au moment d’agir. Les chiffres sans source, date, pays, catégorie et fenêtre ne deviennent jamais des objectifs automatiques.</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Module 1 — Boucle de valeur</w:t>
      </w:r>
    </w:p>
    <w:tbl>
      <w:tblPr>
        <w:tblStyle w:val="Table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E">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t xml:space="preserve">À la fin de ce module, vous saurez appliquer boucle de valeur à un SaaS, une application mobile par abonnement ou un jeu mobile, puis décider à partir de preuves.</w:t>
            </w:r>
          </w:p>
        </w:tc>
      </w:tr>
    </w:tbl>
    <w:p w:rsidR="00000000" w:rsidDel="00000000" w:rsidP="00000000" w:rsidRDefault="00000000" w:rsidRPr="00000000" w14:paraId="00000010">
      <w:pPr>
        <w:spacing w:after="20" w:lineRule="auto"/>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Pourquoi ce module est important</w:t>
      </w:r>
    </w:p>
    <w:p w:rsidR="00000000" w:rsidDel="00000000" w:rsidP="00000000" w:rsidRDefault="00000000" w:rsidRPr="00000000" w14:paraId="00000012">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13">
      <w:pPr>
        <w:pStyle w:val="Heading2"/>
        <w:rPr/>
      </w:pPr>
      <w:r w:rsidDel="00000000" w:rsidR="00000000" w:rsidRPr="00000000">
        <w:rPr>
          <w:rtl w:val="0"/>
        </w:rPr>
        <w:t xml:space="preserve">Le cours</w:t>
      </w:r>
    </w:p>
    <w:p w:rsidR="00000000" w:rsidDel="00000000" w:rsidP="00000000" w:rsidRDefault="00000000" w:rsidRPr="00000000" w14:paraId="00000014">
      <w:pPr>
        <w:pStyle w:val="Heading3"/>
        <w:rPr/>
      </w:pPr>
      <w:r w:rsidDel="00000000" w:rsidR="00000000" w:rsidRPr="00000000">
        <w:rPr>
          <w:rtl w:val="0"/>
        </w:rPr>
        <w:t xml:space="preserve">1. Définir trigger, action, résultat et investissement</w:t>
      </w:r>
    </w:p>
    <w:p w:rsidR="00000000" w:rsidDel="00000000" w:rsidP="00000000" w:rsidRDefault="00000000" w:rsidRPr="00000000" w14:paraId="00000015">
      <w:pPr>
        <w:rPr/>
      </w:pPr>
      <w:r w:rsidDel="00000000" w:rsidR="00000000" w:rsidRPr="00000000">
        <w:rPr>
          <w:rtl w:val="0"/>
        </w:rPr>
        <w:t xml:space="preserve">Définir trigger, action, résultat et investissement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6">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17">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t xml:space="preserve">La rétention vient d’une valeur répétée.</w:t>
            </w:r>
          </w:p>
        </w:tc>
      </w:tr>
    </w:tbl>
    <w:p w:rsidR="00000000" w:rsidDel="00000000" w:rsidP="00000000" w:rsidRDefault="00000000" w:rsidRPr="00000000" w14:paraId="00000019">
      <w:pPr>
        <w:spacing w:after="20" w:lineRule="auto"/>
        <w:rPr/>
      </w:pP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tl w:val="0"/>
        </w:rPr>
        <w:t xml:space="preserve">2. Aligner fréquence sur besoin naturel</w:t>
      </w:r>
    </w:p>
    <w:p w:rsidR="00000000" w:rsidDel="00000000" w:rsidP="00000000" w:rsidRDefault="00000000" w:rsidRPr="00000000" w14:paraId="0000001B">
      <w:pPr>
        <w:rPr/>
      </w:pPr>
      <w:r w:rsidDel="00000000" w:rsidR="00000000" w:rsidRPr="00000000">
        <w:rPr>
          <w:rtl w:val="0"/>
        </w:rPr>
        <w:t xml:space="preserve">Aligner fréquence sur besoin naturel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C">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1D">
      <w:pPr>
        <w:pStyle w:val="Heading3"/>
        <w:rPr/>
      </w:pPr>
      <w:r w:rsidDel="00000000" w:rsidR="00000000" w:rsidRPr="00000000">
        <w:rPr>
          <w:rtl w:val="0"/>
        </w:rPr>
        <w:t xml:space="preserve">3. Créer une raison claire de revenir</w:t>
      </w:r>
    </w:p>
    <w:p w:rsidR="00000000" w:rsidDel="00000000" w:rsidP="00000000" w:rsidRDefault="00000000" w:rsidRPr="00000000" w14:paraId="0000001E">
      <w:pPr>
        <w:rPr/>
      </w:pPr>
      <w:r w:rsidDel="00000000" w:rsidR="00000000" w:rsidRPr="00000000">
        <w:rPr>
          <w:rtl w:val="0"/>
        </w:rPr>
        <w:t xml:space="preserve">Créer une raison claire de revenir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F">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20">
      <w:pPr>
        <w:pStyle w:val="Heading2"/>
        <w:rPr/>
      </w:pPr>
      <w:r w:rsidDel="00000000" w:rsidR="00000000" w:rsidRPr="00000000">
        <w:rPr>
          <w:rtl w:val="0"/>
        </w:rPr>
        <w:t xml:space="preserve">Méthode opérationnelle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28">
      <w:pPr>
        <w:pStyle w:val="Heading2"/>
        <w:rPr/>
      </w:pPr>
      <w:r w:rsidDel="00000000" w:rsidR="00000000" w:rsidRPr="00000000">
        <w:rPr>
          <w:rtl w:val="0"/>
        </w:rPr>
        <w:t xml:space="preserve">Tableau de décision</w:t>
      </w:r>
    </w:p>
    <w:tbl>
      <w:tblPr>
        <w:tblStyle w:val="Table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D">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2E">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2F">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30">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31">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32">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33">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34">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35">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36">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37">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38">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39">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3A">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3B">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3C">
            <w:pPr>
              <w:rPr/>
            </w:pPr>
            <w:r w:rsidDel="00000000" w:rsidR="00000000" w:rsidRPr="00000000">
              <w:rPr>
                <w:rtl w:val="0"/>
              </w:rPr>
              <w:t xml:space="preserve">Renforcer la boucle</w:t>
            </w:r>
          </w:p>
        </w:tc>
      </w:tr>
    </w:tbl>
    <w:p w:rsidR="00000000" w:rsidDel="00000000" w:rsidP="00000000" w:rsidRDefault="00000000" w:rsidRPr="00000000" w14:paraId="0000003D">
      <w:pPr>
        <w:pStyle w:val="Heading2"/>
        <w:rPr/>
      </w:pPr>
      <w:r w:rsidDel="00000000" w:rsidR="00000000" w:rsidRPr="00000000">
        <w:rPr>
          <w:rtl w:val="0"/>
        </w:rPr>
        <w:t xml:space="preserve">Exemple concret</w:t>
      </w:r>
    </w:p>
    <w:p w:rsidR="00000000" w:rsidDel="00000000" w:rsidP="00000000" w:rsidRDefault="00000000" w:rsidRPr="00000000" w14:paraId="0000003E">
      <w:pPr>
        <w:rPr/>
      </w:pPr>
      <w:r w:rsidDel="00000000" w:rsidR="00000000" w:rsidRPr="00000000">
        <w:rPr>
          <w:rtl w:val="0"/>
        </w:rPr>
        <w:t xml:space="preserve">Une enquête commencée, un indice nouveau et une notification contextuelle forment une boucle.</w:t>
      </w:r>
    </w:p>
    <w:p w:rsidR="00000000" w:rsidDel="00000000" w:rsidP="00000000" w:rsidRDefault="00000000" w:rsidRPr="00000000" w14:paraId="0000003F">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40">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42">
      <w:pPr>
        <w:spacing w:after="20" w:lineRule="auto"/>
        <w:rPr/>
      </w:pPr>
      <w:r w:rsidDel="00000000" w:rsidR="00000000" w:rsidRPr="00000000">
        <w:rPr>
          <w:rtl w:val="0"/>
        </w:rPr>
      </w:r>
    </w:p>
    <w:tbl>
      <w:tblPr>
        <w:tblStyle w:val="Table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43">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45">
      <w:pPr>
        <w:spacing w:after="20" w:lineRule="auto"/>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Checklist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Boucle de valeur » est écrit en langage utilisateur.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4D">
      <w:pPr>
        <w:pStyle w:val="Heading2"/>
        <w:rPr/>
      </w:pPr>
      <w:r w:rsidDel="00000000" w:rsidR="00000000" w:rsidRPr="00000000">
        <w:rPr>
          <w:rtl w:val="0"/>
        </w:rPr>
        <w:t xml:space="preserve">Exercice pratique</w:t>
      </w:r>
    </w:p>
    <w:p w:rsidR="00000000" w:rsidDel="00000000" w:rsidP="00000000" w:rsidRDefault="00000000" w:rsidRPr="00000000" w14:paraId="0000004E">
      <w:pPr>
        <w:rPr/>
      </w:pPr>
      <w:r w:rsidDel="00000000" w:rsidR="00000000" w:rsidRPr="00000000">
        <w:rPr>
          <w:rtl w:val="0"/>
        </w:rPr>
        <w:t xml:space="preserve">Choisissez un projet réel. Écrivez une page intitulée « Boucle de valeur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4F">
      <w:pPr>
        <w:pStyle w:val="Heading2"/>
        <w:rPr/>
      </w:pPr>
      <w:r w:rsidDel="00000000" w:rsidR="00000000" w:rsidRPr="00000000">
        <w:rPr>
          <w:rtl w:val="0"/>
        </w:rPr>
        <w:t xml:space="preserve">Résumé</w:t>
      </w:r>
    </w:p>
    <w:p w:rsidR="00000000" w:rsidDel="00000000" w:rsidP="00000000" w:rsidRDefault="00000000" w:rsidRPr="00000000" w14:paraId="00000050">
      <w:pPr>
        <w:rPr/>
      </w:pPr>
      <w:r w:rsidDel="00000000" w:rsidR="00000000" w:rsidRPr="00000000">
        <w:rPr>
          <w:rtl w:val="0"/>
        </w:rPr>
        <w:t xml:space="preserve">Boucle de valeur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51">
      <w:pPr>
        <w:pStyle w:val="Heading2"/>
        <w:rPr/>
      </w:pPr>
      <w:r w:rsidDel="00000000" w:rsidR="00000000" w:rsidRPr="00000000">
        <w:rPr>
          <w:rtl w:val="0"/>
        </w:rPr>
        <w:t xml:space="preserve">Action suivante</w:t>
      </w:r>
    </w:p>
    <w:p w:rsidR="00000000" w:rsidDel="00000000" w:rsidP="00000000" w:rsidRDefault="00000000" w:rsidRPr="00000000" w14:paraId="00000052">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53">
      <w:pPr>
        <w:pStyle w:val="Heading2"/>
        <w:rPr/>
      </w:pPr>
      <w:r w:rsidDel="00000000" w:rsidR="00000000" w:rsidRPr="00000000">
        <w:rPr>
          <w:rtl w:val="0"/>
        </w:rPr>
        <w:t xml:space="preserve">Ressources de travail</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Module 2 — Cohortes et churn</w:t>
      </w:r>
    </w:p>
    <w:tbl>
      <w:tblPr>
        <w:tblStyle w:val="Table7"/>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5A">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tl w:val="0"/>
              </w:rPr>
              <w:t xml:space="preserve">À la fin de ce module, vous saurez appliquer cohortes et churn à un SaaS, une application mobile par abonnement ou un jeu mobile, puis décider à partir de preuves.</w:t>
            </w:r>
          </w:p>
        </w:tc>
      </w:tr>
    </w:tbl>
    <w:p w:rsidR="00000000" w:rsidDel="00000000" w:rsidP="00000000" w:rsidRDefault="00000000" w:rsidRPr="00000000" w14:paraId="0000005C">
      <w:pPr>
        <w:spacing w:after="20" w:lineRule="auto"/>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Pourquoi ce module est important</w:t>
      </w:r>
    </w:p>
    <w:p w:rsidR="00000000" w:rsidDel="00000000" w:rsidP="00000000" w:rsidRDefault="00000000" w:rsidRPr="00000000" w14:paraId="0000005E">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5F">
      <w:pPr>
        <w:pStyle w:val="Heading2"/>
        <w:rPr/>
      </w:pPr>
      <w:r w:rsidDel="00000000" w:rsidR="00000000" w:rsidRPr="00000000">
        <w:rPr>
          <w:rtl w:val="0"/>
        </w:rPr>
        <w:t xml:space="preserve">Le cours</w:t>
      </w:r>
    </w:p>
    <w:p w:rsidR="00000000" w:rsidDel="00000000" w:rsidP="00000000" w:rsidRDefault="00000000" w:rsidRPr="00000000" w14:paraId="00000060">
      <w:pPr>
        <w:pStyle w:val="Heading3"/>
        <w:rPr/>
      </w:pPr>
      <w:r w:rsidDel="00000000" w:rsidR="00000000" w:rsidRPr="00000000">
        <w:rPr>
          <w:rtl w:val="0"/>
        </w:rPr>
        <w:t xml:space="preserve">1. Mesurer rétention logo, revenu et comportement</w:t>
      </w:r>
    </w:p>
    <w:p w:rsidR="00000000" w:rsidDel="00000000" w:rsidP="00000000" w:rsidRDefault="00000000" w:rsidRPr="00000000" w14:paraId="00000061">
      <w:pPr>
        <w:rPr/>
      </w:pPr>
      <w:r w:rsidDel="00000000" w:rsidR="00000000" w:rsidRPr="00000000">
        <w:rPr>
          <w:rtl w:val="0"/>
        </w:rPr>
        <w:t xml:space="preserve">Mesurer rétention logo, revenu et comportement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2">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8"/>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63">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t xml:space="preserve">Les moyennes cachent les cohortes.</w:t>
            </w:r>
          </w:p>
        </w:tc>
      </w:tr>
    </w:tbl>
    <w:p w:rsidR="00000000" w:rsidDel="00000000" w:rsidP="00000000" w:rsidRDefault="00000000" w:rsidRPr="00000000" w14:paraId="00000065">
      <w:pPr>
        <w:spacing w:after="20" w:lineRule="auto"/>
        <w:rPr/>
      </w:pPr>
      <w:r w:rsidDel="00000000" w:rsidR="00000000" w:rsidRPr="00000000">
        <w:rPr>
          <w:rtl w:val="0"/>
        </w:rPr>
      </w:r>
    </w:p>
    <w:p w:rsidR="00000000" w:rsidDel="00000000" w:rsidP="00000000" w:rsidRDefault="00000000" w:rsidRPr="00000000" w14:paraId="00000066">
      <w:pPr>
        <w:pStyle w:val="Heading3"/>
        <w:rPr/>
      </w:pPr>
      <w:r w:rsidDel="00000000" w:rsidR="00000000" w:rsidRPr="00000000">
        <w:rPr>
          <w:rtl w:val="0"/>
        </w:rPr>
        <w:t xml:space="preserve">2. Séparer churn volontaire et involontaire</w:t>
      </w:r>
    </w:p>
    <w:p w:rsidR="00000000" w:rsidDel="00000000" w:rsidP="00000000" w:rsidRDefault="00000000" w:rsidRPr="00000000" w14:paraId="00000067">
      <w:pPr>
        <w:rPr/>
      </w:pPr>
      <w:r w:rsidDel="00000000" w:rsidR="00000000" w:rsidRPr="00000000">
        <w:rPr>
          <w:rtl w:val="0"/>
        </w:rPr>
        <w:t xml:space="preserve">Séparer churn volontaire et involontaire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8">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9">
      <w:pPr>
        <w:pStyle w:val="Heading3"/>
        <w:rPr/>
      </w:pPr>
      <w:r w:rsidDel="00000000" w:rsidR="00000000" w:rsidRPr="00000000">
        <w:rPr>
          <w:rtl w:val="0"/>
        </w:rPr>
        <w:t xml:space="preserve">3. Interroger au moment du départ</w:t>
      </w:r>
    </w:p>
    <w:p w:rsidR="00000000" w:rsidDel="00000000" w:rsidP="00000000" w:rsidRDefault="00000000" w:rsidRPr="00000000" w14:paraId="0000006A">
      <w:pPr>
        <w:rPr/>
      </w:pPr>
      <w:r w:rsidDel="00000000" w:rsidR="00000000" w:rsidRPr="00000000">
        <w:rPr>
          <w:rtl w:val="0"/>
        </w:rPr>
        <w:t xml:space="preserve">Interroger au moment du départ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B">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C">
      <w:pPr>
        <w:pStyle w:val="Heading2"/>
        <w:rPr/>
      </w:pPr>
      <w:r w:rsidDel="00000000" w:rsidR="00000000" w:rsidRPr="00000000">
        <w:rPr>
          <w:rtl w:val="0"/>
        </w:rPr>
        <w:t xml:space="preserve">Méthode opérationnelle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74">
      <w:pPr>
        <w:pStyle w:val="Heading2"/>
        <w:rPr/>
      </w:pPr>
      <w:r w:rsidDel="00000000" w:rsidR="00000000" w:rsidRPr="00000000">
        <w:rPr>
          <w:rtl w:val="0"/>
        </w:rPr>
        <w:t xml:space="preserve">Tableau de décision</w:t>
      </w:r>
    </w:p>
    <w:tbl>
      <w:tblPr>
        <w:tblStyle w:val="Table9"/>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9">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7A">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7B">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7C">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7D">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7E">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7F">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80">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81">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82">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83">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84">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85">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86">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87">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88">
            <w:pPr>
              <w:rPr/>
            </w:pPr>
            <w:r w:rsidDel="00000000" w:rsidR="00000000" w:rsidRPr="00000000">
              <w:rPr>
                <w:rtl w:val="0"/>
              </w:rPr>
              <w:t xml:space="preserve">Renforcer la boucle</w:t>
            </w:r>
          </w:p>
        </w:tc>
      </w:tr>
    </w:tbl>
    <w:p w:rsidR="00000000" w:rsidDel="00000000" w:rsidP="00000000" w:rsidRDefault="00000000" w:rsidRPr="00000000" w14:paraId="00000089">
      <w:pPr>
        <w:pStyle w:val="Heading2"/>
        <w:rPr/>
      </w:pPr>
      <w:r w:rsidDel="00000000" w:rsidR="00000000" w:rsidRPr="00000000">
        <w:rPr>
          <w:rtl w:val="0"/>
        </w:rPr>
        <w:t xml:space="preserve">Exemple concret</w:t>
      </w:r>
    </w:p>
    <w:p w:rsidR="00000000" w:rsidDel="00000000" w:rsidP="00000000" w:rsidRDefault="00000000" w:rsidRPr="00000000" w14:paraId="0000008A">
      <w:pPr>
        <w:rPr/>
      </w:pPr>
      <w:r w:rsidDel="00000000" w:rsidR="00000000" w:rsidRPr="00000000">
        <w:rPr>
          <w:rtl w:val="0"/>
        </w:rPr>
        <w:t xml:space="preserve">Une courbe par canal révèle qu’un CPI bon marché attire une cohorte faible.</w:t>
      </w:r>
    </w:p>
    <w:p w:rsidR="00000000" w:rsidDel="00000000" w:rsidP="00000000" w:rsidRDefault="00000000" w:rsidRPr="00000000" w14:paraId="0000008B">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0"/>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8C">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8E">
      <w:pPr>
        <w:spacing w:after="20" w:lineRule="auto"/>
        <w:rPr/>
      </w:pPr>
      <w:r w:rsidDel="00000000" w:rsidR="00000000" w:rsidRPr="00000000">
        <w:rPr>
          <w:rtl w:val="0"/>
        </w:rPr>
      </w:r>
    </w:p>
    <w:tbl>
      <w:tblPr>
        <w:tblStyle w:val="Table1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8F">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91">
      <w:pPr>
        <w:spacing w:after="20" w:lineRule="auto"/>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Checklist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Cohortes et churn » est écrit en langage utilisateur.</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99">
      <w:pPr>
        <w:pStyle w:val="Heading2"/>
        <w:rPr/>
      </w:pPr>
      <w:r w:rsidDel="00000000" w:rsidR="00000000" w:rsidRPr="00000000">
        <w:rPr>
          <w:rtl w:val="0"/>
        </w:rPr>
        <w:t xml:space="preserve">Exercice pratique</w:t>
      </w:r>
    </w:p>
    <w:p w:rsidR="00000000" w:rsidDel="00000000" w:rsidP="00000000" w:rsidRDefault="00000000" w:rsidRPr="00000000" w14:paraId="0000009A">
      <w:pPr>
        <w:rPr/>
      </w:pPr>
      <w:r w:rsidDel="00000000" w:rsidR="00000000" w:rsidRPr="00000000">
        <w:rPr>
          <w:rtl w:val="0"/>
        </w:rPr>
        <w:t xml:space="preserve">Choisissez un projet réel. Écrivez une page intitulée « Cohortes et churn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9B">
      <w:pPr>
        <w:pStyle w:val="Heading2"/>
        <w:rPr/>
      </w:pPr>
      <w:r w:rsidDel="00000000" w:rsidR="00000000" w:rsidRPr="00000000">
        <w:rPr>
          <w:rtl w:val="0"/>
        </w:rPr>
        <w:t xml:space="preserve">Résumé</w:t>
      </w:r>
    </w:p>
    <w:p w:rsidR="00000000" w:rsidDel="00000000" w:rsidP="00000000" w:rsidRDefault="00000000" w:rsidRPr="00000000" w14:paraId="0000009C">
      <w:pPr>
        <w:rPr/>
      </w:pPr>
      <w:r w:rsidDel="00000000" w:rsidR="00000000" w:rsidRPr="00000000">
        <w:rPr>
          <w:rtl w:val="0"/>
        </w:rPr>
        <w:t xml:space="preserve">Cohortes et churn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9D">
      <w:pPr>
        <w:pStyle w:val="Heading2"/>
        <w:rPr/>
      </w:pPr>
      <w:r w:rsidDel="00000000" w:rsidR="00000000" w:rsidRPr="00000000">
        <w:rPr>
          <w:rtl w:val="0"/>
        </w:rPr>
        <w:t xml:space="preserve">Action suivante</w:t>
      </w:r>
    </w:p>
    <w:p w:rsidR="00000000" w:rsidDel="00000000" w:rsidP="00000000" w:rsidRDefault="00000000" w:rsidRPr="00000000" w14:paraId="0000009E">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9F">
      <w:pPr>
        <w:pStyle w:val="Heading2"/>
        <w:rPr/>
      </w:pPr>
      <w:r w:rsidDel="00000000" w:rsidR="00000000" w:rsidRPr="00000000">
        <w:rPr>
          <w:rtl w:val="0"/>
        </w:rPr>
        <w:t xml:space="preserve">Ressources de travail</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Module 3 — CRM et réactivation</w:t>
      </w:r>
    </w:p>
    <w:tbl>
      <w:tblPr>
        <w:tblStyle w:val="Table1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A6">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t xml:space="preserve">À la fin de ce module, vous saurez appliquer crm et réactivation à un SaaS, une application mobile par abonnement ou un jeu mobile, puis décider à partir de preuves.</w:t>
            </w:r>
          </w:p>
        </w:tc>
      </w:tr>
    </w:tbl>
    <w:p w:rsidR="00000000" w:rsidDel="00000000" w:rsidP="00000000" w:rsidRDefault="00000000" w:rsidRPr="00000000" w14:paraId="000000A8">
      <w:pPr>
        <w:spacing w:after="20" w:lineRule="auto"/>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Pourquoi ce module est important</w:t>
      </w:r>
    </w:p>
    <w:p w:rsidR="00000000" w:rsidDel="00000000" w:rsidP="00000000" w:rsidRDefault="00000000" w:rsidRPr="00000000" w14:paraId="000000AA">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AB">
      <w:pPr>
        <w:pStyle w:val="Heading2"/>
        <w:rPr/>
      </w:pPr>
      <w:r w:rsidDel="00000000" w:rsidR="00000000" w:rsidRPr="00000000">
        <w:rPr>
          <w:rtl w:val="0"/>
        </w:rPr>
        <w:t xml:space="preserve">Le cours</w:t>
      </w:r>
    </w:p>
    <w:p w:rsidR="00000000" w:rsidDel="00000000" w:rsidP="00000000" w:rsidRDefault="00000000" w:rsidRPr="00000000" w14:paraId="000000AC">
      <w:pPr>
        <w:pStyle w:val="Heading3"/>
        <w:rPr/>
      </w:pPr>
      <w:r w:rsidDel="00000000" w:rsidR="00000000" w:rsidRPr="00000000">
        <w:rPr>
          <w:rtl w:val="0"/>
        </w:rPr>
        <w:t xml:space="preserve">1. Orchestrer push, email et in-app par état</w:t>
      </w:r>
    </w:p>
    <w:p w:rsidR="00000000" w:rsidDel="00000000" w:rsidP="00000000" w:rsidRDefault="00000000" w:rsidRPr="00000000" w14:paraId="000000AD">
      <w:pPr>
        <w:rPr/>
      </w:pPr>
      <w:r w:rsidDel="00000000" w:rsidR="00000000" w:rsidRPr="00000000">
        <w:rPr>
          <w:rtl w:val="0"/>
        </w:rPr>
        <w:t xml:space="preserve">Orchestrer push, email et in-app par état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AE">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1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AF">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tl w:val="0"/>
              </w:rPr>
              <w:t xml:space="preserve">Réactiver avec contexte, pas avec bruit.</w:t>
            </w:r>
          </w:p>
        </w:tc>
      </w:tr>
    </w:tbl>
    <w:p w:rsidR="00000000" w:rsidDel="00000000" w:rsidP="00000000" w:rsidRDefault="00000000" w:rsidRPr="00000000" w14:paraId="000000B1">
      <w:pPr>
        <w:spacing w:after="20" w:lineRule="auto"/>
        <w:rPr/>
      </w:pP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t xml:space="preserve">2. Limiter pression et mesurer lift incrémental</w:t>
      </w:r>
    </w:p>
    <w:p w:rsidR="00000000" w:rsidDel="00000000" w:rsidP="00000000" w:rsidRDefault="00000000" w:rsidRPr="00000000" w14:paraId="000000B3">
      <w:pPr>
        <w:rPr/>
      </w:pPr>
      <w:r w:rsidDel="00000000" w:rsidR="00000000" w:rsidRPr="00000000">
        <w:rPr>
          <w:rtl w:val="0"/>
        </w:rPr>
        <w:t xml:space="preserve">Limiter pression et mesurer lift incrémental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4">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5">
      <w:pPr>
        <w:pStyle w:val="Heading3"/>
        <w:rPr/>
      </w:pPr>
      <w:r w:rsidDel="00000000" w:rsidR="00000000" w:rsidRPr="00000000">
        <w:rPr>
          <w:rtl w:val="0"/>
        </w:rPr>
        <w:t xml:space="preserve">3. Construire win-back et dunning</w:t>
      </w:r>
    </w:p>
    <w:p w:rsidR="00000000" w:rsidDel="00000000" w:rsidP="00000000" w:rsidRDefault="00000000" w:rsidRPr="00000000" w14:paraId="000000B6">
      <w:pPr>
        <w:rPr/>
      </w:pPr>
      <w:r w:rsidDel="00000000" w:rsidR="00000000" w:rsidRPr="00000000">
        <w:rPr>
          <w:rtl w:val="0"/>
        </w:rPr>
        <w:t xml:space="preserve">Construire win-back et dunning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7">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8">
      <w:pPr>
        <w:pStyle w:val="Heading2"/>
        <w:rPr/>
      </w:pPr>
      <w:r w:rsidDel="00000000" w:rsidR="00000000" w:rsidRPr="00000000">
        <w:rPr>
          <w:rtl w:val="0"/>
        </w:rPr>
        <w:t xml:space="preserve">Méthode opérationnelle</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C0">
      <w:pPr>
        <w:pStyle w:val="Heading2"/>
        <w:rPr/>
      </w:pPr>
      <w:r w:rsidDel="00000000" w:rsidR="00000000" w:rsidRPr="00000000">
        <w:rPr>
          <w:rtl w:val="0"/>
        </w:rPr>
        <w:t xml:space="preserve">Tableau de décision</w:t>
      </w:r>
    </w:p>
    <w:tbl>
      <w:tblPr>
        <w:tblStyle w:val="Table1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5">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C6">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C7">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C8">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C9">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CA">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CB">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CC">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CD">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CE">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CF">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D0">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D1">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D2">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D3">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D4">
            <w:pPr>
              <w:rPr/>
            </w:pPr>
            <w:r w:rsidDel="00000000" w:rsidR="00000000" w:rsidRPr="00000000">
              <w:rPr>
                <w:rtl w:val="0"/>
              </w:rPr>
              <w:t xml:space="preserve">Renforcer la boucle</w:t>
            </w:r>
          </w:p>
        </w:tc>
      </w:tr>
    </w:tbl>
    <w:p w:rsidR="00000000" w:rsidDel="00000000" w:rsidP="00000000" w:rsidRDefault="00000000" w:rsidRPr="00000000" w14:paraId="000000D5">
      <w:pPr>
        <w:pStyle w:val="Heading2"/>
        <w:rPr/>
      </w:pPr>
      <w:r w:rsidDel="00000000" w:rsidR="00000000" w:rsidRPr="00000000">
        <w:rPr>
          <w:rtl w:val="0"/>
        </w:rPr>
        <w:t xml:space="preserve">Exemple concret</w:t>
      </w:r>
    </w:p>
    <w:p w:rsidR="00000000" w:rsidDel="00000000" w:rsidP="00000000" w:rsidRDefault="00000000" w:rsidRPr="00000000" w14:paraId="000000D6">
      <w:pPr>
        <w:rPr/>
      </w:pPr>
      <w:r w:rsidDel="00000000" w:rsidR="00000000" w:rsidRPr="00000000">
        <w:rPr>
          <w:rtl w:val="0"/>
        </w:rPr>
        <w:t xml:space="preserve">Le message reprend l’action inachevée et deep-link vers elle.</w:t>
      </w:r>
    </w:p>
    <w:p w:rsidR="00000000" w:rsidDel="00000000" w:rsidP="00000000" w:rsidRDefault="00000000" w:rsidRPr="00000000" w14:paraId="000000D7">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D8">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DA">
      <w:pPr>
        <w:spacing w:after="20" w:lineRule="auto"/>
        <w:rPr/>
      </w:pPr>
      <w:r w:rsidDel="00000000" w:rsidR="00000000" w:rsidRPr="00000000">
        <w:rPr>
          <w:rtl w:val="0"/>
        </w:rPr>
      </w:r>
    </w:p>
    <w:tbl>
      <w:tblPr>
        <w:tblStyle w:val="Table1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DB">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DD">
      <w:pPr>
        <w:spacing w:after="20" w:lineRule="auto"/>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t xml:space="preserve">Checklist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CRM et réactivation » est écrit en langage utilisateur.</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E5">
      <w:pPr>
        <w:pStyle w:val="Heading2"/>
        <w:rPr/>
      </w:pPr>
      <w:r w:rsidDel="00000000" w:rsidR="00000000" w:rsidRPr="00000000">
        <w:rPr>
          <w:rtl w:val="0"/>
        </w:rPr>
        <w:t xml:space="preserve">Exercice pratique</w:t>
      </w:r>
    </w:p>
    <w:p w:rsidR="00000000" w:rsidDel="00000000" w:rsidP="00000000" w:rsidRDefault="00000000" w:rsidRPr="00000000" w14:paraId="000000E6">
      <w:pPr>
        <w:rPr/>
      </w:pPr>
      <w:r w:rsidDel="00000000" w:rsidR="00000000" w:rsidRPr="00000000">
        <w:rPr>
          <w:rtl w:val="0"/>
        </w:rPr>
        <w:t xml:space="preserve">Choisissez un projet réel. Écrivez une page intitulée « CRM et réactivation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E7">
      <w:pPr>
        <w:pStyle w:val="Heading2"/>
        <w:rPr/>
      </w:pPr>
      <w:r w:rsidDel="00000000" w:rsidR="00000000" w:rsidRPr="00000000">
        <w:rPr>
          <w:rtl w:val="0"/>
        </w:rPr>
        <w:t xml:space="preserve">Résumé</w:t>
      </w:r>
    </w:p>
    <w:p w:rsidR="00000000" w:rsidDel="00000000" w:rsidP="00000000" w:rsidRDefault="00000000" w:rsidRPr="00000000" w14:paraId="000000E8">
      <w:pPr>
        <w:rPr/>
      </w:pPr>
      <w:r w:rsidDel="00000000" w:rsidR="00000000" w:rsidRPr="00000000">
        <w:rPr>
          <w:rtl w:val="0"/>
        </w:rPr>
        <w:t xml:space="preserve">CRM et réactivation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E9">
      <w:pPr>
        <w:pStyle w:val="Heading2"/>
        <w:rPr/>
      </w:pPr>
      <w:r w:rsidDel="00000000" w:rsidR="00000000" w:rsidRPr="00000000">
        <w:rPr>
          <w:rtl w:val="0"/>
        </w:rPr>
        <w:t xml:space="preserve">Action suivante</w:t>
      </w:r>
    </w:p>
    <w:p w:rsidR="00000000" w:rsidDel="00000000" w:rsidP="00000000" w:rsidRDefault="00000000" w:rsidRPr="00000000" w14:paraId="000000EA">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EB">
      <w:pPr>
        <w:pStyle w:val="Heading2"/>
        <w:rPr/>
      </w:pPr>
      <w:r w:rsidDel="00000000" w:rsidR="00000000" w:rsidRPr="00000000">
        <w:rPr>
          <w:rtl w:val="0"/>
        </w:rPr>
        <w:t xml:space="preserve">Ressources de travail</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Scorecard de fin de catégorie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peux expliquer chaque mécanisme sans jargon.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sais adapter chaque méthode aux trois modèles.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dispose d’une preuve qualitative et d’une preuve quantitative.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et définitions sont documentés.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J’ai une décision explicite et une prochaine expérience.</w:t>
      </w:r>
    </w:p>
    <w:sectPr>
      <w:footerReference r:id="rId6" w:type="default"/>
      <w:pgSz w:h="15840" w:w="12240" w:orient="portrait"/>
      <w:pgMar w:bottom="1123" w:top="1123"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d27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727e"/>
        <w:sz w:val="16"/>
        <w:szCs w:val="16"/>
        <w:u w:val="none"/>
        <w:shd w:fill="auto" w:val="clear"/>
        <w:vertAlign w:val="baseline"/>
        <w:rtl w:val="0"/>
      </w:rPr>
      <w:t xml:space="preserve">Rétention  •  Édition 1.0  •  Août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d2733"/>
        <w:sz w:val="21"/>
        <w:szCs w:val="21"/>
        <w:lang w:val="en"/>
      </w:rPr>
    </w:rPrDefault>
    <w:pPrDefault>
      <w:pPr>
        <w:spacing w:after="12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60" w:lineRule="auto"/>
    </w:pPr>
    <w:rPr>
      <w:rFonts w:ascii="Arial" w:cs="Arial" w:eastAsia="Arial" w:hAnsi="Arial"/>
      <w:b w:val="1"/>
      <w:bCs w:val="1"/>
      <w:color w:val="18324a"/>
      <w:sz w:val="38"/>
      <w:szCs w:val="38"/>
    </w:rPr>
  </w:style>
  <w:style w:type="paragraph" w:styleId="Heading2">
    <w:name w:val="heading 2"/>
    <w:basedOn w:val="Normal"/>
    <w:next w:val="Normal"/>
    <w:pPr>
      <w:keepNext w:val="1"/>
      <w:keepLines w:val="1"/>
      <w:spacing w:after="100" w:before="280" w:lineRule="auto"/>
    </w:pPr>
    <w:rPr>
      <w:rFonts w:ascii="Arial" w:cs="Arial" w:eastAsia="Arial" w:hAnsi="Arial"/>
      <w:b w:val="1"/>
      <w:bCs w:val="1"/>
      <w:color w:val="147d7e"/>
      <w:sz w:val="28"/>
      <w:szCs w:val="28"/>
    </w:rPr>
  </w:style>
  <w:style w:type="paragraph" w:styleId="Heading3">
    <w:name w:val="heading 3"/>
    <w:basedOn w:val="Normal"/>
    <w:next w:val="Normal"/>
    <w:pPr>
      <w:keepNext w:val="1"/>
      <w:keepLines w:val="1"/>
      <w:spacing w:after="60" w:before="200" w:lineRule="auto"/>
    </w:pPr>
    <w:rPr>
      <w:rFonts w:ascii="Arial" w:cs="Arial" w:eastAsia="Arial" w:hAnsi="Arial"/>
      <w:b w:val="1"/>
      <w:bCs w:val="1"/>
      <w:color w:val="18324a"/>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