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19 — Exit</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Construire un actif transférable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Valorisation et acquéreurs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Processus et due diligence</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Construire un actif transférable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construire un actif transférable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Réduire dépendance fondateur</w:t>
      </w:r>
    </w:p>
    <w:p w:rsidR="00000000" w:rsidDel="00000000" w:rsidP="00000000" w:rsidRDefault="00000000" w:rsidRPr="00000000" w14:paraId="00000015">
      <w:pPr>
        <w:rPr/>
      </w:pPr>
      <w:r w:rsidDel="00000000" w:rsidR="00000000" w:rsidRPr="00000000">
        <w:rPr>
          <w:rtl w:val="0"/>
        </w:rPr>
        <w:t xml:space="preserve">Réduire dépendance fondateur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Préparer l’exit améliore aussi l’entreprise indépendante.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Documenter IP, contrats, données et opérations</w:t>
      </w:r>
    </w:p>
    <w:p w:rsidR="00000000" w:rsidDel="00000000" w:rsidP="00000000" w:rsidRDefault="00000000" w:rsidRPr="00000000" w14:paraId="0000001B">
      <w:pPr>
        <w:rPr/>
      </w:pPr>
      <w:r w:rsidDel="00000000" w:rsidR="00000000" w:rsidRPr="00000000">
        <w:rPr>
          <w:rtl w:val="0"/>
        </w:rPr>
        <w:t xml:space="preserve">Documenter IP, contrats, données et opérations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Améliorer qualité du revenu</w:t>
      </w:r>
    </w:p>
    <w:p w:rsidR="00000000" w:rsidDel="00000000" w:rsidP="00000000" w:rsidRDefault="00000000" w:rsidRPr="00000000" w14:paraId="0000001E">
      <w:pPr>
        <w:rPr/>
      </w:pPr>
      <w:r w:rsidDel="00000000" w:rsidR="00000000" w:rsidRPr="00000000">
        <w:rPr>
          <w:rtl w:val="0"/>
        </w:rPr>
        <w:t xml:space="preserve">Améliorer qualité du revenu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Une entreprise vendable fonctionne et se mesure sans mémoire orale.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Construire un actif transférable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Construire un actif transférable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Construire un actif transférable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Valorisation et acquéreurs</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valorisation et acquéreurs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Comprendre multiples, croissance, marge et risque</w:t>
      </w:r>
    </w:p>
    <w:p w:rsidR="00000000" w:rsidDel="00000000" w:rsidP="00000000" w:rsidRDefault="00000000" w:rsidRPr="00000000" w14:paraId="00000061">
      <w:pPr>
        <w:rPr/>
      </w:pPr>
      <w:r w:rsidDel="00000000" w:rsidR="00000000" w:rsidRPr="00000000">
        <w:rPr>
          <w:rtl w:val="0"/>
        </w:rPr>
        <w:t xml:space="preserve">Comprendre multiples, croissance, marge et risque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La qualité du revenu influence le multiple.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Cartographier acheteurs stratégiques et financiers</w:t>
      </w:r>
    </w:p>
    <w:p w:rsidR="00000000" w:rsidDel="00000000" w:rsidP="00000000" w:rsidRDefault="00000000" w:rsidRPr="00000000" w14:paraId="00000067">
      <w:pPr>
        <w:rPr/>
      </w:pPr>
      <w:r w:rsidDel="00000000" w:rsidR="00000000" w:rsidRPr="00000000">
        <w:rPr>
          <w:rtl w:val="0"/>
        </w:rPr>
        <w:t xml:space="preserve">Cartographier acheteurs stratégiques et financiers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Préparer récit et preuves</w:t>
      </w:r>
    </w:p>
    <w:p w:rsidR="00000000" w:rsidDel="00000000" w:rsidP="00000000" w:rsidRDefault="00000000" w:rsidRPr="00000000" w14:paraId="0000006A">
      <w:pPr>
        <w:rPr/>
      </w:pPr>
      <w:r w:rsidDel="00000000" w:rsidR="00000000" w:rsidRPr="00000000">
        <w:rPr>
          <w:rtl w:val="0"/>
        </w:rPr>
        <w:t xml:space="preserve">Préparer récit et preuves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 acquéreur stratégique paie une synergie démontrable, pas seulement du MRR.</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Valorisation et acquéreurs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Valorisation et acquéreurs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Valorisation et acquéreurs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Processus et due diligence</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processus et due diligence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Organiser data room, confidentialité et calendrier</w:t>
      </w:r>
    </w:p>
    <w:p w:rsidR="00000000" w:rsidDel="00000000" w:rsidP="00000000" w:rsidRDefault="00000000" w:rsidRPr="00000000" w14:paraId="000000AD">
      <w:pPr>
        <w:rPr/>
      </w:pPr>
      <w:r w:rsidDel="00000000" w:rsidR="00000000" w:rsidRPr="00000000">
        <w:rPr>
          <w:rtl w:val="0"/>
        </w:rPr>
        <w:t xml:space="preserve">Organiser data room, confidentialité et calendrier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Un exit est un projet à risque opérationnel.</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Anticiper questions juridiques, sécurité et finance</w:t>
      </w:r>
    </w:p>
    <w:p w:rsidR="00000000" w:rsidDel="00000000" w:rsidP="00000000" w:rsidRDefault="00000000" w:rsidRPr="00000000" w14:paraId="000000B3">
      <w:pPr>
        <w:rPr/>
      </w:pPr>
      <w:r w:rsidDel="00000000" w:rsidR="00000000" w:rsidRPr="00000000">
        <w:rPr>
          <w:rtl w:val="0"/>
        </w:rPr>
        <w:t xml:space="preserve">Anticiper questions juridiques, sécurité et finance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Protéger l’activité pendant le processus</w:t>
      </w:r>
    </w:p>
    <w:p w:rsidR="00000000" w:rsidDel="00000000" w:rsidP="00000000" w:rsidRDefault="00000000" w:rsidRPr="00000000" w14:paraId="000000B6">
      <w:pPr>
        <w:rPr/>
      </w:pPr>
      <w:r w:rsidDel="00000000" w:rsidR="00000000" w:rsidRPr="00000000">
        <w:rPr>
          <w:rtl w:val="0"/>
        </w:rPr>
        <w:t xml:space="preserve">Protéger l’activité pendant le processus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La data room est préparée avant les discussions sérieuses.</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Processus et due diligence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Processus et due diligence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Processus et due diligence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Exit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