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00" w:lineRule="auto"/>
        <w:rPr>
          <w:b w:val="1"/>
          <w:bCs w:val="1"/>
          <w:color w:val="1a4073"/>
          <w:sz w:val="48"/>
          <w:szCs w:val="48"/>
        </w:rPr>
      </w:pPr>
      <w:bookmarkStart w:colFirst="0" w:colLast="0" w:name="_3q7vdgpyfbnb" w:id="0"/>
      <w:bookmarkEnd w:id="0"/>
      <w:r w:rsidDel="00000000" w:rsidR="00000000" w:rsidRPr="00000000">
        <w:rPr>
          <w:b w:val="1"/>
          <w:bCs w:val="1"/>
          <w:color w:val="1a4073"/>
          <w:sz w:val="48"/>
          <w:szCs w:val="48"/>
          <w:rtl w:val="0"/>
        </w:rPr>
        <w:t xml:space="preserve">07 — Checklist avant de scaler</w:t>
      </w:r>
    </w:p>
    <w:p w:rsidR="00000000" w:rsidDel="00000000" w:rsidP="00000000" w:rsidRDefault="00000000" w:rsidRPr="00000000" w14:paraId="00000002">
      <w:pPr>
        <w:rPr>
          <w:color w:val="1f242e"/>
          <w:sz w:val="23"/>
          <w:szCs w:val="23"/>
        </w:rPr>
      </w:pPr>
      <w:r w:rsidDel="00000000" w:rsidR="00000000" w:rsidRPr="00000000">
        <w:rPr>
          <w:color w:val="1f242e"/>
          <w:sz w:val="23"/>
          <w:szCs w:val="23"/>
          <w:rtl w:val="0"/>
        </w:rPr>
        <w:t xml:space="preserve">Version découpée de la formation complète • Contenu fidèle aux notes, avec des exemples courts pour clarifier.</w:t>
      </w:r>
    </w:p>
    <w:p w:rsidR="00000000" w:rsidDel="00000000" w:rsidP="00000000" w:rsidRDefault="00000000" w:rsidRPr="00000000" w14:paraId="00000003">
      <w:pPr>
        <w:pStyle w:val="Heading1"/>
        <w:spacing w:after="100" w:before="200" w:lineRule="auto"/>
        <w:rPr>
          <w:b w:val="1"/>
          <w:bCs w:val="1"/>
          <w:color w:val="1a4073"/>
          <w:sz w:val="36"/>
          <w:szCs w:val="36"/>
        </w:rPr>
      </w:pPr>
      <w:bookmarkStart w:colFirst="0" w:colLast="0" w:name="_1pgg9vnf5iv9" w:id="1"/>
      <w:bookmarkEnd w:id="1"/>
      <w:r w:rsidDel="00000000" w:rsidR="00000000" w:rsidRPr="00000000">
        <w:rPr>
          <w:b w:val="1"/>
          <w:bCs w:val="1"/>
          <w:color w:val="1a4073"/>
          <w:sz w:val="36"/>
          <w:szCs w:val="36"/>
          <w:rtl w:val="0"/>
        </w:rPr>
        <w:t xml:space="preserve">13 — La checklist complète avant de scaler</w:t>
      </w:r>
    </w:p>
    <w:p w:rsidR="00000000" w:rsidDel="00000000" w:rsidP="00000000" w:rsidRDefault="00000000" w:rsidRPr="00000000" w14:paraId="00000004">
      <w:pPr>
        <w:shd w:fill="f5f7fc" w:val="clear"/>
        <w:spacing w:after="120" w:before="120" w:lineRule="auto"/>
        <w:rPr>
          <w:color w:val="2e405c"/>
          <w:sz w:val="23"/>
          <w:szCs w:val="23"/>
        </w:rPr>
      </w:pPr>
      <w:r w:rsidDel="00000000" w:rsidR="00000000" w:rsidRPr="00000000">
        <w:rPr>
          <w:color w:val="2e405c"/>
          <w:sz w:val="23"/>
          <w:szCs w:val="23"/>
          <w:rtl w:val="0"/>
        </w:rPr>
        <w:t xml:space="preserve">🔎 CONTEXTE — Cette checklist est une porte de contrôle avant le scale. Elle ne demande pas que le produit soit parfait. Elle vérifie que les risques principaux sont compris : le problème existe, la première valeur est atteinte, des personnes paient, elles reviennent et l’acquisition peut être mesurée.</w:t>
      </w:r>
    </w:p>
    <w:p w:rsidR="00000000" w:rsidDel="00000000" w:rsidP="00000000" w:rsidRDefault="00000000" w:rsidRPr="00000000" w14:paraId="00000005">
      <w:pPr>
        <w:shd w:fill="f5f7fc" w:val="clear"/>
        <w:spacing w:after="120" w:before="120" w:lineRule="auto"/>
        <w:rPr>
          <w:color w:val="2e405c"/>
          <w:sz w:val="23"/>
          <w:szCs w:val="23"/>
        </w:rPr>
      </w:pPr>
      <w:r w:rsidDel="00000000" w:rsidR="00000000" w:rsidRPr="00000000">
        <w:rPr>
          <w:color w:val="2e405c"/>
          <w:sz w:val="23"/>
          <w:szCs w:val="23"/>
          <w:rtl w:val="0"/>
        </w:rPr>
        <w:t xml:space="preserve">Pourquoi c’est important — Quand on augmente le budget, chaque faiblesse coûte plus cher. Une petite fuite d’onboarding ou un mauvais renouvellement devient un gros problème avec dix fois plus d’utilisateurs.</w:t>
      </w:r>
    </w:p>
    <w:p w:rsidR="00000000" w:rsidDel="00000000" w:rsidP="00000000" w:rsidRDefault="00000000" w:rsidRPr="00000000" w14:paraId="00000006">
      <w:pPr>
        <w:shd w:fill="f5f7fc" w:val="clear"/>
        <w:spacing w:after="120" w:before="120" w:lineRule="auto"/>
        <w:rPr/>
      </w:pPr>
      <w:r w:rsidDel="00000000" w:rsidR="00000000" w:rsidRPr="00000000">
        <w:rPr>
          <w:color w:val="2e405c"/>
          <w:sz w:val="23"/>
          <w:szCs w:val="23"/>
          <w:rtl w:val="0"/>
        </w:rPr>
        <w:t xml:space="preserve">Comment l’utiliser — Si une case importante n’est pas validée, ne compense pas avec plus de trafic. Reviens au module concerné, lance un test simple, observe plusieurs cohortes et augmente le budget seulement lorsque le système reste sain.</w:t>
      </w:r>
      <w:r w:rsidDel="00000000" w:rsidR="00000000" w:rsidRPr="00000000">
        <w:rPr>
          <w:rtl w:val="0"/>
        </w:rPr>
      </w:r>
    </w:p>
    <w:p w:rsidR="00000000" w:rsidDel="00000000" w:rsidP="00000000" w:rsidRDefault="00000000" w:rsidRPr="00000000" w14:paraId="00000007">
      <w:pPr>
        <w:rPr>
          <w:color w:val="1f242e"/>
          <w:sz w:val="23"/>
          <w:szCs w:val="23"/>
        </w:rPr>
      </w:pPr>
      <w:r w:rsidDel="00000000" w:rsidR="00000000" w:rsidRPr="00000000">
        <w:rPr>
          <w:color w:val="1f242e"/>
          <w:sz w:val="23"/>
          <w:szCs w:val="23"/>
          <w:rtl w:val="0"/>
        </w:rPr>
        <w:t xml:space="preserve">☐  Une communauté et un problème réel ont été identifiés.</w:t>
      </w:r>
    </w:p>
    <w:p w:rsidR="00000000" w:rsidDel="00000000" w:rsidP="00000000" w:rsidRDefault="00000000" w:rsidRPr="00000000" w14:paraId="00000008">
      <w:pPr>
        <w:rPr>
          <w:color w:val="1f242e"/>
          <w:sz w:val="23"/>
          <w:szCs w:val="23"/>
        </w:rPr>
      </w:pPr>
      <w:r w:rsidDel="00000000" w:rsidR="00000000" w:rsidRPr="00000000">
        <w:rPr>
          <w:color w:val="1f242e"/>
          <w:sz w:val="23"/>
          <w:szCs w:val="23"/>
          <w:rtl w:val="0"/>
        </w:rPr>
        <w:t xml:space="preserve">☐  La première version résout une seule promesse importante.</w:t>
      </w:r>
    </w:p>
    <w:p w:rsidR="00000000" w:rsidDel="00000000" w:rsidP="00000000" w:rsidRDefault="00000000" w:rsidRPr="00000000" w14:paraId="00000009">
      <w:pPr>
        <w:rPr>
          <w:color w:val="1f242e"/>
          <w:sz w:val="23"/>
          <w:szCs w:val="23"/>
        </w:rPr>
      </w:pPr>
      <w:r w:rsidDel="00000000" w:rsidR="00000000" w:rsidRPr="00000000">
        <w:rPr>
          <w:color w:val="1f242e"/>
          <w:sz w:val="23"/>
          <w:szCs w:val="23"/>
          <w:rtl w:val="0"/>
        </w:rPr>
        <w:t xml:space="preserve">☐  Le MVP est instrumenté et monétisé.</w:t>
      </w:r>
    </w:p>
    <w:p w:rsidR="00000000" w:rsidDel="00000000" w:rsidP="00000000" w:rsidRDefault="00000000" w:rsidRPr="00000000" w14:paraId="0000000A">
      <w:pPr>
        <w:rPr>
          <w:color w:val="1f242e"/>
          <w:sz w:val="23"/>
          <w:szCs w:val="23"/>
        </w:rPr>
      </w:pPr>
      <w:r w:rsidDel="00000000" w:rsidR="00000000" w:rsidRPr="00000000">
        <w:rPr>
          <w:color w:val="1f242e"/>
          <w:sz w:val="23"/>
          <w:szCs w:val="23"/>
          <w:rtl w:val="0"/>
        </w:rPr>
        <w:t xml:space="preserve">☐  L’onboarding mène rapidement à la première valeur, puis demande le compte pour sauvegarder avant le paywall.</w:t>
      </w:r>
    </w:p>
    <w:p w:rsidR="00000000" w:rsidDel="00000000" w:rsidP="00000000" w:rsidRDefault="00000000" w:rsidRPr="00000000" w14:paraId="0000000B">
      <w:pPr>
        <w:rPr>
          <w:color w:val="1f242e"/>
          <w:sz w:val="23"/>
          <w:szCs w:val="23"/>
        </w:rPr>
      </w:pPr>
      <w:r w:rsidDel="00000000" w:rsidR="00000000" w:rsidRPr="00000000">
        <w:rPr>
          <w:color w:val="1f242e"/>
          <w:sz w:val="23"/>
          <w:szCs w:val="23"/>
          <w:rtl w:val="0"/>
        </w:rPr>
        <w:t xml:space="preserve">☐  Les 6 triggers sont utilisés uniquement lorsqu’ils servent le parcours.</w:t>
      </w:r>
    </w:p>
    <w:p w:rsidR="00000000" w:rsidDel="00000000" w:rsidP="00000000" w:rsidRDefault="00000000" w:rsidRPr="00000000" w14:paraId="0000000C">
      <w:pPr>
        <w:rPr>
          <w:color w:val="1f242e"/>
          <w:sz w:val="23"/>
          <w:szCs w:val="23"/>
        </w:rPr>
      </w:pPr>
      <w:r w:rsidDel="00000000" w:rsidR="00000000" w:rsidRPr="00000000">
        <w:rPr>
          <w:color w:val="1f242e"/>
          <w:sz w:val="23"/>
          <w:szCs w:val="23"/>
          <w:rtl w:val="0"/>
        </w:rPr>
        <w:t xml:space="preserve">☐  Le paywall explique clairement la continuité de valeur.</w:t>
      </w:r>
    </w:p>
    <w:p w:rsidR="00000000" w:rsidDel="00000000" w:rsidP="00000000" w:rsidRDefault="00000000" w:rsidRPr="00000000" w14:paraId="0000000D">
      <w:pPr>
        <w:rPr>
          <w:color w:val="1f242e"/>
          <w:sz w:val="23"/>
          <w:szCs w:val="23"/>
        </w:rPr>
      </w:pPr>
      <w:r w:rsidDel="00000000" w:rsidR="00000000" w:rsidRPr="00000000">
        <w:rPr>
          <w:color w:val="1f242e"/>
          <w:sz w:val="23"/>
          <w:szCs w:val="23"/>
          <w:rtl w:val="0"/>
        </w:rPr>
        <w:t xml:space="preserve">☐  Le funnel est suivi de la publicité au renouvellement.</w:t>
      </w:r>
    </w:p>
    <w:p w:rsidR="00000000" w:rsidDel="00000000" w:rsidP="00000000" w:rsidRDefault="00000000" w:rsidRPr="00000000" w14:paraId="0000000E">
      <w:pPr>
        <w:rPr>
          <w:color w:val="1f242e"/>
          <w:sz w:val="23"/>
          <w:szCs w:val="23"/>
        </w:rPr>
      </w:pPr>
      <w:r w:rsidDel="00000000" w:rsidR="00000000" w:rsidRPr="00000000">
        <w:rPr>
          <w:color w:val="1f242e"/>
          <w:sz w:val="23"/>
          <w:szCs w:val="23"/>
          <w:rtl w:val="0"/>
        </w:rPr>
        <w:t xml:space="preserve">☐  Les 16 concepts sont utilisés sans tromper l’utilisateur.</w:t>
      </w:r>
    </w:p>
    <w:p w:rsidR="00000000" w:rsidDel="00000000" w:rsidP="00000000" w:rsidRDefault="00000000" w:rsidRPr="00000000" w14:paraId="0000000F">
      <w:pPr>
        <w:rPr>
          <w:color w:val="1f242e"/>
          <w:sz w:val="23"/>
          <w:szCs w:val="23"/>
        </w:rPr>
      </w:pPr>
      <w:r w:rsidDel="00000000" w:rsidR="00000000" w:rsidRPr="00000000">
        <w:rPr>
          <w:color w:val="1f242e"/>
          <w:sz w:val="23"/>
          <w:szCs w:val="23"/>
          <w:rtl w:val="0"/>
        </w:rPr>
        <w:t xml:space="preserve">☐  Le produit possède une vraie raison de revenir.</w:t>
      </w:r>
    </w:p>
    <w:p w:rsidR="00000000" w:rsidDel="00000000" w:rsidP="00000000" w:rsidRDefault="00000000" w:rsidRPr="00000000" w14:paraId="00000010">
      <w:pPr>
        <w:rPr>
          <w:color w:val="1f242e"/>
          <w:sz w:val="23"/>
          <w:szCs w:val="23"/>
        </w:rPr>
      </w:pPr>
      <w:r w:rsidDel="00000000" w:rsidR="00000000" w:rsidRPr="00000000">
        <w:rPr>
          <w:color w:val="1f242e"/>
          <w:sz w:val="23"/>
          <w:szCs w:val="23"/>
          <w:rtl w:val="0"/>
        </w:rPr>
        <w:t xml:space="preserve">☐  Des résultats visuels ou partageables sont prévus.</w:t>
      </w:r>
    </w:p>
    <w:p w:rsidR="00000000" w:rsidDel="00000000" w:rsidP="00000000" w:rsidRDefault="00000000" w:rsidRPr="00000000" w14:paraId="00000011">
      <w:pPr>
        <w:rPr>
          <w:color w:val="1f242e"/>
          <w:sz w:val="23"/>
          <w:szCs w:val="23"/>
        </w:rPr>
      </w:pPr>
      <w:r w:rsidDel="00000000" w:rsidR="00000000" w:rsidRPr="00000000">
        <w:rPr>
          <w:color w:val="1f242e"/>
          <w:sz w:val="23"/>
          <w:szCs w:val="23"/>
          <w:rtl w:val="0"/>
        </w:rPr>
        <w:t xml:space="preserve">☐  Les créateurs reçoivent des templates de viralité précis.</w:t>
      </w:r>
    </w:p>
    <w:p w:rsidR="00000000" w:rsidDel="00000000" w:rsidP="00000000" w:rsidRDefault="00000000" w:rsidRPr="00000000" w14:paraId="00000012">
      <w:pPr>
        <w:rPr>
          <w:color w:val="1f242e"/>
          <w:sz w:val="23"/>
          <w:szCs w:val="23"/>
        </w:rPr>
      </w:pPr>
      <w:r w:rsidDel="00000000" w:rsidR="00000000" w:rsidRPr="00000000">
        <w:rPr>
          <w:color w:val="1f242e"/>
          <w:sz w:val="23"/>
          <w:szCs w:val="23"/>
          <w:rtl w:val="0"/>
        </w:rPr>
        <w:t xml:space="preserve">☐  Le coût des influenceurs est suivi avec le CPM puis le CAC/LTV.</w:t>
      </w:r>
    </w:p>
    <w:p w:rsidR="00000000" w:rsidDel="00000000" w:rsidP="00000000" w:rsidRDefault="00000000" w:rsidRPr="00000000" w14:paraId="00000013">
      <w:pPr>
        <w:rPr>
          <w:color w:val="1f242e"/>
          <w:sz w:val="23"/>
          <w:szCs w:val="23"/>
        </w:rPr>
      </w:pPr>
      <w:r w:rsidDel="00000000" w:rsidR="00000000" w:rsidRPr="00000000">
        <w:rPr>
          <w:color w:val="1f242e"/>
          <w:sz w:val="23"/>
          <w:szCs w:val="23"/>
          <w:rtl w:val="0"/>
        </w:rPr>
        <w:t xml:space="preserve">☐  Les campagnes sont comparées par qualité de cohorte.</w:t>
      </w:r>
    </w:p>
    <w:p w:rsidR="00000000" w:rsidDel="00000000" w:rsidP="00000000" w:rsidRDefault="00000000" w:rsidRPr="00000000" w14:paraId="00000014">
      <w:pPr>
        <w:rPr>
          <w:color w:val="1f242e"/>
          <w:sz w:val="23"/>
          <w:szCs w:val="23"/>
        </w:rPr>
      </w:pPr>
      <w:r w:rsidDel="00000000" w:rsidR="00000000" w:rsidRPr="00000000">
        <w:rPr>
          <w:color w:val="1f242e"/>
          <w:sz w:val="23"/>
          <w:szCs w:val="23"/>
          <w:rtl w:val="0"/>
        </w:rPr>
        <w:t xml:space="preserve">☐  Les comptes USA et France sont séparés et sécurisés.</w:t>
      </w:r>
    </w:p>
    <w:p w:rsidR="00000000" w:rsidDel="00000000" w:rsidP="00000000" w:rsidRDefault="00000000" w:rsidRPr="00000000" w14:paraId="00000015">
      <w:pPr>
        <w:rPr>
          <w:color w:val="1f242e"/>
          <w:sz w:val="23"/>
          <w:szCs w:val="23"/>
        </w:rPr>
      </w:pPr>
      <w:r w:rsidDel="00000000" w:rsidR="00000000" w:rsidRPr="00000000">
        <w:rPr>
          <w:color w:val="1f242e"/>
          <w:sz w:val="23"/>
          <w:szCs w:val="23"/>
          <w:rtl w:val="0"/>
        </w:rPr>
        <w:t xml:space="preserve">☐  Postiz sert aux opérations, pas à remplacer la stratégie.</w:t>
      </w:r>
    </w:p>
    <w:p w:rsidR="00000000" w:rsidDel="00000000" w:rsidP="00000000" w:rsidRDefault="00000000" w:rsidRPr="00000000" w14:paraId="00000016">
      <w:pPr>
        <w:rPr>
          <w:color w:val="1f242e"/>
          <w:sz w:val="23"/>
          <w:szCs w:val="23"/>
        </w:rPr>
      </w:pPr>
      <w:r w:rsidDel="00000000" w:rsidR="00000000" w:rsidRPr="00000000">
        <w:rPr>
          <w:color w:val="1f242e"/>
          <w:sz w:val="23"/>
          <w:szCs w:val="23"/>
          <w:rtl w:val="0"/>
        </w:rPr>
        <w:t xml:space="preserve">☐  Plusieurs cohortes montrent une LTV nette supérieure au coût complet.</w:t>
      </w:r>
    </w:p>
    <w:p w:rsidR="00000000" w:rsidDel="00000000" w:rsidP="00000000" w:rsidRDefault="00000000" w:rsidRPr="00000000" w14:paraId="00000017">
      <w:pPr>
        <w:rPr>
          <w:color w:val="1f242e"/>
          <w:sz w:val="23"/>
          <w:szCs w:val="23"/>
        </w:rPr>
      </w:pPr>
      <w:r w:rsidDel="00000000" w:rsidR="00000000" w:rsidRPr="00000000">
        <w:rPr>
          <w:color w:val="1f242e"/>
          <w:sz w:val="23"/>
          <w:szCs w:val="23"/>
          <w:rtl w:val="0"/>
        </w:rPr>
        <w:t xml:space="preserve">☐  Le budget augmente progressivement.</w:t>
      </w:r>
    </w:p>
    <w:p w:rsidR="00000000" w:rsidDel="00000000" w:rsidP="00000000" w:rsidRDefault="00000000" w:rsidRPr="00000000" w14:paraId="00000018">
      <w:pPr>
        <w:rPr>
          <w:color w:val="1f242e"/>
          <w:sz w:val="23"/>
          <w:szCs w:val="23"/>
        </w:rPr>
      </w:pPr>
      <w:r w:rsidDel="00000000" w:rsidR="00000000" w:rsidRPr="00000000">
        <w:rPr>
          <w:color w:val="1f242e"/>
          <w:sz w:val="23"/>
          <w:szCs w:val="23"/>
          <w:rtl w:val="0"/>
        </w:rPr>
        <w:t xml:space="preserve">☐  Chaque apprentissage important est ajouté à la formation.</w:t>
      </w:r>
    </w:p>
    <w:p w:rsidR="00000000" w:rsidDel="00000000" w:rsidP="00000000" w:rsidRDefault="00000000" w:rsidRPr="00000000" w14:paraId="00000019">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RÉSUMÉ  Tendance existante → problème répété → MVP rapide → première valeur → paywall clair → rétention → acquisition mesurée → scale progressif.</w:t>
      </w:r>
    </w:p>
    <w:p w:rsidR="00000000" w:rsidDel="00000000" w:rsidP="00000000" w:rsidRDefault="00000000" w:rsidRPr="00000000" w14:paraId="0000001A">
      <w:pPr>
        <w:pStyle w:val="Heading2"/>
        <w:spacing w:after="100" w:before="200" w:lineRule="auto"/>
        <w:rPr>
          <w:b w:val="1"/>
          <w:bCs w:val="1"/>
          <w:color w:val="1a4073"/>
          <w:sz w:val="28"/>
          <w:szCs w:val="28"/>
        </w:rPr>
      </w:pPr>
      <w:bookmarkStart w:colFirst="0" w:colLast="0" w:name="_i06jqqm30mbm" w:id="2"/>
      <w:bookmarkEnd w:id="2"/>
      <w:r w:rsidDel="00000000" w:rsidR="00000000" w:rsidRPr="00000000">
        <w:rPr>
          <w:b w:val="1"/>
          <w:bCs w:val="1"/>
          <w:color w:val="1a4073"/>
          <w:sz w:val="28"/>
          <w:szCs w:val="28"/>
          <w:rtl w:val="0"/>
        </w:rPr>
        <w:t xml:space="preserve">La question à se poser chaque semaine</w:t>
      </w:r>
    </w:p>
    <w:p w:rsidR="00000000" w:rsidDel="00000000" w:rsidP="00000000" w:rsidRDefault="00000000" w:rsidRPr="00000000" w14:paraId="0000001B">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PRIORITÉ  À quelle étape perd-on aujourd’hui le plus de valeur, et quel test simple peut nous apprendre quelque chose cette semaine ?</w:t>
      </w:r>
    </w:p>
    <w:p w:rsidR="00000000" w:rsidDel="00000000" w:rsidP="00000000" w:rsidRDefault="00000000" w:rsidRPr="00000000" w14:paraId="0000001C">
      <w:pPr>
        <w:shd w:fill="fffae6" w:val="clear"/>
        <w:spacing w:after="120" w:before="120" w:lineRule="auto"/>
        <w:rPr>
          <w:color w:val="1f293d"/>
          <w:sz w:val="21"/>
          <w:szCs w:val="21"/>
        </w:rPr>
      </w:pPr>
      <w:r w:rsidDel="00000000" w:rsidR="00000000" w:rsidRPr="00000000">
        <w:rPr>
          <w:color w:val="1f293d"/>
          <w:sz w:val="21"/>
          <w:szCs w:val="21"/>
          <w:rtl w:val="0"/>
        </w:rPr>
        <w:t xml:space="preserve">Pourquoi cette question est importante — On a naturellement tendance à travailler sur l’idée la plus visible, la plus agréable ou la plus urgente. Pourtant, la croissance dépend souvent d’un seul blocage : une publicité peu claire, un onboarding abandonné, une première valeur trop lente, un paywall mal compris ou une faible rétention.</w:t>
      </w:r>
    </w:p>
    <w:p w:rsidR="00000000" w:rsidDel="00000000" w:rsidP="00000000" w:rsidRDefault="00000000" w:rsidRPr="00000000" w14:paraId="0000001D">
      <w:pPr>
        <w:shd w:fill="fffae6" w:val="clear"/>
        <w:spacing w:after="120" w:before="120" w:lineRule="auto"/>
        <w:rPr>
          <w:color w:val="1f293d"/>
          <w:sz w:val="21"/>
          <w:szCs w:val="21"/>
        </w:rPr>
      </w:pPr>
      <w:r w:rsidDel="00000000" w:rsidR="00000000" w:rsidRPr="00000000">
        <w:rPr>
          <w:color w:val="1f293d"/>
          <w:sz w:val="21"/>
          <w:szCs w:val="21"/>
          <w:rtl w:val="0"/>
        </w:rPr>
        <w:t xml:space="preserve">Comment y répondre — Ouvre le funnel, repère l’étape où la perte est la plus forte, puis vérifie quelques sessions ou retours utilisateurs pour comprendre pourquoi. Formule une seule hypothèse, choisis une métrique principale et lance le plus petit test capable de confirmer ou d’infirmer cette idée.</w:t>
      </w:r>
    </w:p>
    <w:p w:rsidR="00000000" w:rsidDel="00000000" w:rsidP="00000000" w:rsidRDefault="00000000" w:rsidRPr="00000000" w14:paraId="0000001E">
      <w:pPr>
        <w:shd w:fill="fffae6" w:val="clear"/>
        <w:spacing w:after="120" w:before="120" w:lineRule="auto"/>
        <w:rPr>
          <w:color w:val="1f293d"/>
          <w:sz w:val="21"/>
          <w:szCs w:val="21"/>
        </w:rPr>
      </w:pPr>
      <w:r w:rsidDel="00000000" w:rsidR="00000000" w:rsidRPr="00000000">
        <w:rPr>
          <w:color w:val="1f293d"/>
          <w:sz w:val="21"/>
          <w:szCs w:val="21"/>
          <w:rtl w:val="0"/>
        </w:rPr>
        <w:t xml:space="preserve">💡 EXEMPLE SIMPLE — Si beaucoup de personnes installent l’application mais peu atteignent le premier résultat, ne change pas encore le prix. Simplifie d’abord l’onboarding ou rapproche la première valeur, puis mesure si davantage d’utilisateurs arrivent jusqu’au compte et au paywall.</w:t>
      </w:r>
    </w:p>
    <w:p w:rsidR="00000000" w:rsidDel="00000000" w:rsidP="00000000" w:rsidRDefault="00000000" w:rsidRPr="00000000" w14:paraId="0000001F">
      <w:pPr>
        <w:shd w:fill="fffae6" w:val="clear"/>
        <w:spacing w:after="120" w:before="120" w:lineRule="auto"/>
        <w:rPr>
          <w:color w:val="1f293d"/>
          <w:sz w:val="21"/>
          <w:szCs w:val="21"/>
        </w:rPr>
      </w:pPr>
      <w:r w:rsidDel="00000000" w:rsidR="00000000" w:rsidRPr="00000000">
        <w:rPr>
          <w:rFonts w:ascii="Arial Unicode MS" w:cs="Arial Unicode MS" w:eastAsia="Arial Unicode MS" w:hAnsi="Arial Unicode MS"/>
          <w:color w:val="1f293d"/>
          <w:sz w:val="21"/>
          <w:szCs w:val="21"/>
          <w:rtl w:val="0"/>
        </w:rPr>
        <w:t xml:space="preserve">La boucle à répéter — Observer → choisir le blocage principal → comprendre la cause → tester une modification → mesurer → garder ou annuler → ajouter l’apprentissage au playbook.</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