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01 — Fondations</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Penser en système, pas en idée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Choisir le bon modèle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Doctrine de décision</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Penser en système, pas en idée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penser en système, pas en idée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Distinguer problème, solution, produit et entreprise</w:t>
      </w:r>
    </w:p>
    <w:p w:rsidR="00000000" w:rsidDel="00000000" w:rsidP="00000000" w:rsidRDefault="00000000" w:rsidRPr="00000000" w14:paraId="00000015">
      <w:pPr>
        <w:rPr/>
      </w:pPr>
      <w:r w:rsidDel="00000000" w:rsidR="00000000" w:rsidRPr="00000000">
        <w:rPr>
          <w:rtl w:val="0"/>
        </w:rPr>
        <w:t xml:space="preserve">Distinguer problème, solution, produit et entreprise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Arial Unicode MS" w:cs="Arial Unicode MS" w:eastAsia="Arial Unicode MS" w:hAnsi="Arial Unicode MS"/>
                <w:rtl w:val="0"/>
              </w:rPr>
              <w:t xml:space="preserve">Cycle : observer → formuler → construire → mesurer → décider.</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Choisir une cadence d’apprentissage courte</w:t>
      </w:r>
    </w:p>
    <w:p w:rsidR="00000000" w:rsidDel="00000000" w:rsidP="00000000" w:rsidRDefault="00000000" w:rsidRPr="00000000" w14:paraId="0000001B">
      <w:pPr>
        <w:rPr/>
      </w:pPr>
      <w:r w:rsidDel="00000000" w:rsidR="00000000" w:rsidRPr="00000000">
        <w:rPr>
          <w:rtl w:val="0"/>
        </w:rPr>
        <w:t xml:space="preserve">Choisir une cadence d’apprentissage courte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Transformer les opinions en hypothèses mesurables</w:t>
      </w:r>
    </w:p>
    <w:p w:rsidR="00000000" w:rsidDel="00000000" w:rsidP="00000000" w:rsidRDefault="00000000" w:rsidRPr="00000000" w14:paraId="0000001E">
      <w:pPr>
        <w:rPr/>
      </w:pPr>
      <w:r w:rsidDel="00000000" w:rsidR="00000000" w:rsidRPr="00000000">
        <w:rPr>
          <w:rtl w:val="0"/>
        </w:rPr>
        <w:t xml:space="preserve">Transformer les opinions en hypothèses mesurables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équipe réduit son MVP à un seul moment de valeur et mesure le temps nécessaire pour l’atteindre.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Penser en système, pas en idée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Penser en système, pas en idée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Penser en système, pas en idée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Choisir le bon modèle</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choisir le bon modèle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Comparer SaaS B2B, app par abonnement et jeu mobile</w:t>
      </w:r>
    </w:p>
    <w:p w:rsidR="00000000" w:rsidDel="00000000" w:rsidP="00000000" w:rsidRDefault="00000000" w:rsidRPr="00000000" w14:paraId="00000061">
      <w:pPr>
        <w:rPr/>
      </w:pPr>
      <w:r w:rsidDel="00000000" w:rsidR="00000000" w:rsidRPr="00000000">
        <w:rPr>
          <w:rtl w:val="0"/>
        </w:rPr>
        <w:t xml:space="preserve">Comparer SaaS B2B, app par abonnement et jeu mobile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Le modèle économique doit suivre la fréquence de valeur, pas une mode.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Comprendre fréquence, marge, distribution et capital requis</w:t>
      </w:r>
    </w:p>
    <w:p w:rsidR="00000000" w:rsidDel="00000000" w:rsidP="00000000" w:rsidRDefault="00000000" w:rsidRPr="00000000" w14:paraId="00000067">
      <w:pPr>
        <w:rPr/>
      </w:pPr>
      <w:r w:rsidDel="00000000" w:rsidR="00000000" w:rsidRPr="00000000">
        <w:rPr>
          <w:rtl w:val="0"/>
        </w:rPr>
        <w:t xml:space="preserve">Comprendre fréquence, marge, distribution et capital requis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Aligner le modèle sur le comportement naturel du client</w:t>
      </w:r>
    </w:p>
    <w:p w:rsidR="00000000" w:rsidDel="00000000" w:rsidP="00000000" w:rsidRDefault="00000000" w:rsidRPr="00000000" w14:paraId="0000006A">
      <w:pPr>
        <w:rPr/>
      </w:pPr>
      <w:r w:rsidDel="00000000" w:rsidR="00000000" w:rsidRPr="00000000">
        <w:rPr>
          <w:rtl w:val="0"/>
        </w:rPr>
        <w:t xml:space="preserve">Aligner le modèle sur le comportement naturel du client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besoin mensuel critique convient mieux à un SaaS qu’à une mécanique de streak quotidienne.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Choisir le bon modèle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Choisir le bon modèle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Choisir le bon modèle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Doctrine de décision</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doctrine de décision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Définir des critères continuer/corriger/arrêter</w:t>
      </w:r>
    </w:p>
    <w:p w:rsidR="00000000" w:rsidDel="00000000" w:rsidP="00000000" w:rsidRDefault="00000000" w:rsidRPr="00000000" w14:paraId="000000AD">
      <w:pPr>
        <w:rPr/>
      </w:pPr>
      <w:r w:rsidDel="00000000" w:rsidR="00000000" w:rsidRPr="00000000">
        <w:rPr>
          <w:rtl w:val="0"/>
        </w:rPr>
        <w:t xml:space="preserve">Définir des critères continuer/corriger/arrêter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On scale une économie, pas une métrique isolée.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Séparer signal précoce et preuve durable</w:t>
      </w:r>
    </w:p>
    <w:p w:rsidR="00000000" w:rsidDel="00000000" w:rsidP="00000000" w:rsidRDefault="00000000" w:rsidRPr="00000000" w14:paraId="000000B3">
      <w:pPr>
        <w:rPr/>
      </w:pPr>
      <w:r w:rsidDel="00000000" w:rsidR="00000000" w:rsidRPr="00000000">
        <w:rPr>
          <w:rtl w:val="0"/>
        </w:rPr>
        <w:t xml:space="preserve">Séparer signal précoce et preuve durable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Documenter décisions et apprentissages</w:t>
      </w:r>
    </w:p>
    <w:p w:rsidR="00000000" w:rsidDel="00000000" w:rsidP="00000000" w:rsidRDefault="00000000" w:rsidRPr="00000000" w14:paraId="000000B6">
      <w:pPr>
        <w:rPr/>
      </w:pPr>
      <w:r w:rsidDel="00000000" w:rsidR="00000000" w:rsidRPr="00000000">
        <w:rPr>
          <w:rtl w:val="0"/>
        </w:rPr>
        <w:t xml:space="preserve">Documenter décisions et apprentissages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Une créative au CPI bas n’est conservée que si sa cohorte s’active, paie et retient.</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Doctrine de décision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Doctrine de décision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Doctrine de décision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Fondations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