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8324a"/>
          <w:sz w:val="52"/>
          <w:szCs w:val="52"/>
          <w:rtl w:val="0"/>
        </w:rPr>
        <w:t xml:space="preserve">17 — Finance</w:t>
      </w:r>
      <w:r w:rsidDel="00000000" w:rsidR="00000000" w:rsidRPr="00000000">
        <w:rPr>
          <w:rtl w:val="0"/>
        </w:rPr>
      </w:r>
    </w:p>
    <w:p w:rsidR="00000000" w:rsidDel="00000000" w:rsidP="00000000" w:rsidRDefault="00000000" w:rsidRPr="00000000" w14:paraId="00000002">
      <w:pPr>
        <w:spacing w:after="360" w:lineRule="auto"/>
        <w:rPr/>
      </w:pPr>
      <w:r w:rsidDel="00000000" w:rsidR="00000000" w:rsidRPr="00000000">
        <w:rPr>
          <w:rFonts w:ascii="Arial" w:cs="Arial" w:eastAsia="Arial" w:hAnsi="Arial"/>
          <w:color w:val="66727e"/>
          <w:sz w:val="24"/>
          <w:szCs w:val="24"/>
          <w:rtl w:val="0"/>
        </w:rPr>
        <w:t xml:space="preserve">Formation opérateur • SaaS, applications mobiles et jeux • Marchés USA &amp; France</w:t>
      </w:r>
      <w:r w:rsidDel="00000000" w:rsidR="00000000" w:rsidRPr="00000000">
        <w:rPr>
          <w:rtl w:val="0"/>
        </w:rPr>
      </w:r>
    </w:p>
    <w:tbl>
      <w:tblPr>
        <w:tblStyle w:val="Table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3">
            <w:pPr>
              <w:spacing w:after="40" w:lineRule="auto"/>
              <w:rPr/>
            </w:pPr>
            <w:r w:rsidDel="00000000" w:rsidR="00000000" w:rsidRPr="00000000">
              <w:rPr>
                <w:rFonts w:ascii="Arial" w:cs="Arial" w:eastAsia="Arial" w:hAnsi="Arial"/>
                <w:b w:val="1"/>
                <w:bCs w:val="1"/>
                <w:color w:val="147d7e"/>
                <w:sz w:val="18"/>
                <w:szCs w:val="18"/>
                <w:rtl w:val="0"/>
              </w:rPr>
              <w:t xml:space="preserve">MODE D’EMPLOI</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rtl w:val="0"/>
              </w:rPr>
              <w:t xml:space="preserve">Lisez un module, réalisez son exercice sur un projet réel, puis consignez la décision. Les benchmarks orientent; vos cohortes décident.</w:t>
            </w:r>
          </w:p>
        </w:tc>
      </w:tr>
    </w:tbl>
    <w:p w:rsidR="00000000" w:rsidDel="00000000" w:rsidP="00000000" w:rsidRDefault="00000000" w:rsidRPr="00000000" w14:paraId="00000005">
      <w:pPr>
        <w:spacing w:after="20" w:lineRule="auto"/>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Parcours de la catégorie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1. Unit economics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2. Pilotage SaaS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3. Budget et trésorerie</w:t>
      </w:r>
    </w:p>
    <w:p w:rsidR="00000000" w:rsidDel="00000000" w:rsidP="00000000" w:rsidRDefault="00000000" w:rsidRPr="00000000" w14:paraId="0000000A">
      <w:pPr>
        <w:pStyle w:val="Heading1"/>
        <w:rPr/>
      </w:pPr>
      <w:r w:rsidDel="00000000" w:rsidR="00000000" w:rsidRPr="00000000">
        <w:rPr>
          <w:rtl w:val="0"/>
        </w:rPr>
        <w:t xml:space="preserve">Standard de preuve</w:t>
      </w:r>
    </w:p>
    <w:p w:rsidR="00000000" w:rsidDel="00000000" w:rsidP="00000000" w:rsidRDefault="00000000" w:rsidRPr="00000000" w14:paraId="0000000B">
      <w:pPr>
        <w:rPr/>
      </w:pPr>
      <w:r w:rsidDel="00000000" w:rsidR="00000000" w:rsidRPr="00000000">
        <w:rPr>
          <w:rtl w:val="0"/>
        </w:rPr>
        <w:t xml:space="preserve">Chaque recommandation est à traiter comme principe établi, tendance observée ou hypothèse à tester. Les règles légales, stores et plateformes doivent être revérifiées au moment d’agir. Les chiffres sans source, date, pays, catégorie et fenêtre ne deviennent jamais des objectifs automatiques.</w:t>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Module 1 — Unit economics</w:t>
      </w:r>
    </w:p>
    <w:tbl>
      <w:tblPr>
        <w:tblStyle w:val="Table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tl w:val="0"/>
              </w:rPr>
              <w:t xml:space="preserve">À la fin de ce module, vous saurez appliquer unit economics à un SaaS, une application mobile par abonnement ou un jeu mobile, puis décider à partir de preuves.</w:t>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Pourquoi ce module est important</w:t>
      </w:r>
    </w:p>
    <w:p w:rsidR="00000000" w:rsidDel="00000000" w:rsidP="00000000" w:rsidRDefault="00000000" w:rsidRPr="00000000" w14:paraId="00000012">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13">
      <w:pPr>
        <w:pStyle w:val="Heading2"/>
        <w:rPr/>
      </w:pPr>
      <w:r w:rsidDel="00000000" w:rsidR="00000000" w:rsidRPr="00000000">
        <w:rPr>
          <w:rtl w:val="0"/>
        </w:rPr>
        <w:t xml:space="preserve">Le cours</w:t>
      </w:r>
    </w:p>
    <w:p w:rsidR="00000000" w:rsidDel="00000000" w:rsidP="00000000" w:rsidRDefault="00000000" w:rsidRPr="00000000" w14:paraId="00000014">
      <w:pPr>
        <w:pStyle w:val="Heading3"/>
        <w:rPr/>
      </w:pPr>
      <w:r w:rsidDel="00000000" w:rsidR="00000000" w:rsidRPr="00000000">
        <w:rPr>
          <w:rtl w:val="0"/>
        </w:rPr>
        <w:t xml:space="preserve">1. Calculer revenu net, marge de contribution, CAC et LTV</w:t>
      </w:r>
    </w:p>
    <w:p w:rsidR="00000000" w:rsidDel="00000000" w:rsidP="00000000" w:rsidRDefault="00000000" w:rsidRPr="00000000" w14:paraId="00000015">
      <w:pPr>
        <w:rPr/>
      </w:pPr>
      <w:r w:rsidDel="00000000" w:rsidR="00000000" w:rsidRPr="00000000">
        <w:rPr>
          <w:rtl w:val="0"/>
        </w:rPr>
        <w:t xml:space="preserve">Calculer revenu net, marge de contribution, CAC et LTV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6">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t xml:space="preserve">Le revenu brut ne finance pas seul la croissance.</w:t>
            </w:r>
          </w:p>
        </w:tc>
      </w:tr>
    </w:tbl>
    <w:p w:rsidR="00000000" w:rsidDel="00000000" w:rsidP="00000000" w:rsidRDefault="00000000" w:rsidRPr="00000000" w14:paraId="00000019">
      <w:pPr>
        <w:spacing w:after="20" w:lineRule="auto"/>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 Inclure stores, remboursements, IA, support et contenu</w:t>
      </w:r>
    </w:p>
    <w:p w:rsidR="00000000" w:rsidDel="00000000" w:rsidP="00000000" w:rsidRDefault="00000000" w:rsidRPr="00000000" w14:paraId="0000001B">
      <w:pPr>
        <w:rPr/>
      </w:pPr>
      <w:r w:rsidDel="00000000" w:rsidR="00000000" w:rsidRPr="00000000">
        <w:rPr>
          <w:rtl w:val="0"/>
        </w:rPr>
        <w:t xml:space="preserve">Inclure stores, remboursements, IA, support et contenu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C">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1D">
      <w:pPr>
        <w:pStyle w:val="Heading3"/>
        <w:rPr/>
      </w:pPr>
      <w:r w:rsidDel="00000000" w:rsidR="00000000" w:rsidRPr="00000000">
        <w:rPr>
          <w:rtl w:val="0"/>
        </w:rPr>
        <w:t xml:space="preserve">3. Analyser par cohorte et canal</w:t>
      </w:r>
    </w:p>
    <w:p w:rsidR="00000000" w:rsidDel="00000000" w:rsidP="00000000" w:rsidRDefault="00000000" w:rsidRPr="00000000" w14:paraId="0000001E">
      <w:pPr>
        <w:rPr/>
      </w:pPr>
      <w:r w:rsidDel="00000000" w:rsidR="00000000" w:rsidRPr="00000000">
        <w:rPr>
          <w:rtl w:val="0"/>
        </w:rPr>
        <w:t xml:space="preserve">Analyser par cohorte et canal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1F">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20">
      <w:pPr>
        <w:pStyle w:val="Heading2"/>
        <w:rPr/>
      </w:pPr>
      <w:r w:rsidDel="00000000" w:rsidR="00000000" w:rsidRPr="00000000">
        <w:rPr>
          <w:rtl w:val="0"/>
        </w:rPr>
        <w:t xml:space="preserve">Méthode opérationnelle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28">
      <w:pPr>
        <w:pStyle w:val="Heading2"/>
        <w:rPr/>
      </w:pPr>
      <w:r w:rsidDel="00000000" w:rsidR="00000000" w:rsidRPr="00000000">
        <w:rPr>
          <w:rtl w:val="0"/>
        </w:rPr>
        <w:t xml:space="preserve">Tableau de décision</w:t>
      </w:r>
    </w:p>
    <w:tbl>
      <w:tblPr>
        <w:tblStyle w:val="Table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2D">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2E">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2F">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30">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31">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32">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33">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34">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35">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36">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37">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38">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39">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3A">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3B">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3C">
            <w:pPr>
              <w:rPr/>
            </w:pPr>
            <w:r w:rsidDel="00000000" w:rsidR="00000000" w:rsidRPr="00000000">
              <w:rPr>
                <w:rtl w:val="0"/>
              </w:rPr>
              <w:t xml:space="preserve">Renforcer la boucle</w:t>
            </w:r>
          </w:p>
        </w:tc>
      </w:tr>
    </w:tbl>
    <w:p w:rsidR="00000000" w:rsidDel="00000000" w:rsidP="00000000" w:rsidRDefault="00000000" w:rsidRPr="00000000" w14:paraId="0000003D">
      <w:pPr>
        <w:pStyle w:val="Heading2"/>
        <w:rPr/>
      </w:pPr>
      <w:r w:rsidDel="00000000" w:rsidR="00000000" w:rsidRPr="00000000">
        <w:rPr>
          <w:rtl w:val="0"/>
        </w:rPr>
        <w:t xml:space="preserve">Exemple concret</w:t>
      </w:r>
    </w:p>
    <w:p w:rsidR="00000000" w:rsidDel="00000000" w:rsidP="00000000" w:rsidRDefault="00000000" w:rsidRPr="00000000" w14:paraId="0000003E">
      <w:pPr>
        <w:rPr/>
      </w:pPr>
      <w:r w:rsidDel="00000000" w:rsidR="00000000" w:rsidRPr="00000000">
        <w:rPr>
          <w:rtl w:val="0"/>
        </w:rPr>
        <w:t xml:space="preserve">LTV nette dépasse CAC complet avec payback compatible avec le cash.</w:t>
      </w:r>
    </w:p>
    <w:p w:rsidR="00000000" w:rsidDel="00000000" w:rsidP="00000000" w:rsidRDefault="00000000" w:rsidRPr="00000000" w14:paraId="0000003F">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41">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42">
      <w:pPr>
        <w:spacing w:after="20" w:lineRule="auto"/>
        <w:rPr/>
      </w:pPr>
      <w:r w:rsidDel="00000000" w:rsidR="00000000" w:rsidRPr="00000000">
        <w:rPr>
          <w:rtl w:val="0"/>
        </w:rPr>
      </w:r>
    </w:p>
    <w:tbl>
      <w:tblPr>
        <w:tblStyle w:val="Table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44">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45">
      <w:pPr>
        <w:spacing w:after="2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tl w:val="0"/>
        </w:rPr>
        <w:t xml:space="preserve">Checklist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Unit economics » est écrit en langage utilisateur.</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4D">
      <w:pPr>
        <w:pStyle w:val="Heading2"/>
        <w:rPr/>
      </w:pPr>
      <w:r w:rsidDel="00000000" w:rsidR="00000000" w:rsidRPr="00000000">
        <w:rPr>
          <w:rtl w:val="0"/>
        </w:rPr>
        <w:t xml:space="preserve">Exercice pratique</w:t>
      </w:r>
    </w:p>
    <w:p w:rsidR="00000000" w:rsidDel="00000000" w:rsidP="00000000" w:rsidRDefault="00000000" w:rsidRPr="00000000" w14:paraId="0000004E">
      <w:pPr>
        <w:rPr/>
      </w:pPr>
      <w:r w:rsidDel="00000000" w:rsidR="00000000" w:rsidRPr="00000000">
        <w:rPr>
          <w:rtl w:val="0"/>
        </w:rPr>
        <w:t xml:space="preserve">Choisissez un projet réel. Écrivez une page intitulée « Unit economics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4F">
      <w:pPr>
        <w:pStyle w:val="Heading2"/>
        <w:rPr/>
      </w:pPr>
      <w:r w:rsidDel="00000000" w:rsidR="00000000" w:rsidRPr="00000000">
        <w:rPr>
          <w:rtl w:val="0"/>
        </w:rPr>
        <w:t xml:space="preserve">Résumé</w:t>
      </w:r>
    </w:p>
    <w:p w:rsidR="00000000" w:rsidDel="00000000" w:rsidP="00000000" w:rsidRDefault="00000000" w:rsidRPr="00000000" w14:paraId="00000050">
      <w:pPr>
        <w:rPr/>
      </w:pPr>
      <w:r w:rsidDel="00000000" w:rsidR="00000000" w:rsidRPr="00000000">
        <w:rPr>
          <w:rtl w:val="0"/>
        </w:rPr>
        <w:t xml:space="preserve">Unit economics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51">
      <w:pPr>
        <w:pStyle w:val="Heading2"/>
        <w:rPr/>
      </w:pPr>
      <w:r w:rsidDel="00000000" w:rsidR="00000000" w:rsidRPr="00000000">
        <w:rPr>
          <w:rtl w:val="0"/>
        </w:rPr>
        <w:t xml:space="preserve">Action suivante</w:t>
      </w:r>
    </w:p>
    <w:p w:rsidR="00000000" w:rsidDel="00000000" w:rsidP="00000000" w:rsidRDefault="00000000" w:rsidRPr="00000000" w14:paraId="00000052">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53">
      <w:pPr>
        <w:pStyle w:val="Heading2"/>
        <w:rPr/>
      </w:pPr>
      <w:r w:rsidDel="00000000" w:rsidR="00000000" w:rsidRPr="00000000">
        <w:rPr>
          <w:rtl w:val="0"/>
        </w:rPr>
        <w:t xml:space="preserve">Ressources de travail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Module 2 — Pilotage SaaS</w:t>
      </w:r>
    </w:p>
    <w:tbl>
      <w:tblPr>
        <w:tblStyle w:val="Table7"/>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rtl w:val="0"/>
              </w:rPr>
              <w:t xml:space="preserve">À la fin de ce module, vous saurez appliquer pilotage saas à un SaaS, une application mobile par abonnement ou un jeu mobile, puis décider à partir de preuves.</w:t>
            </w:r>
          </w:p>
        </w:tc>
      </w:tr>
    </w:tbl>
    <w:p w:rsidR="00000000" w:rsidDel="00000000" w:rsidP="00000000" w:rsidRDefault="00000000" w:rsidRPr="00000000" w14:paraId="0000005C">
      <w:pPr>
        <w:spacing w:after="20" w:lineRule="auto"/>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Pourquoi ce module est important</w:t>
      </w:r>
    </w:p>
    <w:p w:rsidR="00000000" w:rsidDel="00000000" w:rsidP="00000000" w:rsidRDefault="00000000" w:rsidRPr="00000000" w14:paraId="0000005E">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5F">
      <w:pPr>
        <w:pStyle w:val="Heading2"/>
        <w:rPr/>
      </w:pPr>
      <w:r w:rsidDel="00000000" w:rsidR="00000000" w:rsidRPr="00000000">
        <w:rPr>
          <w:rtl w:val="0"/>
        </w:rPr>
        <w:t xml:space="preserve">Le cours</w:t>
      </w:r>
    </w:p>
    <w:p w:rsidR="00000000" w:rsidDel="00000000" w:rsidP="00000000" w:rsidRDefault="00000000" w:rsidRPr="00000000" w14:paraId="00000060">
      <w:pPr>
        <w:pStyle w:val="Heading3"/>
        <w:rPr/>
      </w:pPr>
      <w:r w:rsidDel="00000000" w:rsidR="00000000" w:rsidRPr="00000000">
        <w:rPr>
          <w:rtl w:val="0"/>
        </w:rPr>
        <w:t xml:space="preserve">1. Décomposer MRR, churn, expansion, GRR et NRR</w:t>
      </w:r>
    </w:p>
    <w:p w:rsidR="00000000" w:rsidDel="00000000" w:rsidP="00000000" w:rsidRDefault="00000000" w:rsidRPr="00000000" w14:paraId="00000061">
      <w:pPr>
        <w:rPr/>
      </w:pPr>
      <w:r w:rsidDel="00000000" w:rsidR="00000000" w:rsidRPr="00000000">
        <w:rPr>
          <w:rtl w:val="0"/>
        </w:rPr>
        <w:t xml:space="preserve">Décomposer MRR, churn, expansion, GRR et NRR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2">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8"/>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64">
            <w:pPr>
              <w:spacing w:after="0" w:lineRule="auto"/>
              <w:rPr/>
            </w:pPr>
            <w:r w:rsidDel="00000000" w:rsidR="00000000" w:rsidRPr="00000000">
              <w:rPr>
                <w:rtl w:val="0"/>
              </w:rPr>
              <w:t xml:space="preserve">Chaque définition financière doit rester stable.</w:t>
            </w:r>
          </w:p>
        </w:tc>
      </w:tr>
    </w:tbl>
    <w:p w:rsidR="00000000" w:rsidDel="00000000" w:rsidP="00000000" w:rsidRDefault="00000000" w:rsidRPr="00000000" w14:paraId="00000065">
      <w:pPr>
        <w:spacing w:after="20" w:lineRule="auto"/>
        <w:rPr/>
      </w:pPr>
      <w:r w:rsidDel="00000000" w:rsidR="00000000" w:rsidRPr="00000000">
        <w:rPr>
          <w:rtl w:val="0"/>
        </w:rPr>
      </w:r>
    </w:p>
    <w:p w:rsidR="00000000" w:rsidDel="00000000" w:rsidP="00000000" w:rsidRDefault="00000000" w:rsidRPr="00000000" w14:paraId="00000066">
      <w:pPr>
        <w:pStyle w:val="Heading3"/>
        <w:rPr/>
      </w:pPr>
      <w:r w:rsidDel="00000000" w:rsidR="00000000" w:rsidRPr="00000000">
        <w:rPr>
          <w:rtl w:val="0"/>
        </w:rPr>
        <w:t xml:space="preserve">2. Suivre CAC payback, burn multiple et runway</w:t>
      </w:r>
    </w:p>
    <w:p w:rsidR="00000000" w:rsidDel="00000000" w:rsidP="00000000" w:rsidRDefault="00000000" w:rsidRPr="00000000" w14:paraId="00000067">
      <w:pPr>
        <w:rPr/>
      </w:pPr>
      <w:r w:rsidDel="00000000" w:rsidR="00000000" w:rsidRPr="00000000">
        <w:rPr>
          <w:rtl w:val="0"/>
        </w:rPr>
        <w:t xml:space="preserve">Suivre CAC payback, burn multiple et runway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8">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9">
      <w:pPr>
        <w:pStyle w:val="Heading3"/>
        <w:rPr/>
      </w:pPr>
      <w:r w:rsidDel="00000000" w:rsidR="00000000" w:rsidRPr="00000000">
        <w:rPr>
          <w:rtl w:val="0"/>
        </w:rPr>
        <w:t xml:space="preserve">3. Prévoir scénarios base/haut/bas</w:t>
      </w:r>
    </w:p>
    <w:p w:rsidR="00000000" w:rsidDel="00000000" w:rsidP="00000000" w:rsidRDefault="00000000" w:rsidRPr="00000000" w14:paraId="0000006A">
      <w:pPr>
        <w:rPr/>
      </w:pPr>
      <w:r w:rsidDel="00000000" w:rsidR="00000000" w:rsidRPr="00000000">
        <w:rPr>
          <w:rtl w:val="0"/>
        </w:rPr>
        <w:t xml:space="preserve">Prévoir scénarios base/haut/bas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6B">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6C">
      <w:pPr>
        <w:pStyle w:val="Heading2"/>
        <w:rPr/>
      </w:pPr>
      <w:r w:rsidDel="00000000" w:rsidR="00000000" w:rsidRPr="00000000">
        <w:rPr>
          <w:rtl w:val="0"/>
        </w:rPr>
        <w:t xml:space="preserve">Méthode opérationnelle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74">
      <w:pPr>
        <w:pStyle w:val="Heading2"/>
        <w:rPr/>
      </w:pPr>
      <w:r w:rsidDel="00000000" w:rsidR="00000000" w:rsidRPr="00000000">
        <w:rPr>
          <w:rtl w:val="0"/>
        </w:rPr>
        <w:t xml:space="preserve">Tableau de décision</w:t>
      </w:r>
    </w:p>
    <w:tbl>
      <w:tblPr>
        <w:tblStyle w:val="Table9"/>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79">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7A">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7B">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7C">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7D">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7E">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7F">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80">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81">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82">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83">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84">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85">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86">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87">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88">
            <w:pPr>
              <w:rPr/>
            </w:pPr>
            <w:r w:rsidDel="00000000" w:rsidR="00000000" w:rsidRPr="00000000">
              <w:rPr>
                <w:rtl w:val="0"/>
              </w:rPr>
              <w:t xml:space="preserve">Renforcer la boucle</w:t>
            </w:r>
          </w:p>
        </w:tc>
      </w:tr>
    </w:tbl>
    <w:p w:rsidR="00000000" w:rsidDel="00000000" w:rsidP="00000000" w:rsidRDefault="00000000" w:rsidRPr="00000000" w14:paraId="00000089">
      <w:pPr>
        <w:pStyle w:val="Heading2"/>
        <w:rPr/>
      </w:pPr>
      <w:r w:rsidDel="00000000" w:rsidR="00000000" w:rsidRPr="00000000">
        <w:rPr>
          <w:rtl w:val="0"/>
        </w:rPr>
        <w:t xml:space="preserve">Exemple concret</w:t>
      </w:r>
    </w:p>
    <w:p w:rsidR="00000000" w:rsidDel="00000000" w:rsidP="00000000" w:rsidRDefault="00000000" w:rsidRPr="00000000" w14:paraId="0000008A">
      <w:pPr>
        <w:rPr/>
      </w:pPr>
      <w:r w:rsidDel="00000000" w:rsidR="00000000" w:rsidRPr="00000000">
        <w:rPr>
          <w:rtl w:val="0"/>
        </w:rPr>
        <w:t xml:space="preserve">MRR final = initial + new + expansion + reactivation - contraction - churn.</w:t>
      </w:r>
    </w:p>
    <w:p w:rsidR="00000000" w:rsidDel="00000000" w:rsidP="00000000" w:rsidRDefault="00000000" w:rsidRPr="00000000" w14:paraId="0000008B">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0"/>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8E">
      <w:pPr>
        <w:spacing w:after="20" w:lineRule="auto"/>
        <w:rPr/>
      </w:pPr>
      <w:r w:rsidDel="00000000" w:rsidR="00000000" w:rsidRPr="00000000">
        <w:rPr>
          <w:rtl w:val="0"/>
        </w:rPr>
      </w:r>
    </w:p>
    <w:tbl>
      <w:tblPr>
        <w:tblStyle w:val="Table11"/>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Checklist</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Pilotage SaaS » est écrit en langage utilisateur.</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99">
      <w:pPr>
        <w:pStyle w:val="Heading2"/>
        <w:rPr/>
      </w:pPr>
      <w:r w:rsidDel="00000000" w:rsidR="00000000" w:rsidRPr="00000000">
        <w:rPr>
          <w:rtl w:val="0"/>
        </w:rPr>
        <w:t xml:space="preserve">Exercice pratique</w:t>
      </w:r>
    </w:p>
    <w:p w:rsidR="00000000" w:rsidDel="00000000" w:rsidP="00000000" w:rsidRDefault="00000000" w:rsidRPr="00000000" w14:paraId="0000009A">
      <w:pPr>
        <w:rPr/>
      </w:pPr>
      <w:r w:rsidDel="00000000" w:rsidR="00000000" w:rsidRPr="00000000">
        <w:rPr>
          <w:rtl w:val="0"/>
        </w:rPr>
        <w:t xml:space="preserve">Choisissez un projet réel. Écrivez une page intitulée « Pilotage SaaS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9B">
      <w:pPr>
        <w:pStyle w:val="Heading2"/>
        <w:rPr/>
      </w:pPr>
      <w:r w:rsidDel="00000000" w:rsidR="00000000" w:rsidRPr="00000000">
        <w:rPr>
          <w:rtl w:val="0"/>
        </w:rPr>
        <w:t xml:space="preserve">Résumé</w:t>
      </w:r>
    </w:p>
    <w:p w:rsidR="00000000" w:rsidDel="00000000" w:rsidP="00000000" w:rsidRDefault="00000000" w:rsidRPr="00000000" w14:paraId="0000009C">
      <w:pPr>
        <w:rPr/>
      </w:pPr>
      <w:r w:rsidDel="00000000" w:rsidR="00000000" w:rsidRPr="00000000">
        <w:rPr>
          <w:rtl w:val="0"/>
        </w:rPr>
        <w:t xml:space="preserve">Pilotage SaaS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9D">
      <w:pPr>
        <w:pStyle w:val="Heading2"/>
        <w:rPr/>
      </w:pPr>
      <w:r w:rsidDel="00000000" w:rsidR="00000000" w:rsidRPr="00000000">
        <w:rPr>
          <w:rtl w:val="0"/>
        </w:rPr>
        <w:t xml:space="preserve">Action suivante</w:t>
      </w:r>
    </w:p>
    <w:p w:rsidR="00000000" w:rsidDel="00000000" w:rsidP="00000000" w:rsidRDefault="00000000" w:rsidRPr="00000000" w14:paraId="0000009E">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9F">
      <w:pPr>
        <w:pStyle w:val="Heading2"/>
        <w:rPr/>
      </w:pPr>
      <w:r w:rsidDel="00000000" w:rsidR="00000000" w:rsidRPr="00000000">
        <w:rPr>
          <w:rtl w:val="0"/>
        </w:rPr>
        <w:t xml:space="preserve">Ressources de travail</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Module 3 — Budget et trésorerie</w:t>
      </w:r>
    </w:p>
    <w:tbl>
      <w:tblPr>
        <w:tblStyle w:val="Table12"/>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4fa" w:val="clear"/>
            <w:tcMar>
              <w:top w:w="130.0" w:type="dxa"/>
              <w:bottom w:w="130.0" w:type="dxa"/>
            </w:tcMar>
            <w:vAlign w:val="cente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1"/>
                <w:bCs w:val="1"/>
                <w:color w:val="147d7e"/>
                <w:sz w:val="18"/>
                <w:szCs w:val="18"/>
                <w:rtl w:val="0"/>
              </w:rPr>
              <w:t xml:space="preserve">OBJECTIF</w:t>
            </w: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À la fin de ce module, vous saurez appliquer budget et trésorerie à un SaaS, une application mobile par abonnement ou un jeu mobile, puis décider à partir de preuves.</w:t>
            </w:r>
          </w:p>
        </w:tc>
      </w:tr>
    </w:tbl>
    <w:p w:rsidR="00000000" w:rsidDel="00000000" w:rsidP="00000000" w:rsidRDefault="00000000" w:rsidRPr="00000000" w14:paraId="000000A8">
      <w:pPr>
        <w:spacing w:after="20" w:lineRule="auto"/>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Pourquoi ce module est important</w:t>
      </w:r>
    </w:p>
    <w:p w:rsidR="00000000" w:rsidDel="00000000" w:rsidP="00000000" w:rsidRDefault="00000000" w:rsidRPr="00000000" w14:paraId="000000AA">
      <w:pPr>
        <w:rPr/>
      </w:pPr>
      <w:r w:rsidDel="00000000" w:rsidR="00000000" w:rsidRPr="00000000">
        <w:rPr>
          <w:rtl w:val="0"/>
        </w:rPr>
        <w:t xml:space="preserve">Ce sujet transforme une intention générale en système de travail. Le piège classique consiste à copier une tactique visible sans comprendre le mécanisme, le contexte ni la métrique qui prouve sa valeur. Ici, chaque pratique doit être reliée à une hypothèse, un comportement attendu et une décision.</w:t>
      </w:r>
    </w:p>
    <w:p w:rsidR="00000000" w:rsidDel="00000000" w:rsidP="00000000" w:rsidRDefault="00000000" w:rsidRPr="00000000" w14:paraId="000000AB">
      <w:pPr>
        <w:pStyle w:val="Heading2"/>
        <w:rPr/>
      </w:pPr>
      <w:r w:rsidDel="00000000" w:rsidR="00000000" w:rsidRPr="00000000">
        <w:rPr>
          <w:rtl w:val="0"/>
        </w:rPr>
        <w:t xml:space="preserve">Le cours</w:t>
      </w:r>
    </w:p>
    <w:p w:rsidR="00000000" w:rsidDel="00000000" w:rsidP="00000000" w:rsidRDefault="00000000" w:rsidRPr="00000000" w14:paraId="000000AC">
      <w:pPr>
        <w:pStyle w:val="Heading3"/>
        <w:rPr/>
      </w:pPr>
      <w:r w:rsidDel="00000000" w:rsidR="00000000" w:rsidRPr="00000000">
        <w:rPr>
          <w:rtl w:val="0"/>
        </w:rPr>
        <w:t xml:space="preserve">1. Construire forecast glissant</w:t>
      </w:r>
    </w:p>
    <w:p w:rsidR="00000000" w:rsidDel="00000000" w:rsidP="00000000" w:rsidRDefault="00000000" w:rsidRPr="00000000" w14:paraId="000000AD">
      <w:pPr>
        <w:rPr/>
      </w:pPr>
      <w:r w:rsidDel="00000000" w:rsidR="00000000" w:rsidRPr="00000000">
        <w:rPr>
          <w:rtl w:val="0"/>
        </w:rPr>
        <w:t xml:space="preserve">Construire forecast glissant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AE">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tbl>
      <w:tblPr>
        <w:tblStyle w:val="Table13"/>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eaf6ef" w:val="clear"/>
            <w:tcMar>
              <w:top w:w="130.0" w:type="dxa"/>
              <w:bottom w:w="130.0" w:type="dxa"/>
            </w:tcMar>
            <w:vAlign w:val="cente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1"/>
                <w:bCs w:val="1"/>
                <w:color w:val="147d7e"/>
                <w:sz w:val="18"/>
                <w:szCs w:val="18"/>
                <w:rtl w:val="0"/>
              </w:rPr>
              <w:t xml:space="preserve">À RETENIR</w:t>
            </w:r>
            <w:r w:rsidDel="00000000" w:rsidR="00000000" w:rsidRPr="00000000">
              <w:rPr>
                <w:rtl w:val="0"/>
              </w:rPr>
            </w:r>
          </w:p>
          <w:p w:rsidR="00000000" w:rsidDel="00000000" w:rsidP="00000000" w:rsidRDefault="00000000" w:rsidRPr="00000000" w14:paraId="000000B0">
            <w:pPr>
              <w:spacing w:after="0" w:lineRule="auto"/>
              <w:rPr/>
            </w:pPr>
            <w:r w:rsidDel="00000000" w:rsidR="00000000" w:rsidRPr="00000000">
              <w:rPr>
                <w:rtl w:val="0"/>
              </w:rPr>
              <w:t xml:space="preserve">Profitabilité et trésorerie ne sont pas synonymes.</w:t>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2. Relier dépenses aux jalons</w:t>
      </w:r>
    </w:p>
    <w:p w:rsidR="00000000" w:rsidDel="00000000" w:rsidP="00000000" w:rsidRDefault="00000000" w:rsidRPr="00000000" w14:paraId="000000B3">
      <w:pPr>
        <w:rPr/>
      </w:pPr>
      <w:r w:rsidDel="00000000" w:rsidR="00000000" w:rsidRPr="00000000">
        <w:rPr>
          <w:rtl w:val="0"/>
        </w:rPr>
        <w:t xml:space="preserve">Relier dépenses aux jalons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4">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5">
      <w:pPr>
        <w:pStyle w:val="Heading3"/>
        <w:rPr/>
      </w:pPr>
      <w:r w:rsidDel="00000000" w:rsidR="00000000" w:rsidRPr="00000000">
        <w:rPr>
          <w:rtl w:val="0"/>
        </w:rPr>
        <w:t xml:space="preserve">3. Planifier taxes, stores et décalages de cash</w:t>
      </w:r>
    </w:p>
    <w:p w:rsidR="00000000" w:rsidDel="00000000" w:rsidP="00000000" w:rsidRDefault="00000000" w:rsidRPr="00000000" w14:paraId="000000B6">
      <w:pPr>
        <w:rPr/>
      </w:pPr>
      <w:r w:rsidDel="00000000" w:rsidR="00000000" w:rsidRPr="00000000">
        <w:rPr>
          <w:rtl w:val="0"/>
        </w:rPr>
        <w:t xml:space="preserve">Planifier taxes, stores et décalages de cash exige d’abord une définition opérationnelle : qui agit, dans quel contexte, pour obtenir quel résultat, et dans quel délai. Pour éviter les décisions vagues, consignez l’état de départ, la modification proposée, le signal attendu et le coût maximal acceptable.</w:t>
      </w:r>
    </w:p>
    <w:p w:rsidR="00000000" w:rsidDel="00000000" w:rsidP="00000000" w:rsidRDefault="00000000" w:rsidRPr="00000000" w14:paraId="000000B7">
      <w:pPr>
        <w:rPr/>
      </w:pPr>
      <w:r w:rsidDel="00000000" w:rsidR="00000000" w:rsidRPr="00000000">
        <w:rPr>
          <w:rtl w:val="0"/>
        </w:rPr>
        <w:t xml:space="preserve">Appliquez ensuite le principe séparément aux trois modèles. Dans un SaaS, la valeur est souvent liée au workflow, à la collaboration ou au revenu. Dans une app par abonnement, elle dépend du time-to-value, de la fréquence d’usage et du renouvellement. Dans un jeu mobile, elle dépend de la boucle de jeu, du contenu, de la progression et de l’économie virtuelle. Les mêmes mots ne désignent donc pas toujours les mêmes comportements.</w:t>
      </w:r>
    </w:p>
    <w:p w:rsidR="00000000" w:rsidDel="00000000" w:rsidP="00000000" w:rsidRDefault="00000000" w:rsidRPr="00000000" w14:paraId="000000B8">
      <w:pPr>
        <w:pStyle w:val="Heading2"/>
        <w:rPr/>
      </w:pPr>
      <w:r w:rsidDel="00000000" w:rsidR="00000000" w:rsidRPr="00000000">
        <w:rPr>
          <w:rtl w:val="0"/>
        </w:rPr>
        <w:t xml:space="preserve">Méthode opérationnelle</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Formuler le problème en une phrase observable.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Choisir un segment et un contexte précis.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Définir l’événement de succès et deux métriques de garde-fou.</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Construire la plus petite expérience crédible.</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Lire les résultats par cohorte, pas seulement en moyenne.</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Décider : déployer, itérer, arrêter ou approfondir.</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Documenter l’apprentissage dans le journal produit.</w:t>
      </w:r>
    </w:p>
    <w:p w:rsidR="00000000" w:rsidDel="00000000" w:rsidP="00000000" w:rsidRDefault="00000000" w:rsidRPr="00000000" w14:paraId="000000C0">
      <w:pPr>
        <w:pStyle w:val="Heading2"/>
        <w:rPr/>
      </w:pPr>
      <w:r w:rsidDel="00000000" w:rsidR="00000000" w:rsidRPr="00000000">
        <w:rPr>
          <w:rtl w:val="0"/>
        </w:rPr>
        <w:t xml:space="preserve">Tableau de décision</w:t>
      </w:r>
    </w:p>
    <w:tbl>
      <w:tblPr>
        <w:tblStyle w:val="Table14"/>
        <w:tblW w:w="9876.0" w:type="dxa"/>
        <w:jc w:val="left"/>
        <w:tblInd w:w="-115.0" w:type="dxa"/>
        <w:tblLayout w:type="fixed"/>
        <w:tblLook w:val="0400"/>
      </w:tblPr>
      <w:tblGrid>
        <w:gridCol w:w="2469"/>
        <w:gridCol w:w="2469"/>
        <w:gridCol w:w="2469"/>
        <w:gridCol w:w="2469"/>
        <w:tblGridChange w:id="0">
          <w:tblGrid>
            <w:gridCol w:w="2469"/>
            <w:gridCol w:w="2469"/>
            <w:gridCol w:w="2469"/>
            <w:gridCol w:w="2469"/>
          </w:tblGrid>
        </w:tblGridChange>
      </w:tblGrid>
      <w:tr>
        <w:trPr>
          <w:cantSplit w:val="0"/>
          <w:tblHeader w:val="0"/>
        </w:trPr>
        <w:tc>
          <w:tcPr>
            <w:shd w:fill="18324a" w:val="clear"/>
            <w:tcMar>
              <w:top w:w="100.0" w:type="dxa"/>
              <w:bottom w:w="10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ffffff"/>
                <w:rtl w:val="0"/>
              </w:rPr>
              <w:t xml:space="preserve">Question</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rtl w:val="0"/>
              </w:rPr>
              <w:t xml:space="preserve">Preuve attendue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rtl w:val="0"/>
              </w:rPr>
              <w:t xml:space="preserve">Métrique</w:t>
            </w:r>
            <w:r w:rsidDel="00000000" w:rsidR="00000000" w:rsidRPr="00000000">
              <w:rPr>
                <w:rtl w:val="0"/>
              </w:rPr>
            </w:r>
          </w:p>
        </w:tc>
        <w:tc>
          <w:tcPr>
            <w:shd w:fill="18324a" w:val="clear"/>
            <w:tcMar>
              <w:top w:w="100.0" w:type="dxa"/>
              <w:bottom w:w="10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rtl w:val="0"/>
              </w:rPr>
              <w:t xml:space="preserve">Décision</w:t>
            </w:r>
            <w:r w:rsidDel="00000000" w:rsidR="00000000" w:rsidRPr="00000000">
              <w:rPr>
                <w:rtl w:val="0"/>
              </w:rPr>
            </w:r>
          </w:p>
        </w:tc>
      </w:tr>
      <w:tr>
        <w:trPr>
          <w:cantSplit w:val="0"/>
          <w:tblHeader w:val="0"/>
        </w:trPr>
        <w:tc>
          <w:tcPr>
            <w:tcMar>
              <w:top w:w="100.0" w:type="dxa"/>
              <w:bottom w:w="100.0" w:type="dxa"/>
            </w:tcMar>
            <w:vAlign w:val="center"/>
          </w:tcPr>
          <w:p w:rsidR="00000000" w:rsidDel="00000000" w:rsidP="00000000" w:rsidRDefault="00000000" w:rsidRPr="00000000" w14:paraId="000000C5">
            <w:pPr>
              <w:rPr/>
            </w:pPr>
            <w:r w:rsidDel="00000000" w:rsidR="00000000" w:rsidRPr="00000000">
              <w:rPr>
                <w:rtl w:val="0"/>
              </w:rPr>
              <w:t xml:space="preserve">Le problème est-il réel ?</w:t>
            </w:r>
          </w:p>
        </w:tc>
        <w:tc>
          <w:tcPr>
            <w:tcMar>
              <w:top w:w="100.0" w:type="dxa"/>
              <w:bottom w:w="100.0" w:type="dxa"/>
            </w:tcMar>
            <w:vAlign w:val="center"/>
          </w:tcPr>
          <w:p w:rsidR="00000000" w:rsidDel="00000000" w:rsidP="00000000" w:rsidRDefault="00000000" w:rsidRPr="00000000" w14:paraId="000000C6">
            <w:pPr>
              <w:rPr/>
            </w:pPr>
            <w:r w:rsidDel="00000000" w:rsidR="00000000" w:rsidRPr="00000000">
              <w:rPr>
                <w:rtl w:val="0"/>
              </w:rPr>
              <w:t xml:space="preserve">Comportement ou dépense actuelle</w:t>
            </w:r>
          </w:p>
        </w:tc>
        <w:tc>
          <w:tcPr>
            <w:tcMar>
              <w:top w:w="100.0" w:type="dxa"/>
              <w:bottom w:w="100.0" w:type="dxa"/>
            </w:tcMar>
            <w:vAlign w:val="center"/>
          </w:tcPr>
          <w:p w:rsidR="00000000" w:rsidDel="00000000" w:rsidP="00000000" w:rsidRDefault="00000000" w:rsidRPr="00000000" w14:paraId="000000C7">
            <w:pPr>
              <w:rPr/>
            </w:pPr>
            <w:r w:rsidDel="00000000" w:rsidR="00000000" w:rsidRPr="00000000">
              <w:rPr>
                <w:rtl w:val="0"/>
              </w:rPr>
              <w:t xml:space="preserve">Fréquence / intensité</w:t>
            </w:r>
          </w:p>
        </w:tc>
        <w:tc>
          <w:tcPr>
            <w:tcMar>
              <w:top w:w="100.0" w:type="dxa"/>
              <w:bottom w:w="100.0" w:type="dxa"/>
            </w:tcMar>
            <w:vAlign w:val="center"/>
          </w:tcPr>
          <w:p w:rsidR="00000000" w:rsidDel="00000000" w:rsidP="00000000" w:rsidRDefault="00000000" w:rsidRPr="00000000" w14:paraId="000000C8">
            <w:pPr>
              <w:rPr/>
            </w:pPr>
            <w:r w:rsidDel="00000000" w:rsidR="00000000" w:rsidRPr="00000000">
              <w:rPr>
                <w:rtl w:val="0"/>
              </w:rPr>
              <w:t xml:space="preserve">Continuer ou changer de segment</w:t>
            </w:r>
          </w:p>
        </w:tc>
      </w:tr>
      <w:tr>
        <w:trPr>
          <w:cantSplit w:val="0"/>
          <w:tblHeader w:val="0"/>
        </w:trPr>
        <w:tc>
          <w:tcPr>
            <w:tcMar>
              <w:top w:w="100.0" w:type="dxa"/>
              <w:bottom w:w="100.0" w:type="dxa"/>
            </w:tcMar>
            <w:vAlign w:val="center"/>
          </w:tcPr>
          <w:p w:rsidR="00000000" w:rsidDel="00000000" w:rsidP="00000000" w:rsidRDefault="00000000" w:rsidRPr="00000000" w14:paraId="000000C9">
            <w:pPr>
              <w:rPr/>
            </w:pPr>
            <w:r w:rsidDel="00000000" w:rsidR="00000000" w:rsidRPr="00000000">
              <w:rPr>
                <w:rtl w:val="0"/>
              </w:rPr>
              <w:t xml:space="preserve">La valeur est-elle comprise ?</w:t>
            </w:r>
          </w:p>
        </w:tc>
        <w:tc>
          <w:tcPr>
            <w:tcMar>
              <w:top w:w="100.0" w:type="dxa"/>
              <w:bottom w:w="100.0" w:type="dxa"/>
            </w:tcMar>
            <w:vAlign w:val="center"/>
          </w:tcPr>
          <w:p w:rsidR="00000000" w:rsidDel="00000000" w:rsidP="00000000" w:rsidRDefault="00000000" w:rsidRPr="00000000" w14:paraId="000000CA">
            <w:pPr>
              <w:rPr/>
            </w:pPr>
            <w:r w:rsidDel="00000000" w:rsidR="00000000" w:rsidRPr="00000000">
              <w:rPr>
                <w:rtl w:val="0"/>
              </w:rPr>
              <w:t xml:space="preserve">Résultat obtenu sans aide</w:t>
            </w:r>
          </w:p>
        </w:tc>
        <w:tc>
          <w:tcPr>
            <w:tcMar>
              <w:top w:w="100.0" w:type="dxa"/>
              <w:bottom w:w="100.0" w:type="dxa"/>
            </w:tcMar>
            <w:vAlign w:val="center"/>
          </w:tcPr>
          <w:p w:rsidR="00000000" w:rsidDel="00000000" w:rsidP="00000000" w:rsidRDefault="00000000" w:rsidRPr="00000000" w14:paraId="000000CB">
            <w:pPr>
              <w:rPr/>
            </w:pPr>
            <w:r w:rsidDel="00000000" w:rsidR="00000000" w:rsidRPr="00000000">
              <w:rPr>
                <w:rtl w:val="0"/>
              </w:rPr>
              <w:t xml:space="preserve">Activation / TTV</w:t>
            </w:r>
          </w:p>
        </w:tc>
        <w:tc>
          <w:tcPr>
            <w:tcMar>
              <w:top w:w="100.0" w:type="dxa"/>
              <w:bottom w:w="100.0" w:type="dxa"/>
            </w:tcMar>
            <w:vAlign w:val="center"/>
          </w:tcPr>
          <w:p w:rsidR="00000000" w:rsidDel="00000000" w:rsidP="00000000" w:rsidRDefault="00000000" w:rsidRPr="00000000" w14:paraId="000000CC">
            <w:pPr>
              <w:rPr/>
            </w:pPr>
            <w:r w:rsidDel="00000000" w:rsidR="00000000" w:rsidRPr="00000000">
              <w:rPr>
                <w:rtl w:val="0"/>
              </w:rPr>
              <w:t xml:space="preserve">Simplifier le parcours</w:t>
            </w:r>
          </w:p>
        </w:tc>
      </w:tr>
      <w:tr>
        <w:trPr>
          <w:cantSplit w:val="0"/>
          <w:tblHeader w:val="0"/>
        </w:trPr>
        <w:tc>
          <w:tcPr>
            <w:tcMar>
              <w:top w:w="100.0" w:type="dxa"/>
              <w:bottom w:w="100.0" w:type="dxa"/>
            </w:tcMar>
            <w:vAlign w:val="center"/>
          </w:tcPr>
          <w:p w:rsidR="00000000" w:rsidDel="00000000" w:rsidP="00000000" w:rsidRDefault="00000000" w:rsidRPr="00000000" w14:paraId="000000CD">
            <w:pPr>
              <w:rPr/>
            </w:pPr>
            <w:r w:rsidDel="00000000" w:rsidR="00000000" w:rsidRPr="00000000">
              <w:rPr>
                <w:rtl w:val="0"/>
              </w:rPr>
              <w:t xml:space="preserve">L’économie tient-elle ?</w:t>
            </w:r>
          </w:p>
        </w:tc>
        <w:tc>
          <w:tcPr>
            <w:tcMar>
              <w:top w:w="100.0" w:type="dxa"/>
              <w:bottom w:w="100.0" w:type="dxa"/>
            </w:tcMar>
            <w:vAlign w:val="center"/>
          </w:tcPr>
          <w:p w:rsidR="00000000" w:rsidDel="00000000" w:rsidP="00000000" w:rsidRDefault="00000000" w:rsidRPr="00000000" w14:paraId="000000CE">
            <w:pPr>
              <w:rPr/>
            </w:pPr>
            <w:r w:rsidDel="00000000" w:rsidR="00000000" w:rsidRPr="00000000">
              <w:rPr>
                <w:rtl w:val="0"/>
              </w:rPr>
              <w:t xml:space="preserve">Revenu net par cohorte</w:t>
            </w:r>
          </w:p>
        </w:tc>
        <w:tc>
          <w:tcPr>
            <w:tcMar>
              <w:top w:w="100.0" w:type="dxa"/>
              <w:bottom w:w="100.0" w:type="dxa"/>
            </w:tcMar>
            <w:vAlign w:val="center"/>
          </w:tcPr>
          <w:p w:rsidR="00000000" w:rsidDel="00000000" w:rsidP="00000000" w:rsidRDefault="00000000" w:rsidRPr="00000000" w14:paraId="000000CF">
            <w:pPr>
              <w:rPr/>
            </w:pPr>
            <w:r w:rsidDel="00000000" w:rsidR="00000000" w:rsidRPr="00000000">
              <w:rPr>
                <w:rtl w:val="0"/>
              </w:rPr>
              <w:t xml:space="preserve">LTV nette / CAC</w:t>
            </w:r>
          </w:p>
        </w:tc>
        <w:tc>
          <w:tcPr>
            <w:tcMar>
              <w:top w:w="100.0" w:type="dxa"/>
              <w:bottom w:w="100.0" w:type="dxa"/>
            </w:tcMar>
            <w:vAlign w:val="center"/>
          </w:tcPr>
          <w:p w:rsidR="00000000" w:rsidDel="00000000" w:rsidP="00000000" w:rsidRDefault="00000000" w:rsidRPr="00000000" w14:paraId="000000D0">
            <w:pPr>
              <w:rPr/>
            </w:pPr>
            <w:r w:rsidDel="00000000" w:rsidR="00000000" w:rsidRPr="00000000">
              <w:rPr>
                <w:rtl w:val="0"/>
              </w:rPr>
              <w:t xml:space="preserve">Scaler ou corriger</w:t>
            </w:r>
          </w:p>
        </w:tc>
      </w:tr>
      <w:tr>
        <w:trPr>
          <w:cantSplit w:val="0"/>
          <w:tblHeader w:val="0"/>
        </w:trPr>
        <w:tc>
          <w:tcPr>
            <w:tcMar>
              <w:top w:w="100.0" w:type="dxa"/>
              <w:bottom w:w="100.0" w:type="dxa"/>
            </w:tcMar>
            <w:vAlign w:val="center"/>
          </w:tcPr>
          <w:p w:rsidR="00000000" w:rsidDel="00000000" w:rsidP="00000000" w:rsidRDefault="00000000" w:rsidRPr="00000000" w14:paraId="000000D1">
            <w:pPr>
              <w:rPr/>
            </w:pPr>
            <w:r w:rsidDel="00000000" w:rsidR="00000000" w:rsidRPr="00000000">
              <w:rPr>
                <w:rtl w:val="0"/>
              </w:rPr>
              <w:t xml:space="preserve">Le comportement dure-t-il ?</w:t>
            </w:r>
          </w:p>
        </w:tc>
        <w:tc>
          <w:tcPr>
            <w:tcMar>
              <w:top w:w="100.0" w:type="dxa"/>
              <w:bottom w:w="100.0" w:type="dxa"/>
            </w:tcMar>
            <w:vAlign w:val="center"/>
          </w:tcPr>
          <w:p w:rsidR="00000000" w:rsidDel="00000000" w:rsidP="00000000" w:rsidRDefault="00000000" w:rsidRPr="00000000" w14:paraId="000000D2">
            <w:pPr>
              <w:rPr/>
            </w:pPr>
            <w:r w:rsidDel="00000000" w:rsidR="00000000" w:rsidRPr="00000000">
              <w:rPr>
                <w:rtl w:val="0"/>
              </w:rPr>
              <w:t xml:space="preserve">Retour après nouveauté</w:t>
            </w:r>
          </w:p>
        </w:tc>
        <w:tc>
          <w:tcPr>
            <w:tcMar>
              <w:top w:w="100.0" w:type="dxa"/>
              <w:bottom w:w="100.0" w:type="dxa"/>
            </w:tcMar>
            <w:vAlign w:val="center"/>
          </w:tcPr>
          <w:p w:rsidR="00000000" w:rsidDel="00000000" w:rsidP="00000000" w:rsidRDefault="00000000" w:rsidRPr="00000000" w14:paraId="000000D3">
            <w:pPr>
              <w:rPr/>
            </w:pPr>
            <w:r w:rsidDel="00000000" w:rsidR="00000000" w:rsidRPr="00000000">
              <w:rPr>
                <w:rtl w:val="0"/>
              </w:rPr>
              <w:t xml:space="preserve">Rétention / churn</w:t>
            </w:r>
          </w:p>
        </w:tc>
        <w:tc>
          <w:tcPr>
            <w:tcMar>
              <w:top w:w="100.0" w:type="dxa"/>
              <w:bottom w:w="100.0" w:type="dxa"/>
            </w:tcMar>
            <w:vAlign w:val="center"/>
          </w:tcPr>
          <w:p w:rsidR="00000000" w:rsidDel="00000000" w:rsidP="00000000" w:rsidRDefault="00000000" w:rsidRPr="00000000" w14:paraId="000000D4">
            <w:pPr>
              <w:rPr/>
            </w:pPr>
            <w:r w:rsidDel="00000000" w:rsidR="00000000" w:rsidRPr="00000000">
              <w:rPr>
                <w:rtl w:val="0"/>
              </w:rPr>
              <w:t xml:space="preserve">Renforcer la boucle</w:t>
            </w:r>
          </w:p>
        </w:tc>
      </w:tr>
    </w:tbl>
    <w:p w:rsidR="00000000" w:rsidDel="00000000" w:rsidP="00000000" w:rsidRDefault="00000000" w:rsidRPr="00000000" w14:paraId="000000D5">
      <w:pPr>
        <w:pStyle w:val="Heading2"/>
        <w:rPr/>
      </w:pPr>
      <w:r w:rsidDel="00000000" w:rsidR="00000000" w:rsidRPr="00000000">
        <w:rPr>
          <w:rtl w:val="0"/>
        </w:rPr>
        <w:t xml:space="preserve">Exemple concret</w:t>
      </w:r>
    </w:p>
    <w:p w:rsidR="00000000" w:rsidDel="00000000" w:rsidP="00000000" w:rsidRDefault="00000000" w:rsidRPr="00000000" w14:paraId="000000D6">
      <w:pPr>
        <w:rPr/>
      </w:pPr>
      <w:r w:rsidDel="00000000" w:rsidR="00000000" w:rsidRPr="00000000">
        <w:rPr>
          <w:rtl w:val="0"/>
        </w:rPr>
        <w:t xml:space="preserve">Un annuel encaisse tôt mais crée une obligation de service future.</w:t>
      </w:r>
    </w:p>
    <w:p w:rsidR="00000000" w:rsidDel="00000000" w:rsidP="00000000" w:rsidRDefault="00000000" w:rsidRPr="00000000" w14:paraId="000000D7">
      <w:pPr>
        <w:rPr/>
      </w:pPr>
      <w:r w:rsidDel="00000000" w:rsidR="00000000" w:rsidRPr="00000000">
        <w:rPr>
          <w:rtl w:val="0"/>
        </w:rPr>
        <w:t xml:space="preserve">Version SaaS : reliez le test à un workflow et à une unité économique. Version abonnement : observez installation, activation, paywall, trial, paiement et renouvellement. Version jeu : observez tutoriel, première session, retour, progression, économie et dépense. Le scénario est identique dans sa logique, mais les seuils sont propres au produit.</w:t>
      </w:r>
    </w:p>
    <w:tbl>
      <w:tblPr>
        <w:tblStyle w:val="Table15"/>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ff4d6" w:val="clear"/>
            <w:tcMar>
              <w:top w:w="130.0" w:type="dxa"/>
              <w:bottom w:w="130.0" w:type="dxa"/>
            </w:tcMar>
            <w:vAlign w:val="cente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1"/>
                <w:bCs w:val="1"/>
                <w:color w:val="147d7e"/>
                <w:sz w:val="18"/>
                <w:szCs w:val="18"/>
                <w:rtl w:val="0"/>
              </w:rPr>
              <w:t xml:space="preserve">ATTENTION</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rtl w:val="0"/>
              </w:rPr>
              <w:t xml:space="preserve">Une amélioration locale peut détériorer le système global. Un paywall plus agressif peut augmenter les trials tout en réduisant la rétention, la confiance ou la LTV. Conservez toujours des métriques de garde-fou.</w:t>
            </w:r>
          </w:p>
        </w:tc>
      </w:tr>
    </w:tbl>
    <w:p w:rsidR="00000000" w:rsidDel="00000000" w:rsidP="00000000" w:rsidRDefault="00000000" w:rsidRPr="00000000" w14:paraId="000000DA">
      <w:pPr>
        <w:spacing w:after="20" w:lineRule="auto"/>
        <w:rPr/>
      </w:pPr>
      <w:r w:rsidDel="00000000" w:rsidR="00000000" w:rsidRPr="00000000">
        <w:rPr>
          <w:rtl w:val="0"/>
        </w:rPr>
      </w:r>
    </w:p>
    <w:tbl>
      <w:tblPr>
        <w:tblStyle w:val="Table16"/>
        <w:tblW w:w="9720.0" w:type="dxa"/>
        <w:jc w:val="left"/>
        <w:tblInd w:w="-115.0" w:type="dxa"/>
        <w:tblLayout w:type="fixed"/>
        <w:tblLook w:val="0400"/>
      </w:tblPr>
      <w:tblGrid>
        <w:gridCol w:w="9720"/>
        <w:tblGridChange w:id="0">
          <w:tblGrid>
            <w:gridCol w:w="9720"/>
          </w:tblGrid>
        </w:tblGridChange>
      </w:tblGrid>
      <w:tr>
        <w:trPr>
          <w:cantSplit w:val="0"/>
          <w:tblHeader w:val="0"/>
        </w:trPr>
        <w:tc>
          <w:tcPr>
            <w:shd w:fill="fcebec" w:val="clear"/>
            <w:tcMar>
              <w:top w:w="130.0" w:type="dxa"/>
              <w:bottom w:w="130.0" w:type="dxa"/>
            </w:tcMar>
            <w:vAlign w:val="cente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1"/>
                <w:bCs w:val="1"/>
                <w:color w:val="a33a3a"/>
                <w:sz w:val="18"/>
                <w:szCs w:val="18"/>
                <w:rtl w:val="0"/>
              </w:rPr>
              <w:t xml:space="preserve">ERREUR FRÉQUENTE</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tl w:val="0"/>
              </w:rPr>
              <w:t xml:space="preserve">Décider à partir d’un benchmark générique sans vérifier le segment, le pays, le modèle, la fenêtre et la qualité de la cohorte.</w:t>
            </w:r>
          </w:p>
        </w:tc>
      </w:tr>
    </w:tbl>
    <w:p w:rsidR="00000000" w:rsidDel="00000000" w:rsidP="00000000" w:rsidRDefault="00000000" w:rsidRPr="00000000" w14:paraId="000000DD">
      <w:pPr>
        <w:spacing w:after="2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Checklist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résultat attendu de « Budget et trésorerie » est écrit en langage utilisateur.</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segment et le contexte sont explicites.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Une métrique primaire et deux garde-fous sont définis.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analytics nécessaires existent.</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 test a une durée et une règle d’arrêt.</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La décision et l’apprentissage seront consignés.</w:t>
      </w:r>
    </w:p>
    <w:p w:rsidR="00000000" w:rsidDel="00000000" w:rsidP="00000000" w:rsidRDefault="00000000" w:rsidRPr="00000000" w14:paraId="000000E5">
      <w:pPr>
        <w:pStyle w:val="Heading2"/>
        <w:rPr/>
      </w:pPr>
      <w:r w:rsidDel="00000000" w:rsidR="00000000" w:rsidRPr="00000000">
        <w:rPr>
          <w:rtl w:val="0"/>
        </w:rPr>
        <w:t xml:space="preserve">Exercice pratique</w:t>
      </w:r>
    </w:p>
    <w:p w:rsidR="00000000" w:rsidDel="00000000" w:rsidP="00000000" w:rsidRDefault="00000000" w:rsidRPr="00000000" w14:paraId="000000E6">
      <w:pPr>
        <w:rPr/>
      </w:pPr>
      <w:r w:rsidDel="00000000" w:rsidR="00000000" w:rsidRPr="00000000">
        <w:rPr>
          <w:rtl w:val="0"/>
        </w:rPr>
        <w:t xml:space="preserve">Choisissez un projet réel. Écrivez une page intitulée « Budget et trésorerie » avec : problème, segment, comportement actuel, hypothèse, expérience de sept jours, métrique primaire, garde-fous et quatre décisions possibles. Faites relire la page par une personne qui ne connaît pas le projet : elle doit pouvoir exécuter le test sans explication orale.</w:t>
      </w:r>
    </w:p>
    <w:p w:rsidR="00000000" w:rsidDel="00000000" w:rsidP="00000000" w:rsidRDefault="00000000" w:rsidRPr="00000000" w14:paraId="000000E7">
      <w:pPr>
        <w:pStyle w:val="Heading2"/>
        <w:rPr/>
      </w:pPr>
      <w:r w:rsidDel="00000000" w:rsidR="00000000" w:rsidRPr="00000000">
        <w:rPr>
          <w:rtl w:val="0"/>
        </w:rPr>
        <w:t xml:space="preserve">Résumé</w:t>
      </w:r>
    </w:p>
    <w:p w:rsidR="00000000" w:rsidDel="00000000" w:rsidP="00000000" w:rsidRDefault="00000000" w:rsidRPr="00000000" w14:paraId="000000E8">
      <w:pPr>
        <w:rPr/>
      </w:pPr>
      <w:r w:rsidDel="00000000" w:rsidR="00000000" w:rsidRPr="00000000">
        <w:rPr>
          <w:rtl w:val="0"/>
        </w:rPr>
        <w:t xml:space="preserve">Budget et trésorerie devient utile lorsqu’il relie une observation à une décision. Travaillez par segment et cohorte, adaptez la méthode au modèle économique, mesurez la valeur réelle et protégez la confiance. La qualité du système d’apprentissage compte davantage qu’une tactique isolée.</w:t>
      </w:r>
    </w:p>
    <w:p w:rsidR="00000000" w:rsidDel="00000000" w:rsidP="00000000" w:rsidRDefault="00000000" w:rsidRPr="00000000" w14:paraId="000000E9">
      <w:pPr>
        <w:pStyle w:val="Heading2"/>
        <w:rPr/>
      </w:pPr>
      <w:r w:rsidDel="00000000" w:rsidR="00000000" w:rsidRPr="00000000">
        <w:rPr>
          <w:rtl w:val="0"/>
        </w:rPr>
        <w:t xml:space="preserve">Action suivante</w:t>
      </w:r>
    </w:p>
    <w:p w:rsidR="00000000" w:rsidDel="00000000" w:rsidP="00000000" w:rsidRDefault="00000000" w:rsidRPr="00000000" w14:paraId="000000EA">
      <w:pPr>
        <w:rPr/>
      </w:pPr>
      <w:r w:rsidDel="00000000" w:rsidR="00000000" w:rsidRPr="00000000">
        <w:rPr>
          <w:rtl w:val="0"/>
        </w:rPr>
        <w:t xml:space="preserve">Créer la fiche d’expérience, attribuer un propriétaire, instrumenter les événements manquants et fixer la date de revue avant de passer au module suivant.</w:t>
      </w:r>
    </w:p>
    <w:p w:rsidR="00000000" w:rsidDel="00000000" w:rsidP="00000000" w:rsidRDefault="00000000" w:rsidRPr="00000000" w14:paraId="000000EB">
      <w:pPr>
        <w:pStyle w:val="Heading2"/>
        <w:rPr/>
      </w:pPr>
      <w:r w:rsidDel="00000000" w:rsidR="00000000" w:rsidRPr="00000000">
        <w:rPr>
          <w:rtl w:val="0"/>
        </w:rPr>
        <w:t xml:space="preserve">Ressources de travail</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Journal d’hypothèses et décisions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Plan de tracking et dictionnaire d’événements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Tableau de cohortes par canal, pays et version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Bibliothèque : framework, checklist et modèle de test A/B associés</w:t>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Scorecard de fin de catégorie</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peux expliquer chaque mécanisme sans jargon.</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sais adapter chaque méthode aux trois modèles.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Je dispose d’une preuve qualitative et d’une preuve quantitative.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Les événements et définitions sont documentés.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8.00000000000006" w:lineRule="auto"/>
        <w:ind w:left="360" w:right="0" w:hanging="360"/>
        <w:jc w:val="left"/>
        <w:rPr/>
      </w:pPr>
      <w:r w:rsidDel="00000000" w:rsidR="00000000" w:rsidRPr="00000000">
        <w:rPr>
          <w:rFonts w:ascii="Arial" w:cs="Arial" w:eastAsia="Arial" w:hAnsi="Arial"/>
          <w:b w:val="0"/>
          <w:bCs w:val="0"/>
          <w:i w:val="0"/>
          <w:iCs w:val="0"/>
          <w:smallCaps w:val="0"/>
          <w:strike w:val="0"/>
          <w:color w:val="147d7e"/>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d2733"/>
          <w:sz w:val="21"/>
          <w:szCs w:val="21"/>
          <w:u w:val="none"/>
          <w:shd w:fill="auto" w:val="clear"/>
          <w:vertAlign w:val="baseline"/>
          <w:rtl w:val="0"/>
        </w:rPr>
        <w:t xml:space="preserve">J’ai une décision explicite et une prochaine expérience.</w:t>
      </w:r>
    </w:p>
    <w:sectPr>
      <w:footerReference r:id="rId6" w:type="default"/>
      <w:pgSz w:h="15840" w:w="12240" w:orient="portrait"/>
      <w:pgMar w:bottom="1123" w:top="1123"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1d2733"/>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66727e"/>
        <w:sz w:val="16"/>
        <w:szCs w:val="16"/>
        <w:u w:val="none"/>
        <w:shd w:fill="auto" w:val="clear"/>
        <w:vertAlign w:val="baseline"/>
        <w:rtl w:val="0"/>
      </w:rPr>
      <w:t xml:space="preserve">Finance  •  Édition 1.0  •  Août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d2733"/>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pPr>
    <w:rPr>
      <w:rFonts w:ascii="Arial" w:cs="Arial" w:eastAsia="Arial" w:hAnsi="Arial"/>
      <w:b w:val="1"/>
      <w:bCs w:val="1"/>
      <w:color w:val="18324a"/>
      <w:sz w:val="38"/>
      <w:szCs w:val="38"/>
    </w:rPr>
  </w:style>
  <w:style w:type="paragraph" w:styleId="Heading2">
    <w:name w:val="heading 2"/>
    <w:basedOn w:val="Normal"/>
    <w:next w:val="Normal"/>
    <w:pPr>
      <w:keepNext w:val="1"/>
      <w:keepLines w:val="1"/>
      <w:spacing w:after="100" w:before="280" w:lineRule="auto"/>
    </w:pPr>
    <w:rPr>
      <w:rFonts w:ascii="Arial" w:cs="Arial" w:eastAsia="Arial" w:hAnsi="Arial"/>
      <w:b w:val="1"/>
      <w:bCs w:val="1"/>
      <w:color w:val="147d7e"/>
      <w:sz w:val="28"/>
      <w:szCs w:val="28"/>
    </w:rPr>
  </w:style>
  <w:style w:type="paragraph" w:styleId="Heading3">
    <w:name w:val="heading 3"/>
    <w:basedOn w:val="Normal"/>
    <w:next w:val="Normal"/>
    <w:pPr>
      <w:keepNext w:val="1"/>
      <w:keepLines w:val="1"/>
      <w:spacing w:after="60" w:before="200" w:lineRule="auto"/>
    </w:pPr>
    <w:rPr>
      <w:rFonts w:ascii="Arial" w:cs="Arial" w:eastAsia="Arial" w:hAnsi="Arial"/>
      <w:b w:val="1"/>
      <w:bCs w:val="1"/>
      <w:color w:val="18324a"/>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