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100" w:before="200" w:lineRule="auto"/>
        <w:rPr>
          <w:b w:val="1"/>
          <w:bCs w:val="1"/>
          <w:color w:val="1a4073"/>
          <w:sz w:val="48"/>
          <w:szCs w:val="48"/>
        </w:rPr>
      </w:pPr>
      <w:bookmarkStart w:colFirst="0" w:colLast="0" w:name="_t7jxcsxrpfnw" w:id="0"/>
      <w:bookmarkEnd w:id="0"/>
      <w:r w:rsidDel="00000000" w:rsidR="00000000" w:rsidRPr="00000000">
        <w:rPr>
          <w:b w:val="1"/>
          <w:bCs w:val="1"/>
          <w:color w:val="1a4073"/>
          <w:sz w:val="48"/>
          <w:szCs w:val="48"/>
          <w:rtl w:val="0"/>
        </w:rPr>
        <w:t xml:space="preserve">06 — Distribution USA–France et opérations</w:t>
      </w:r>
    </w:p>
    <w:p w:rsidR="00000000" w:rsidDel="00000000" w:rsidP="00000000" w:rsidRDefault="00000000" w:rsidRPr="00000000" w14:paraId="00000002">
      <w:pPr>
        <w:rPr>
          <w:color w:val="1f242e"/>
          <w:sz w:val="23"/>
          <w:szCs w:val="23"/>
        </w:rPr>
      </w:pPr>
      <w:r w:rsidDel="00000000" w:rsidR="00000000" w:rsidRPr="00000000">
        <w:rPr>
          <w:color w:val="1f242e"/>
          <w:sz w:val="23"/>
          <w:szCs w:val="23"/>
          <w:rtl w:val="0"/>
        </w:rPr>
        <w:t xml:space="preserve">Version découpée de la formation complète • Contenu fidèle aux notes, avec des exemples courts pour clarifier.</w:t>
      </w:r>
    </w:p>
    <w:p w:rsidR="00000000" w:rsidDel="00000000" w:rsidP="00000000" w:rsidRDefault="00000000" w:rsidRPr="00000000" w14:paraId="00000003">
      <w:pPr>
        <w:pStyle w:val="Heading1"/>
        <w:spacing w:after="100" w:before="200" w:lineRule="auto"/>
        <w:rPr>
          <w:b w:val="1"/>
          <w:bCs w:val="1"/>
          <w:color w:val="1a4073"/>
          <w:sz w:val="36"/>
          <w:szCs w:val="36"/>
        </w:rPr>
      </w:pPr>
      <w:bookmarkStart w:colFirst="0" w:colLast="0" w:name="_kcxzwjacelmw" w:id="1"/>
      <w:bookmarkEnd w:id="1"/>
      <w:r w:rsidDel="00000000" w:rsidR="00000000" w:rsidRPr="00000000">
        <w:rPr>
          <w:b w:val="1"/>
          <w:bCs w:val="1"/>
          <w:color w:val="1a4073"/>
          <w:sz w:val="36"/>
          <w:szCs w:val="36"/>
          <w:rtl w:val="0"/>
        </w:rPr>
        <w:t xml:space="preserve">12 — Téléphone USA, comptes sociaux et Postiz</w:t>
      </w:r>
    </w:p>
    <w:p w:rsidR="00000000" w:rsidDel="00000000" w:rsidP="00000000" w:rsidRDefault="00000000" w:rsidRPr="00000000" w14:paraId="00000004">
      <w:pPr>
        <w:pStyle w:val="Heading2"/>
        <w:spacing w:after="100" w:before="200" w:lineRule="auto"/>
        <w:rPr>
          <w:b w:val="1"/>
          <w:bCs w:val="1"/>
          <w:color w:val="1a4073"/>
          <w:sz w:val="28"/>
          <w:szCs w:val="28"/>
        </w:rPr>
      </w:pPr>
      <w:bookmarkStart w:colFirst="0" w:colLast="0" w:name="_ehxsd5hpt5xv" w:id="2"/>
      <w:bookmarkEnd w:id="2"/>
      <w:r w:rsidDel="00000000" w:rsidR="00000000" w:rsidRPr="00000000">
        <w:rPr>
          <w:b w:val="1"/>
          <w:bCs w:val="1"/>
          <w:color w:val="1a4073"/>
          <w:sz w:val="28"/>
          <w:szCs w:val="28"/>
          <w:rtl w:val="0"/>
        </w:rPr>
        <w:t xml:space="preserve">Objectif</w:t>
      </w:r>
    </w:p>
    <w:p w:rsidR="00000000" w:rsidDel="00000000" w:rsidP="00000000" w:rsidRDefault="00000000" w:rsidRPr="00000000" w14:paraId="00000005">
      <w:pPr>
        <w:rPr>
          <w:color w:val="1f242e"/>
          <w:sz w:val="23"/>
          <w:szCs w:val="23"/>
        </w:rPr>
      </w:pPr>
      <w:r w:rsidDel="00000000" w:rsidR="00000000" w:rsidRPr="00000000">
        <w:rPr>
          <w:color w:val="1f242e"/>
          <w:sz w:val="23"/>
          <w:szCs w:val="23"/>
          <w:rtl w:val="0"/>
        </w:rPr>
        <w:t xml:space="preserve">Ce que cette stratégie cherche à faire — Le téléphone USA sert à créer un environnement de travail séparé et cohérent pour les comptes destinés au marché américain : langue, région, applications, contenu consommé et organisation des accès.</w:t>
      </w:r>
    </w:p>
    <w:p w:rsidR="00000000" w:rsidDel="00000000" w:rsidP="00000000" w:rsidRDefault="00000000" w:rsidRPr="00000000" w14:paraId="00000006">
      <w:pPr>
        <w:rPr>
          <w:color w:val="1f242e"/>
          <w:sz w:val="23"/>
          <w:szCs w:val="23"/>
        </w:rPr>
      </w:pPr>
      <w:r w:rsidDel="00000000" w:rsidR="00000000" w:rsidRPr="00000000">
        <w:rPr>
          <w:color w:val="1f242e"/>
          <w:sz w:val="23"/>
          <w:szCs w:val="23"/>
          <w:rtl w:val="0"/>
        </w:rPr>
        <w:t xml:space="preserve">Pourquoi c’est utile — Cette séparation évite de mélanger les comptes français et américains et aide l’équipe à comprendre les références, les formats et le vocabulaire du marché ciblé. Elle simplifie aussi la récupération et le suivi des comptes.</w:t>
      </w:r>
    </w:p>
    <w:p w:rsidR="00000000" w:rsidDel="00000000" w:rsidP="00000000" w:rsidRDefault="00000000" w:rsidRPr="00000000" w14:paraId="00000007">
      <w:pPr>
        <w:rPr>
          <w:color w:val="1f242e"/>
          <w:sz w:val="23"/>
          <w:szCs w:val="23"/>
        </w:rPr>
      </w:pPr>
      <w:r w:rsidDel="00000000" w:rsidR="00000000" w:rsidRPr="00000000">
        <w:rPr>
          <w:color w:val="1f242e"/>
          <w:sz w:val="23"/>
          <w:szCs w:val="23"/>
          <w:rtl w:val="0"/>
        </w:rPr>
        <w:t xml:space="preserve">Ce qu’elle ne garantit pas — Un réglage de téléphone ou un VPN ne crée pas automatiquement une audience américaine. La plateforme observe surtout la réaction réelle au contenu : watch time, complétion, interactions et cohérence culturelle. Le setup prépare l’environnement ; le contenu crée la performance.</w:t>
      </w:r>
      <w:r w:rsidDel="00000000" w:rsidR="00000000" w:rsidRPr="00000000">
        <w:rPr>
          <w:rtl w:val="0"/>
        </w:rPr>
      </w:r>
    </w:p>
    <w:p w:rsidR="00000000" w:rsidDel="00000000" w:rsidP="00000000" w:rsidRDefault="00000000" w:rsidRPr="00000000" w14:paraId="00000008">
      <w:pPr>
        <w:shd w:fill="f5f7fc" w:val="clear"/>
        <w:spacing w:after="120" w:before="120" w:lineRule="auto"/>
        <w:rPr/>
      </w:pPr>
      <w:r w:rsidDel="00000000" w:rsidR="00000000" w:rsidRPr="00000000">
        <w:rPr>
          <w:color w:val="2e405c"/>
          <w:sz w:val="23"/>
          <w:szCs w:val="23"/>
          <w:rtl w:val="0"/>
        </w:rPr>
        <w:t xml:space="preserve">🔎 CONTEXTE — Ce setup crée un environnement cohérent pour travailler le marché américain, mais il ne garantit pas une audience américaine. La langue, les références culturelles, la qualité du contenu et les réactions réelles restent déterminantes.</w:t>
      </w:r>
      <w:r w:rsidDel="00000000" w:rsidR="00000000" w:rsidRPr="00000000">
        <w:rPr>
          <w:rtl w:val="0"/>
        </w:rPr>
      </w:r>
    </w:p>
    <w:p w:rsidR="00000000" w:rsidDel="00000000" w:rsidP="00000000" w:rsidRDefault="00000000" w:rsidRPr="00000000" w14:paraId="00000009">
      <w:pPr>
        <w:pStyle w:val="Heading2"/>
        <w:spacing w:after="100" w:before="200" w:lineRule="auto"/>
        <w:rPr>
          <w:b w:val="1"/>
          <w:bCs w:val="1"/>
          <w:color w:val="1a4073"/>
          <w:sz w:val="28"/>
          <w:szCs w:val="28"/>
        </w:rPr>
      </w:pPr>
      <w:bookmarkStart w:colFirst="0" w:colLast="0" w:name="_grqzpk5suc" w:id="3"/>
      <w:bookmarkEnd w:id="3"/>
      <w:r w:rsidDel="00000000" w:rsidR="00000000" w:rsidRPr="00000000">
        <w:rPr>
          <w:b w:val="1"/>
          <w:bCs w:val="1"/>
          <w:color w:val="1a4073"/>
          <w:sz w:val="28"/>
          <w:szCs w:val="28"/>
          <w:rtl w:val="0"/>
        </w:rPr>
        <w:t xml:space="preserve">Setup du téléphone</w:t>
      </w:r>
    </w:p>
    <w:p w:rsidR="00000000" w:rsidDel="00000000" w:rsidP="00000000" w:rsidRDefault="00000000" w:rsidRPr="00000000" w14:paraId="0000000A">
      <w:pPr>
        <w:rPr>
          <w:color w:val="1f242e"/>
          <w:sz w:val="23"/>
          <w:szCs w:val="23"/>
        </w:rPr>
      </w:pPr>
      <w:r w:rsidDel="00000000" w:rsidR="00000000" w:rsidRPr="00000000">
        <w:rPr>
          <w:color w:val="1f242e"/>
          <w:sz w:val="23"/>
          <w:szCs w:val="23"/>
          <w:rtl w:val="0"/>
        </w:rPr>
        <w:t xml:space="preserve">☐  Langue : English (US).</w:t>
      </w:r>
    </w:p>
    <w:p w:rsidR="00000000" w:rsidDel="00000000" w:rsidP="00000000" w:rsidRDefault="00000000" w:rsidRPr="00000000" w14:paraId="0000000B">
      <w:pPr>
        <w:rPr>
          <w:color w:val="1f242e"/>
          <w:sz w:val="23"/>
          <w:szCs w:val="23"/>
        </w:rPr>
      </w:pPr>
      <w:r w:rsidDel="00000000" w:rsidR="00000000" w:rsidRPr="00000000">
        <w:rPr>
          <w:color w:val="1f242e"/>
          <w:sz w:val="23"/>
          <w:szCs w:val="23"/>
          <w:rtl w:val="0"/>
        </w:rPr>
        <w:t xml:space="preserve">☐  Région : United States.</w:t>
      </w:r>
    </w:p>
    <w:p w:rsidR="00000000" w:rsidDel="00000000" w:rsidP="00000000" w:rsidRDefault="00000000" w:rsidRPr="00000000" w14:paraId="0000000C">
      <w:pPr>
        <w:rPr>
          <w:color w:val="1f242e"/>
          <w:sz w:val="23"/>
          <w:szCs w:val="23"/>
        </w:rPr>
      </w:pPr>
      <w:r w:rsidDel="00000000" w:rsidR="00000000" w:rsidRPr="00000000">
        <w:rPr>
          <w:color w:val="1f242e"/>
          <w:sz w:val="23"/>
          <w:szCs w:val="23"/>
          <w:rtl w:val="0"/>
        </w:rPr>
        <w:t xml:space="preserve">☐  Créer un nouvel Apple Account et une adresse iCloud.</w:t>
      </w:r>
    </w:p>
    <w:p w:rsidR="00000000" w:rsidDel="00000000" w:rsidP="00000000" w:rsidRDefault="00000000" w:rsidRPr="00000000" w14:paraId="0000000D">
      <w:pPr>
        <w:rPr>
          <w:color w:val="1f242e"/>
          <w:sz w:val="23"/>
          <w:szCs w:val="23"/>
        </w:rPr>
      </w:pPr>
      <w:r w:rsidDel="00000000" w:rsidR="00000000" w:rsidRPr="00000000">
        <w:rPr>
          <w:color w:val="1f242e"/>
          <w:sz w:val="23"/>
          <w:szCs w:val="23"/>
          <w:rtl w:val="0"/>
        </w:rPr>
        <w:t xml:space="preserve">☐  Installer uniquement le VPN, TikTok et Instagram.</w:t>
      </w:r>
    </w:p>
    <w:p w:rsidR="00000000" w:rsidDel="00000000" w:rsidP="00000000" w:rsidRDefault="00000000" w:rsidRPr="00000000" w14:paraId="0000000E">
      <w:pPr>
        <w:rPr>
          <w:color w:val="1f242e"/>
          <w:sz w:val="23"/>
          <w:szCs w:val="23"/>
        </w:rPr>
      </w:pPr>
      <w:r w:rsidDel="00000000" w:rsidR="00000000" w:rsidRPr="00000000">
        <w:rPr>
          <w:color w:val="1f242e"/>
          <w:sz w:val="23"/>
          <w:szCs w:val="23"/>
          <w:rtl w:val="0"/>
        </w:rPr>
        <w:t xml:space="preserve">☐  Utiliser des comptes de marque ou de créateur cohérents avec le projet.</w:t>
      </w:r>
    </w:p>
    <w:p w:rsidR="00000000" w:rsidDel="00000000" w:rsidP="00000000" w:rsidRDefault="00000000" w:rsidRPr="00000000" w14:paraId="0000000F">
      <w:pPr>
        <w:rPr>
          <w:color w:val="1f242e"/>
          <w:sz w:val="23"/>
          <w:szCs w:val="23"/>
        </w:rPr>
      </w:pPr>
      <w:r w:rsidDel="00000000" w:rsidR="00000000" w:rsidRPr="00000000">
        <w:rPr>
          <w:color w:val="1f242e"/>
          <w:sz w:val="23"/>
          <w:szCs w:val="23"/>
          <w:rtl w:val="0"/>
        </w:rPr>
        <w:t xml:space="preserve">☐  Conserver les emails, numéros, mots de passe et codes de récupération.</w:t>
      </w:r>
    </w:p>
    <w:p w:rsidR="00000000" w:rsidDel="00000000" w:rsidP="00000000" w:rsidRDefault="00000000" w:rsidRPr="00000000" w14:paraId="00000010">
      <w:pPr>
        <w:shd w:fill="fffae6" w:val="clear"/>
        <w:spacing w:after="120" w:before="120" w:lineRule="auto"/>
        <w:rPr>
          <w:b w:val="1"/>
          <w:bCs w:val="1"/>
          <w:color w:val="1f242e"/>
          <w:sz w:val="23"/>
          <w:szCs w:val="23"/>
        </w:rPr>
      </w:pPr>
      <w:r w:rsidDel="00000000" w:rsidR="00000000" w:rsidRPr="00000000">
        <w:rPr>
          <w:b w:val="1"/>
          <w:bCs w:val="1"/>
          <w:color w:val="1f242e"/>
          <w:sz w:val="23"/>
          <w:szCs w:val="23"/>
          <w:rtl w:val="0"/>
        </w:rPr>
        <w:t xml:space="preserve">⚠️ IMPORTANT  Un numéro temporaire peut devenir un problème lors d’une vérification future. Pour un compte important, utilise si possible un numéro que tu contrôles dans le temps.</w:t>
      </w:r>
    </w:p>
    <w:p w:rsidR="00000000" w:rsidDel="00000000" w:rsidP="00000000" w:rsidRDefault="00000000" w:rsidRPr="00000000" w14:paraId="00000011">
      <w:pPr>
        <w:pStyle w:val="Heading2"/>
        <w:spacing w:after="100" w:before="200" w:lineRule="auto"/>
        <w:rPr>
          <w:b w:val="1"/>
          <w:bCs w:val="1"/>
          <w:color w:val="1a4073"/>
          <w:sz w:val="28"/>
          <w:szCs w:val="28"/>
        </w:rPr>
      </w:pPr>
      <w:bookmarkStart w:colFirst="0" w:colLast="0" w:name="_b00ckiug3yk9" w:id="4"/>
      <w:bookmarkEnd w:id="4"/>
      <w:r w:rsidDel="00000000" w:rsidR="00000000" w:rsidRPr="00000000">
        <w:rPr>
          <w:b w:val="1"/>
          <w:bCs w:val="1"/>
          <w:color w:val="1a4073"/>
          <w:sz w:val="28"/>
          <w:szCs w:val="28"/>
          <w:rtl w:val="0"/>
        </w:rPr>
        <w:t xml:space="preserve">Création et warm-up</w:t>
      </w:r>
    </w:p>
    <w:p w:rsidR="00000000" w:rsidDel="00000000" w:rsidP="00000000" w:rsidRDefault="00000000" w:rsidRPr="00000000" w14:paraId="00000012">
      <w:pPr>
        <w:numPr>
          <w:ilvl w:val="0"/>
          <w:numId w:val="1"/>
        </w:numPr>
        <w:ind w:left="720" w:hanging="360"/>
        <w:rPr>
          <w:color w:val="1f242e"/>
          <w:sz w:val="23"/>
          <w:szCs w:val="23"/>
          <w:u w:val="none"/>
        </w:rPr>
      </w:pPr>
      <w:r w:rsidDel="00000000" w:rsidR="00000000" w:rsidRPr="00000000">
        <w:rPr>
          <w:color w:val="1f242e"/>
          <w:sz w:val="23"/>
          <w:szCs w:val="23"/>
          <w:rtl w:val="0"/>
        </w:rPr>
        <w:t xml:space="preserve">Créer TikTok et Instagram pour le marché américain.</w:t>
      </w:r>
    </w:p>
    <w:p w:rsidR="00000000" w:rsidDel="00000000" w:rsidP="00000000" w:rsidRDefault="00000000" w:rsidRPr="00000000" w14:paraId="00000013">
      <w:pPr>
        <w:numPr>
          <w:ilvl w:val="0"/>
          <w:numId w:val="1"/>
        </w:numPr>
        <w:ind w:left="720" w:hanging="360"/>
        <w:rPr>
          <w:color w:val="1f242e"/>
          <w:sz w:val="23"/>
          <w:szCs w:val="23"/>
          <w:u w:val="none"/>
        </w:rPr>
      </w:pPr>
      <w:r w:rsidDel="00000000" w:rsidR="00000000" w:rsidRPr="00000000">
        <w:rPr>
          <w:color w:val="1f242e"/>
          <w:sz w:val="23"/>
          <w:szCs w:val="23"/>
          <w:rtl w:val="0"/>
        </w:rPr>
        <w:t xml:space="preserve">Consommer uniquement du contenu en anglais et dans la niche.</w:t>
      </w:r>
    </w:p>
    <w:p w:rsidR="00000000" w:rsidDel="00000000" w:rsidP="00000000" w:rsidRDefault="00000000" w:rsidRPr="00000000" w14:paraId="00000014">
      <w:pPr>
        <w:numPr>
          <w:ilvl w:val="0"/>
          <w:numId w:val="1"/>
        </w:numPr>
        <w:ind w:left="720" w:hanging="360"/>
        <w:rPr>
          <w:color w:val="1f242e"/>
          <w:sz w:val="23"/>
          <w:szCs w:val="23"/>
          <w:u w:val="none"/>
        </w:rPr>
      </w:pPr>
      <w:r w:rsidDel="00000000" w:rsidR="00000000" w:rsidRPr="00000000">
        <w:rPr>
          <w:color w:val="1f242e"/>
          <w:sz w:val="23"/>
          <w:szCs w:val="23"/>
          <w:rtl w:val="0"/>
        </w:rPr>
        <w:t xml:space="preserve">Interagir avec des contenus vraiment utiles pour comprendre les codes du marché.</w:t>
      </w:r>
    </w:p>
    <w:p w:rsidR="00000000" w:rsidDel="00000000" w:rsidP="00000000" w:rsidRDefault="00000000" w:rsidRPr="00000000" w14:paraId="00000015">
      <w:pPr>
        <w:numPr>
          <w:ilvl w:val="0"/>
          <w:numId w:val="1"/>
        </w:numPr>
        <w:ind w:left="720" w:hanging="360"/>
        <w:rPr>
          <w:color w:val="1f242e"/>
          <w:sz w:val="23"/>
          <w:szCs w:val="23"/>
          <w:u w:val="none"/>
        </w:rPr>
      </w:pPr>
      <w:r w:rsidDel="00000000" w:rsidR="00000000" w:rsidRPr="00000000">
        <w:rPr>
          <w:color w:val="1f242e"/>
          <w:sz w:val="23"/>
          <w:szCs w:val="23"/>
          <w:rtl w:val="0"/>
        </w:rPr>
        <w:t xml:space="preserve">Faire un warm-up d’environ 3 jours comme procédure de départ.</w:t>
      </w:r>
    </w:p>
    <w:p w:rsidR="00000000" w:rsidDel="00000000" w:rsidP="00000000" w:rsidRDefault="00000000" w:rsidRPr="00000000" w14:paraId="00000016">
      <w:pPr>
        <w:numPr>
          <w:ilvl w:val="0"/>
          <w:numId w:val="1"/>
        </w:numPr>
        <w:ind w:left="720" w:hanging="360"/>
        <w:rPr>
          <w:color w:val="1f242e"/>
          <w:sz w:val="23"/>
          <w:szCs w:val="23"/>
          <w:u w:val="none"/>
        </w:rPr>
      </w:pPr>
      <w:r w:rsidDel="00000000" w:rsidR="00000000" w:rsidRPr="00000000">
        <w:rPr>
          <w:color w:val="1f242e"/>
          <w:sz w:val="23"/>
          <w:szCs w:val="23"/>
          <w:rtl w:val="0"/>
        </w:rPr>
        <w:t xml:space="preserve">Commencer les publications à partir du deuxième jour, puis mesurer les pays atteints.</w:t>
      </w:r>
    </w:p>
    <w:p w:rsidR="00000000" w:rsidDel="00000000" w:rsidP="00000000" w:rsidRDefault="00000000" w:rsidRPr="00000000" w14:paraId="00000017">
      <w:pPr>
        <w:shd w:fill="fffae6" w:val="clear"/>
        <w:spacing w:after="120" w:before="120" w:lineRule="auto"/>
        <w:rPr>
          <w:b w:val="1"/>
          <w:bCs w:val="1"/>
          <w:color w:val="1f242e"/>
          <w:sz w:val="23"/>
          <w:szCs w:val="23"/>
        </w:rPr>
      </w:pPr>
      <w:r w:rsidDel="00000000" w:rsidR="00000000" w:rsidRPr="00000000">
        <w:rPr>
          <w:b w:val="1"/>
          <w:bCs w:val="1"/>
          <w:color w:val="1f242e"/>
          <w:sz w:val="23"/>
          <w:szCs w:val="23"/>
          <w:rtl w:val="0"/>
        </w:rPr>
        <w:t xml:space="preserve">🟨 À TESTER  Les 3 jours de warm-up sont une méthode de départ, pas une garantie de l’algorithme. La qualité du contenu, le watch time et les interactions restent essentiels.</w:t>
      </w:r>
    </w:p>
    <w:p w:rsidR="00000000" w:rsidDel="00000000" w:rsidP="00000000" w:rsidRDefault="00000000" w:rsidRPr="00000000" w14:paraId="00000018">
      <w:pPr>
        <w:pStyle w:val="Heading2"/>
        <w:spacing w:after="100" w:before="200" w:lineRule="auto"/>
        <w:rPr>
          <w:b w:val="1"/>
          <w:bCs w:val="1"/>
          <w:color w:val="1a4073"/>
          <w:sz w:val="28"/>
          <w:szCs w:val="28"/>
        </w:rPr>
      </w:pPr>
      <w:bookmarkStart w:colFirst="0" w:colLast="0" w:name="_7zevvuwb4bt1" w:id="5"/>
      <w:bookmarkEnd w:id="5"/>
      <w:r w:rsidDel="00000000" w:rsidR="00000000" w:rsidRPr="00000000">
        <w:rPr>
          <w:b w:val="1"/>
          <w:bCs w:val="1"/>
          <w:color w:val="1a4073"/>
          <w:sz w:val="28"/>
          <w:szCs w:val="28"/>
          <w:rtl w:val="0"/>
        </w:rPr>
        <w:t xml:space="preserve">Postiz</w:t>
      </w:r>
    </w:p>
    <w:p w:rsidR="00000000" w:rsidDel="00000000" w:rsidP="00000000" w:rsidRDefault="00000000" w:rsidRPr="00000000" w14:paraId="00000019">
      <w:pPr>
        <w:rPr>
          <w:color w:val="1f242e"/>
          <w:sz w:val="23"/>
          <w:szCs w:val="23"/>
        </w:rPr>
      </w:pPr>
      <w:r w:rsidDel="00000000" w:rsidR="00000000" w:rsidRPr="00000000">
        <w:rPr>
          <w:color w:val="1f242e"/>
          <w:sz w:val="23"/>
          <w:szCs w:val="23"/>
          <w:rtl w:val="0"/>
        </w:rPr>
        <w:t xml:space="preserve">Ce que c’est — Postiz est un outil d’organisation et de programmation des publications. Il centralise le calendrier, les contenus prêts et une partie de la mise en ligne.</w:t>
      </w:r>
    </w:p>
    <w:p w:rsidR="00000000" w:rsidDel="00000000" w:rsidP="00000000" w:rsidRDefault="00000000" w:rsidRPr="00000000" w14:paraId="0000001A">
      <w:pPr>
        <w:rPr>
          <w:color w:val="1f242e"/>
          <w:sz w:val="23"/>
          <w:szCs w:val="23"/>
        </w:rPr>
      </w:pPr>
      <w:r w:rsidDel="00000000" w:rsidR="00000000" w:rsidRPr="00000000">
        <w:rPr>
          <w:color w:val="1f242e"/>
          <w:sz w:val="23"/>
          <w:szCs w:val="23"/>
          <w:rtl w:val="0"/>
        </w:rPr>
        <w:t xml:space="preserve">À quoi il sert — Il réduit le travail répétitif et aide à garder un rythme régulier quand plusieurs comptes ou marchés sont gérés. Il ne choisit cependant ni le bon angle, ni le bon hook, ni la bonne adaptation culturelle.</w:t>
      </w:r>
    </w:p>
    <w:p w:rsidR="00000000" w:rsidDel="00000000" w:rsidP="00000000" w:rsidRDefault="00000000" w:rsidRPr="00000000" w14:paraId="0000001B">
      <w:pPr>
        <w:rPr>
          <w:color w:val="1f242e"/>
          <w:sz w:val="23"/>
          <w:szCs w:val="23"/>
        </w:rPr>
      </w:pPr>
      <w:r w:rsidDel="00000000" w:rsidR="00000000" w:rsidRPr="00000000">
        <w:rPr>
          <w:color w:val="1f242e"/>
          <w:sz w:val="23"/>
          <w:szCs w:val="23"/>
          <w:rtl w:val="0"/>
        </w:rPr>
        <w:t xml:space="preserve">Comment l’utiliser — Prépare et programme les contenus dans Postiz, puis garde un contrôle humain avant publication pour le son, la cover, les sous-titres, le CTA et le rendu final. L’outil automatise l’opération ; la stratégie reste pilotée par les performances.</w:t>
      </w:r>
      <w:r w:rsidDel="00000000" w:rsidR="00000000" w:rsidRPr="00000000">
        <w:rPr>
          <w:rtl w:val="0"/>
        </w:rPr>
      </w:r>
    </w:p>
    <w:p w:rsidR="00000000" w:rsidDel="00000000" w:rsidP="00000000" w:rsidRDefault="00000000" w:rsidRPr="00000000" w14:paraId="0000001C">
      <w:pPr>
        <w:shd w:fill="f0f7ff" w:val="clear"/>
        <w:spacing w:after="120" w:before="120" w:lineRule="auto"/>
        <w:rPr>
          <w:i w:val="1"/>
          <w:iCs w:val="1"/>
          <w:color w:val="295794"/>
          <w:sz w:val="23"/>
          <w:szCs w:val="23"/>
        </w:rPr>
      </w:pPr>
      <w:r w:rsidDel="00000000" w:rsidR="00000000" w:rsidRPr="00000000">
        <w:rPr>
          <w:i w:val="1"/>
          <w:iCs w:val="1"/>
          <w:color w:val="295794"/>
          <w:sz w:val="23"/>
          <w:szCs w:val="23"/>
          <w:rtl w:val="0"/>
        </w:rPr>
        <w:t xml:space="preserve">💡 EXEMPLE SIMPLE — Tu peux préparer dix vidéos dans Postiz, mais garder une vérification manuelle avant publication pour choisir le bon son, la bonne couverture et vérifier que les sous-titres ne cachent rien.</w:t>
      </w:r>
    </w:p>
    <w:p w:rsidR="00000000" w:rsidDel="00000000" w:rsidP="00000000" w:rsidRDefault="00000000" w:rsidRPr="00000000" w14:paraId="0000001D">
      <w:pPr>
        <w:pStyle w:val="Heading2"/>
        <w:spacing w:after="100" w:before="200" w:lineRule="auto"/>
        <w:rPr>
          <w:b w:val="1"/>
          <w:bCs w:val="1"/>
          <w:color w:val="1a4073"/>
          <w:sz w:val="28"/>
          <w:szCs w:val="28"/>
        </w:rPr>
      </w:pPr>
      <w:bookmarkStart w:colFirst="0" w:colLast="0" w:name="_ay8vvv501804" w:id="6"/>
      <w:bookmarkEnd w:id="6"/>
      <w:r w:rsidDel="00000000" w:rsidR="00000000" w:rsidRPr="00000000">
        <w:rPr>
          <w:b w:val="1"/>
          <w:bCs w:val="1"/>
          <w:color w:val="1a4073"/>
          <w:sz w:val="28"/>
          <w:szCs w:val="28"/>
          <w:rtl w:val="0"/>
        </w:rPr>
        <w:t xml:space="preserve">Checklist compte</w:t>
      </w:r>
    </w:p>
    <w:p w:rsidR="00000000" w:rsidDel="00000000" w:rsidP="00000000" w:rsidRDefault="00000000" w:rsidRPr="00000000" w14:paraId="0000001E">
      <w:pPr>
        <w:rPr>
          <w:color w:val="1f242e"/>
          <w:sz w:val="23"/>
          <w:szCs w:val="23"/>
        </w:rPr>
      </w:pPr>
      <w:r w:rsidDel="00000000" w:rsidR="00000000" w:rsidRPr="00000000">
        <w:rPr>
          <w:color w:val="1f242e"/>
          <w:sz w:val="23"/>
          <w:szCs w:val="23"/>
          <w:rtl w:val="0"/>
        </w:rPr>
        <w:t xml:space="preserve">☐  Marché, plateforme et niche sont notés.</w:t>
      </w:r>
    </w:p>
    <w:p w:rsidR="00000000" w:rsidDel="00000000" w:rsidP="00000000" w:rsidRDefault="00000000" w:rsidRPr="00000000" w14:paraId="0000001F">
      <w:pPr>
        <w:rPr>
          <w:color w:val="1f242e"/>
          <w:sz w:val="23"/>
          <w:szCs w:val="23"/>
        </w:rPr>
      </w:pPr>
      <w:r w:rsidDel="00000000" w:rsidR="00000000" w:rsidRPr="00000000">
        <w:rPr>
          <w:color w:val="1f242e"/>
          <w:sz w:val="23"/>
          <w:szCs w:val="23"/>
          <w:rtl w:val="0"/>
        </w:rPr>
        <w:t xml:space="preserve">☐  Le compte a un propriétaire clair.</w:t>
      </w:r>
    </w:p>
    <w:p w:rsidR="00000000" w:rsidDel="00000000" w:rsidP="00000000" w:rsidRDefault="00000000" w:rsidRPr="00000000" w14:paraId="00000020">
      <w:pPr>
        <w:rPr>
          <w:color w:val="1f242e"/>
          <w:sz w:val="23"/>
          <w:szCs w:val="23"/>
        </w:rPr>
      </w:pPr>
      <w:r w:rsidDel="00000000" w:rsidR="00000000" w:rsidRPr="00000000">
        <w:rPr>
          <w:color w:val="1f242e"/>
          <w:sz w:val="23"/>
          <w:szCs w:val="23"/>
          <w:rtl w:val="0"/>
        </w:rPr>
        <w:t xml:space="preserve">☐  Email, numéro et 2FA sont récupérables.</w:t>
      </w:r>
    </w:p>
    <w:p w:rsidR="00000000" w:rsidDel="00000000" w:rsidP="00000000" w:rsidRDefault="00000000" w:rsidRPr="00000000" w14:paraId="00000021">
      <w:pPr>
        <w:rPr>
          <w:color w:val="1f242e"/>
          <w:sz w:val="23"/>
          <w:szCs w:val="23"/>
        </w:rPr>
      </w:pPr>
      <w:r w:rsidDel="00000000" w:rsidR="00000000" w:rsidRPr="00000000">
        <w:rPr>
          <w:color w:val="1f242e"/>
          <w:sz w:val="23"/>
          <w:szCs w:val="23"/>
          <w:rtl w:val="0"/>
        </w:rPr>
        <w:t xml:space="preserve">☐  Les piliers de contenu sont définis.</w:t>
      </w:r>
    </w:p>
    <w:p w:rsidR="00000000" w:rsidDel="00000000" w:rsidP="00000000" w:rsidRDefault="00000000" w:rsidRPr="00000000" w14:paraId="00000022">
      <w:pPr>
        <w:rPr>
          <w:color w:val="1f242e"/>
          <w:sz w:val="23"/>
          <w:szCs w:val="23"/>
        </w:rPr>
      </w:pPr>
      <w:r w:rsidDel="00000000" w:rsidR="00000000" w:rsidRPr="00000000">
        <w:rPr>
          <w:color w:val="1f242e"/>
          <w:sz w:val="23"/>
          <w:szCs w:val="23"/>
          <w:rtl w:val="0"/>
        </w:rPr>
        <w:t xml:space="preserve">☐  Chaque vidéo a un identifiant ou un lien mesurable.</w:t>
      </w:r>
    </w:p>
    <w:p w:rsidR="00000000" w:rsidDel="00000000" w:rsidP="00000000" w:rsidRDefault="00000000" w:rsidRPr="00000000" w14:paraId="00000023">
      <w:pPr>
        <w:rPr>
          <w:color w:val="1f242e"/>
          <w:sz w:val="23"/>
          <w:szCs w:val="23"/>
        </w:rPr>
      </w:pPr>
      <w:r w:rsidDel="00000000" w:rsidR="00000000" w:rsidRPr="00000000">
        <w:rPr>
          <w:color w:val="1f242e"/>
          <w:sz w:val="23"/>
          <w:szCs w:val="23"/>
          <w:rtl w:val="0"/>
        </w:rPr>
        <w:t xml:space="preserve">☐  Les performances sont suivies jusqu’aux installations et paiements.</w:t>
      </w:r>
    </w:p>
    <w:p w:rsidR="00000000" w:rsidDel="00000000" w:rsidP="00000000" w:rsidRDefault="00000000" w:rsidRPr="00000000" w14:paraId="00000024">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