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06 — Branding</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Stratégie de marque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Nom, voix et identité</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Brand-to-growth</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Stratégie de marque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stratégie de marque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Définir catégorie, promesse, personnalité et preuve</w:t>
      </w:r>
    </w:p>
    <w:p w:rsidR="00000000" w:rsidDel="00000000" w:rsidP="00000000" w:rsidRDefault="00000000" w:rsidRPr="00000000" w14:paraId="00000015">
      <w:pPr>
        <w:rPr/>
      </w:pPr>
      <w:r w:rsidDel="00000000" w:rsidR="00000000" w:rsidRPr="00000000">
        <w:rPr>
          <w:rtl w:val="0"/>
        </w:rPr>
        <w:t xml:space="preserve">Définir catégorie, promesse, personnalité et preuve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La marque rend une différence mémorable.</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Choisir une tension culturelle utile</w:t>
      </w:r>
    </w:p>
    <w:p w:rsidR="00000000" w:rsidDel="00000000" w:rsidP="00000000" w:rsidRDefault="00000000" w:rsidRPr="00000000" w14:paraId="0000001B">
      <w:pPr>
        <w:rPr/>
      </w:pPr>
      <w:r w:rsidDel="00000000" w:rsidR="00000000" w:rsidRPr="00000000">
        <w:rPr>
          <w:rtl w:val="0"/>
        </w:rPr>
        <w:t xml:space="preserve">Choisir une tension culturelle utile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Relier marque et avantage produit</w:t>
      </w:r>
    </w:p>
    <w:p w:rsidR="00000000" w:rsidDel="00000000" w:rsidP="00000000" w:rsidRDefault="00000000" w:rsidRPr="00000000" w14:paraId="0000001E">
      <w:pPr>
        <w:rPr/>
      </w:pPr>
      <w:r w:rsidDel="00000000" w:rsidR="00000000" w:rsidRPr="00000000">
        <w:rPr>
          <w:rtl w:val="0"/>
        </w:rPr>
        <w:t xml:space="preserve">Relier marque et avantage produit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Une marque de productivité peut promettre calme et contrôle plutôt que plus de fonctionnalités.</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Stratégie de marque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Stratégie de marque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Stratégie de marque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Nom, voix et identité</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nom, voix et identité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Tester prononciation, disponibilité et extensibilité</w:t>
      </w:r>
    </w:p>
    <w:p w:rsidR="00000000" w:rsidDel="00000000" w:rsidP="00000000" w:rsidRDefault="00000000" w:rsidRPr="00000000" w14:paraId="00000061">
      <w:pPr>
        <w:rPr/>
      </w:pPr>
      <w:r w:rsidDel="00000000" w:rsidR="00000000" w:rsidRPr="00000000">
        <w:rPr>
          <w:rtl w:val="0"/>
        </w:rPr>
        <w:t xml:space="preserve">Tester prononciation, disponibilité et extensibilité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La cohérence construit la confiance.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Écrire principes de ton et exemples</w:t>
      </w:r>
    </w:p>
    <w:p w:rsidR="00000000" w:rsidDel="00000000" w:rsidP="00000000" w:rsidRDefault="00000000" w:rsidRPr="00000000" w14:paraId="00000067">
      <w:pPr>
        <w:rPr/>
      </w:pPr>
      <w:r w:rsidDel="00000000" w:rsidR="00000000" w:rsidRPr="00000000">
        <w:rPr>
          <w:rtl w:val="0"/>
        </w:rPr>
        <w:t xml:space="preserve">Écrire principes de ton et exemples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Créer un système visuel reconnaissable</w:t>
      </w:r>
    </w:p>
    <w:p w:rsidR="00000000" w:rsidDel="00000000" w:rsidP="00000000" w:rsidRDefault="00000000" w:rsidRPr="00000000" w14:paraId="0000006A">
      <w:pPr>
        <w:rPr/>
      </w:pPr>
      <w:r w:rsidDel="00000000" w:rsidR="00000000" w:rsidRPr="00000000">
        <w:rPr>
          <w:rtl w:val="0"/>
        </w:rPr>
        <w:t xml:space="preserve">Créer un système visuel reconnaissable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Le guide de voix montre quoi dire, comment le dire et quoi éviter.</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Nom, voix et identité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Nom, voix et identité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Nom, voix et identité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Brand-to-growth</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brand-to-growth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Aligner publicité, store, onboarding et produit</w:t>
      </w:r>
    </w:p>
    <w:p w:rsidR="00000000" w:rsidDel="00000000" w:rsidP="00000000" w:rsidRDefault="00000000" w:rsidRPr="00000000" w14:paraId="000000AD">
      <w:pPr>
        <w:rPr/>
      </w:pPr>
      <w:r w:rsidDel="00000000" w:rsidR="00000000" w:rsidRPr="00000000">
        <w:rPr>
          <w:rtl w:val="0"/>
        </w:rPr>
        <w:t xml:space="preserve">Aligner publicité, store, onboarding et produit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Chaque point de contact doit confirmer la même histoire.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Créer des assets reconnaissables</w:t>
      </w:r>
    </w:p>
    <w:p w:rsidR="00000000" w:rsidDel="00000000" w:rsidP="00000000" w:rsidRDefault="00000000" w:rsidRPr="00000000" w14:paraId="000000B3">
      <w:pPr>
        <w:rPr/>
      </w:pPr>
      <w:r w:rsidDel="00000000" w:rsidR="00000000" w:rsidRPr="00000000">
        <w:rPr>
          <w:rtl w:val="0"/>
        </w:rPr>
        <w:t xml:space="preserve">Créer des assets reconnaissables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Mesurer branded search, direct et conversion</w:t>
      </w:r>
    </w:p>
    <w:p w:rsidR="00000000" w:rsidDel="00000000" w:rsidP="00000000" w:rsidRDefault="00000000" w:rsidRPr="00000000" w14:paraId="000000B6">
      <w:pPr>
        <w:rPr/>
      </w:pPr>
      <w:r w:rsidDel="00000000" w:rsidR="00000000" w:rsidRPr="00000000">
        <w:rPr>
          <w:rtl w:val="0"/>
        </w:rPr>
        <w:t xml:space="preserve">Mesurer branded search, direct et conversion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Une promesse répétée du hook au premier résultat réduit la rupture de message.</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Brand-to-growth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Brand-to-growth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Brand-to-growth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Branding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