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324a"/>
          <w:sz w:val="52"/>
          <w:szCs w:val="52"/>
          <w:rtl w:val="0"/>
        </w:rPr>
        <w:t xml:space="preserve">21 — Bibliothèque opérateur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rFonts w:ascii="Arial" w:cs="Arial" w:eastAsia="Arial" w:hAnsi="Arial"/>
          <w:color w:val="66727e"/>
          <w:sz w:val="24"/>
          <w:szCs w:val="24"/>
          <w:rtl w:val="0"/>
        </w:rPr>
        <w:t xml:space="preserve">Frameworks, checklists, templates, KPI, SOP, calculatrices, outils et prompts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-115.0" w:type="dxa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eaf6ef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7d7e"/>
                <w:sz w:val="18"/>
                <w:szCs w:val="18"/>
                <w:rtl w:val="0"/>
              </w:rPr>
              <w:t xml:space="preserve">PRINCIPE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 bibliothèque sert à exécuter. Chaque fiche doit être copiée dans le projet, complétée, datée et reliée à une décision.</w:t>
            </w:r>
          </w:p>
        </w:tc>
      </w:tr>
    </w:tbl>
    <w:p w:rsidR="00000000" w:rsidDel="00000000" w:rsidP="00000000" w:rsidRDefault="00000000" w:rsidRPr="00000000" w14:paraId="0000000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Bibliothèque 1 — Frameworks de décision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JTBD, Lean Canvas, AARRR, RICE, ICE, Opportunity Solution Tree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Utilisez cette fiche comme un support de décision. Notez le propriétaire, la date, les entrées, la sortie attendue, la source des données et la prochaine revue.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Fiches : quand utiliser, entrée, sortie, piège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Utilisez cette fiche comme un support de décision. Notez le propriétaire, la date, les entrées, la sortie attendue, la source des données et la prochaine revue.</w:t>
      </w:r>
    </w:p>
    <w:tbl>
      <w:tblPr>
        <w:tblStyle w:val="Table2"/>
        <w:tblW w:w="9720.0" w:type="dxa"/>
        <w:jc w:val="left"/>
        <w:tblInd w:w="-115.0" w:type="dxa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eaf4fa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7d7e"/>
                <w:sz w:val="18"/>
                <w:szCs w:val="18"/>
                <w:rtl w:val="0"/>
              </w:rPr>
              <w:t xml:space="preserve">CHECKLIST DE QUALITÉ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Définition stable • source et date • segment • fenêtre • propriétaire • décision associée.</w:t>
            </w:r>
          </w:p>
        </w:tc>
      </w:tr>
    </w:tbl>
    <w:p w:rsidR="00000000" w:rsidDel="00000000" w:rsidP="00000000" w:rsidRDefault="00000000" w:rsidRPr="00000000" w14:paraId="0000000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Bibliothèque 2 — Checklists et SOP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Interview, lancement, paywall, analytics, release, incident, UGC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Utilisez cette fiche comme un support de décision. Notez le propriétaire, la date, les entrées, la sortie attendue, la source des données et la prochaine revue.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Chaque SOP définit propriétaire, déclencheur, preuve de fin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Utilisez cette fiche comme un support de décision. Notez le propriétaire, la date, les entrées, la sortie attendue, la source des données et la prochaine revue.</w:t>
      </w:r>
    </w:p>
    <w:tbl>
      <w:tblPr>
        <w:tblStyle w:val="Table3"/>
        <w:tblW w:w="9720.0" w:type="dxa"/>
        <w:jc w:val="left"/>
        <w:tblInd w:w="-115.0" w:type="dxa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eaf4fa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7d7e"/>
                <w:sz w:val="18"/>
                <w:szCs w:val="18"/>
                <w:rtl w:val="0"/>
              </w:rPr>
              <w:t xml:space="preserve">CHECKLIST DE QUALITÉ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Définition stable • source et date • segment • fenêtre • propriétaire • décision associée.</w:t>
            </w:r>
          </w:p>
        </w:tc>
      </w:tr>
    </w:tbl>
    <w:p w:rsidR="00000000" w:rsidDel="00000000" w:rsidP="00000000" w:rsidRDefault="00000000" w:rsidRPr="00000000" w14:paraId="0000001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Bibliothèque 3 — Templates prêts à remplir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Brief UGC, plan analytics, hypothèse A/B, PRD, post-mortem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Utilisez cette fiche comme un support de décision. Notez le propriétaire, la date, les entrées, la sortie attendue, la source des données et la prochaine revue.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Variables entre crochets et exemple rempli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Utilisez cette fiche comme un support de décision. Notez le propriétaire, la date, les entrées, la sortie attendue, la source des données et la prochaine revue.</w:t>
      </w:r>
    </w:p>
    <w:tbl>
      <w:tblPr>
        <w:tblStyle w:val="Table4"/>
        <w:tblW w:w="9720.0" w:type="dxa"/>
        <w:jc w:val="left"/>
        <w:tblInd w:w="-115.0" w:type="dxa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eaf4fa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7d7e"/>
                <w:sz w:val="18"/>
                <w:szCs w:val="18"/>
                <w:rtl w:val="0"/>
              </w:rPr>
              <w:t xml:space="preserve">CHECKLIST DE QUALITÉ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Définition stable • source et date • segment • fenêtre • propriétaire • décision associée.</w:t>
            </w:r>
          </w:p>
        </w:tc>
      </w:tr>
    </w:tbl>
    <w:p w:rsidR="00000000" w:rsidDel="00000000" w:rsidP="00000000" w:rsidRDefault="00000000" w:rsidRPr="00000000" w14:paraId="0000002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Bibliothèque 4 — KPI et calculatrices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CPM, CTR, CPC, CPI, CAC, LTV, ROAS, MER, MRR, GRR, NRR, runway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Utilisez cette fiche comme un support de décision. Notez le propriétaire, la date, les entrées, la sortie attendue, la source des données et la prochaine revue.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Définitions stables, fenêtres et segmentation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Utilisez cette fiche comme un support de décision. Notez le propriétaire, la date, les entrées, la sortie attendue, la source des données et la prochaine revue.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Formules essentielles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CPM = dépenses ÷ impressions × 1 000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CTR = clics ÷ impressions × 100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CPI = dépenses ÷ installations attribuées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CAC complet = acquisition totale ÷ nouveaux clients payants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ROAS = revenu attribué ÷ dépenses publicitaires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MER = revenu total ÷ dépenses marketing totales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MRR final = initial + new + expansion + réactivation − contraction − churn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GRR = (MRR initial − churn − contraction) ÷ MRR initial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NRR = (MRR initial − churn − contraction + expansion + réactivation) ÷ MRR initial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Runway = trésorerie disponible ÷ burn mensuel net</w:t>
      </w:r>
    </w:p>
    <w:tbl>
      <w:tblPr>
        <w:tblStyle w:val="Table5"/>
        <w:tblW w:w="9720.0" w:type="dxa"/>
        <w:jc w:val="left"/>
        <w:tblInd w:w="-115.0" w:type="dxa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eaf4fa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7d7e"/>
                <w:sz w:val="18"/>
                <w:szCs w:val="18"/>
                <w:rtl w:val="0"/>
              </w:rPr>
              <w:t xml:space="preserve">CHECKLIST DE QUALITÉ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Définition stable • source et date • segment • fenêtre • propriétaire • décision associée.</w:t>
            </w:r>
          </w:p>
        </w:tc>
      </w:tr>
    </w:tbl>
    <w:p w:rsidR="00000000" w:rsidDel="00000000" w:rsidP="00000000" w:rsidRDefault="00000000" w:rsidRPr="00000000" w14:paraId="0000003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Bibliothèque 5 — Prompts IA et outils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Recherche, synthèse d’entretiens, QA, copy, analyse de cohorte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Utilisez cette fiche comme un support de décision. Notez le propriétaire, la date, les entrées, la sortie attendue, la source des données et la prochaine revue.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Validation humaine, données sensibles et versioning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Utilisez cette fiche comme un support de décision. Notez le propriétaire, la date, les entrées, la sortie attendue, la source des données et la prochaine revue.</w:t>
      </w:r>
    </w:p>
    <w:tbl>
      <w:tblPr>
        <w:tblStyle w:val="Table6"/>
        <w:tblW w:w="9720.0" w:type="dxa"/>
        <w:jc w:val="left"/>
        <w:tblInd w:w="-115.0" w:type="dxa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eaf4fa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7d7e"/>
                <w:sz w:val="18"/>
                <w:szCs w:val="18"/>
                <w:rtl w:val="0"/>
              </w:rPr>
              <w:t xml:space="preserve">CHECKLIST DE QUALITÉ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Définition stable • source et date • segment • fenêtre • propriétaire • décision associée.</w:t>
            </w:r>
          </w:p>
        </w:tc>
      </w:tr>
    </w:tbl>
    <w:p w:rsidR="00000000" w:rsidDel="00000000" w:rsidP="00000000" w:rsidRDefault="00000000" w:rsidRPr="00000000" w14:paraId="0000003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Bibliothèque 6 — Glossaire et inspirations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Vocabulaire produit/growth/finance et index d’apps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Utilisez cette fiche comme un support de décision. Notez le propriétaire, la date, les entrées, la sortie attendue, la source des données et la prochaine revue.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Chaque inspiration reliée à un mécanisme observable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Utilisez cette fiche comme un support de décision. Notez le propriétaire, la date, les entrées, la sortie attendue, la source des données et la prochaine revue.</w:t>
      </w:r>
    </w:p>
    <w:tbl>
      <w:tblPr>
        <w:tblStyle w:val="Table7"/>
        <w:tblW w:w="9720.0" w:type="dxa"/>
        <w:jc w:val="left"/>
        <w:tblInd w:w="-115.0" w:type="dxa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eaf4fa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7d7e"/>
                <w:sz w:val="18"/>
                <w:szCs w:val="18"/>
                <w:rtl w:val="0"/>
              </w:rPr>
              <w:t xml:space="preserve">CHECKLIST DE QUALITÉ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Définition stable • source et date • segment • fenêtre • propriétaire • décision associée.</w:t>
            </w:r>
          </w:p>
        </w:tc>
      </w:tr>
    </w:tbl>
    <w:p w:rsidR="00000000" w:rsidDel="00000000" w:rsidP="00000000" w:rsidRDefault="00000000" w:rsidRPr="00000000" w14:paraId="00000046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123" w:top="1123" w:left="1181" w:right="118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d273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727e"/>
        <w:sz w:val="16"/>
        <w:szCs w:val="16"/>
        <w:u w:val="none"/>
        <w:shd w:fill="auto" w:val="clear"/>
        <w:vertAlign w:val="baseline"/>
        <w:rtl w:val="0"/>
      </w:rPr>
      <w:t xml:space="preserve">Bibliothèque opérateur  •  Édition 1.0  •  Août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d2733"/>
        <w:sz w:val="21"/>
        <w:szCs w:val="21"/>
        <w:lang w:val="en"/>
      </w:rPr>
    </w:rPrDefault>
    <w:pPrDefault>
      <w:pPr>
        <w:spacing w:after="12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360" w:lineRule="auto"/>
    </w:pPr>
    <w:rPr>
      <w:rFonts w:ascii="Arial" w:cs="Arial" w:eastAsia="Arial" w:hAnsi="Arial"/>
      <w:b w:val="1"/>
      <w:bCs w:val="1"/>
      <w:color w:val="18324a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80" w:lineRule="auto"/>
    </w:pPr>
    <w:rPr>
      <w:rFonts w:ascii="Arial" w:cs="Arial" w:eastAsia="Arial" w:hAnsi="Arial"/>
      <w:b w:val="1"/>
      <w:bCs w:val="1"/>
      <w:color w:val="147d7e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00" w:lineRule="auto"/>
    </w:pPr>
    <w:rPr>
      <w:rFonts w:ascii="Arial" w:cs="Arial" w:eastAsia="Arial" w:hAnsi="Arial"/>
      <w:b w:val="1"/>
      <w:bCs w:val="1"/>
      <w:color w:val="18324a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