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8A6D1F"/>
          <w:sz w:val="28"/>
        </w:rPr>
        <w:t>VERTEX INTERNATIONAL RECRUITMENT</w:t>
      </w:r>
    </w:p>
    <w:p>
      <w:pPr>
        <w:jc w:val="center"/>
      </w:pPr>
      <w:r>
        <w:rPr>
          <w:b/>
          <w:color w:val="0A1F1A"/>
          <w:sz w:val="56"/>
        </w:rPr>
        <w:t>Finance Portal</w:t>
      </w:r>
    </w:p>
    <w:p>
      <w:pPr>
        <w:jc w:val="center"/>
      </w:pPr>
      <w:r>
        <w:rPr>
          <w:i/>
          <w:color w:val="555555"/>
          <w:sz w:val="26"/>
        </w:rPr>
        <w:t>A Guide for Finance — Recording and Collecting Milestone Payments</w:t>
      </w:r>
    </w:p>
    <w:p/>
    <w:p>
      <w:pPr>
        <w:pStyle w:val="Heading1"/>
      </w:pPr>
      <w:r>
        <w:rPr>
          <w:color w:val="0A1F1A"/>
          <w:sz w:val="36"/>
        </w:rPr>
        <w:t>1. Getting Started</w:t>
      </w:r>
    </w:p>
    <w:p>
      <w:pPr>
        <w:pStyle w:val="ListNumber"/>
      </w:pPr>
      <w:r>
        <w:rPr>
          <w:b/>
        </w:rPr>
        <w:t xml:space="preserve">Go to </w:t>
      </w:r>
      <w:r>
        <w:t>https://www.vertexintern.com/auth/login</w:t>
      </w:r>
    </w:p>
    <w:p>
      <w:pPr>
        <w:pStyle w:val="ListNumber"/>
      </w:pPr>
      <w:r>
        <w:rPr>
          <w:b/>
        </w:rPr>
        <w:t xml:space="preserve">Enter your </w:t>
      </w:r>
      <w:r>
        <w:t>email address and password, then click “Sign In.”</w:t>
      </w:r>
    </w:p>
    <w:p>
      <w:pPr>
        <w:pStyle w:val="ListNumber"/>
      </w:pPr>
      <w:r>
        <w:rPr>
          <w:b/>
        </w:rPr>
        <w:t xml:space="preserve">If you are not taken straight to your dashboard, go directly to </w:t>
      </w:r>
      <w:r>
        <w:t>https://www.vertexintern.com/finance — this is your Finance Portal home.</w:t>
      </w:r>
    </w:p>
    <w:p>
      <w:r>
        <w:rPr>
          <w:b/>
          <w:color w:val="8A6D1F"/>
        </w:rPr>
        <w:t xml:space="preserve">Logging out: </w:t>
      </w:r>
      <w:r>
        <w:rPr>
          <w:i/>
        </w:rPr>
        <w:t>Click “Log out” at the bottom of the left-hand menu at any time.</w:t>
      </w:r>
    </w:p>
    <w:p>
      <w:pPr>
        <w:pStyle w:val="Heading1"/>
      </w:pPr>
      <w:r>
        <w:rPr>
          <w:color w:val="0A1F1A"/>
          <w:sz w:val="36"/>
        </w:rPr>
        <w:t>2. Your Portal at a Glance</w:t>
      </w:r>
    </w:p>
    <w:p>
      <w:pPr>
        <w:pStyle w:val="ListBullet"/>
      </w:pPr>
      <w:r>
        <w:rPr>
          <w:b/>
        </w:rPr>
        <w:t xml:space="preserve">Payments Due — </w:t>
      </w:r>
      <w:r>
        <w:t>every milestone that's been reached but not yet collected, across every case.</w:t>
      </w:r>
    </w:p>
    <w:p>
      <w:pPr>
        <w:pStyle w:val="ListBullet"/>
      </w:pPr>
      <w:r>
        <w:rPr>
          <w:b/>
        </w:rPr>
        <w:t xml:space="preserve">Cases — </w:t>
      </w:r>
      <w:r>
        <w:t>search any case directly to record a payment or send a payment link. Stage and document updates are Operations' own lane — your access to a case here is payments-only.</w:t>
      </w:r>
    </w:p>
    <w:p>
      <w:pPr>
        <w:pStyle w:val="Heading1"/>
      </w:pPr>
      <w:r>
        <w:rPr>
          <w:color w:val="0A1F1A"/>
          <w:sz w:val="36"/>
        </w:rPr>
        <w:t>3. How Milestone Payments Work</w:t>
      </w:r>
    </w:p>
    <w:p>
      <w:r>
        <w:rPr>
          <w:b w:val="0"/>
          <w:i w:val="0"/>
          <w:sz w:val="22"/>
        </w:rPr>
        <w:t>Every case linked to a specific work-permit programme (an “opportunity”) has a total service fee, split into three fixed stages: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A1F1A"/>
          </w:tcPr>
          <w:p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120"/>
            <w:shd w:fill="0A1F1A"/>
          </w:tcPr>
          <w:p>
            <w:r/>
            <w:r>
              <w:rPr>
                <w:b/>
                <w:color w:val="FFFFFF"/>
              </w:rPr>
              <w:t>Share of Total Fee</w:t>
            </w:r>
          </w:p>
        </w:tc>
        <w:tc>
          <w:tcPr>
            <w:tcW w:type="dxa" w:w="3120"/>
            <w:shd w:fill="0A1F1A"/>
          </w:tcPr>
          <w:p>
            <w:r/>
            <w:r>
              <w:rPr>
                <w:b/>
                <w:color w:val="FFFFFF"/>
              </w:rPr>
              <w:t>Becomes due when the case reaches…</w:t>
            </w:r>
          </w:p>
        </w:tc>
      </w:tr>
      <w:tr>
        <w:tc>
          <w:tcPr>
            <w:tcW w:type="dxa" w:w="3120"/>
          </w:tcPr>
          <w:p>
            <w:r>
              <w:t>1. Documentation</w:t>
            </w:r>
          </w:p>
        </w:tc>
        <w:tc>
          <w:tcPr>
            <w:tcW w:type="dxa" w:w="3120"/>
          </w:tcPr>
          <w:p>
            <w:r>
              <w:t>25%</w:t>
            </w:r>
          </w:p>
        </w:tc>
        <w:tc>
          <w:tcPr>
            <w:tcW w:type="dxa" w:w="3120"/>
          </w:tcPr>
          <w:p>
            <w:r>
              <w:t>Stage 1 — Candidate Registration &amp; Document Submission (i.e. as soon as the case opens)</w:t>
            </w:r>
          </w:p>
        </w:tc>
      </w:tr>
      <w:tr>
        <w:tc>
          <w:tcPr>
            <w:tcW w:type="dxa" w:w="3120"/>
          </w:tcPr>
          <w:p>
            <w:r>
              <w:t>2. Work Permit</w:t>
            </w:r>
          </w:p>
        </w:tc>
        <w:tc>
          <w:tcPr>
            <w:tcW w:type="dxa" w:w="3120"/>
          </w:tcPr>
          <w:p>
            <w:r>
              <w:t>25%</w:t>
            </w:r>
          </w:p>
        </w:tc>
        <w:tc>
          <w:tcPr>
            <w:tcW w:type="dxa" w:w="3120"/>
          </w:tcPr>
          <w:p>
            <w:r>
              <w:t>Stage 5 — Work Permit &amp; Work Authorization Approval</w:t>
            </w:r>
          </w:p>
        </w:tc>
      </w:tr>
      <w:tr>
        <w:tc>
          <w:tcPr>
            <w:tcW w:type="dxa" w:w="3120"/>
          </w:tcPr>
          <w:p>
            <w:r>
              <w:t>3. Visa</w:t>
            </w:r>
          </w:p>
        </w:tc>
        <w:tc>
          <w:tcPr>
            <w:tcW w:type="dxa" w:w="3120"/>
          </w:tcPr>
          <w:p>
            <w:r>
              <w:t>50%</w:t>
            </w:r>
          </w:p>
        </w:tc>
        <w:tc>
          <w:tcPr>
            <w:tcW w:type="dxa" w:w="3120"/>
          </w:tcPr>
          <w:p>
            <w:r>
              <w:t>Stage 9 — Embassy Interview &amp; Visa Decision</w:t>
            </w:r>
          </w:p>
        </w:tc>
      </w:tr>
    </w:tbl>
    <w:p/>
    <w:p>
      <w:r>
        <w:rPr>
          <w:b w:val="0"/>
          <w:i w:val="0"/>
          <w:sz w:val="22"/>
        </w:rPr>
        <w:t>The three stage amounts always add up exactly to the case's total service fee — Vertex's system calculates them automatically from the specific opportunity's price, so you never need to work them out by hand.</w:t>
      </w:r>
    </w:p>
    <w:p>
      <w:r>
        <w:rPr>
          <w:b w:val="0"/>
          <w:i/>
          <w:sz w:val="22"/>
        </w:rPr>
        <w:t>Milestone payments only apply where the destination country (or the global default) has this feature switched on. If it isn't yet enabled for a destination, the payments section on that case simply won't show — Management can turn it on under Fee Policy.</w:t>
      </w:r>
    </w:p>
    <w:p>
      <w:pPr>
        <w:pStyle w:val="Heading1"/>
      </w:pPr>
      <w:r>
        <w:rPr>
          <w:color w:val="0A1F1A"/>
          <w:sz w:val="36"/>
        </w:rPr>
        <w:t>4. Payments Due</w:t>
      </w:r>
    </w:p>
    <w:p>
      <w:r>
        <w:rPr>
          <w:b w:val="0"/>
          <w:i w:val="0"/>
          <w:sz w:val="22"/>
        </w:rPr>
        <w:t>This list shows every (case, milestone) combination that has reached its trigger stage but hasn't been collected yet — candidate, programme, which milestone, the amount due, the case's current stage, and a link straight into the case. If nothing is currently due, it simply reads “Nothing due right now.”</w:t>
      </w:r>
    </w:p>
    <w:p>
      <w:r>
        <w:rPr>
          <w:b w:val="0"/>
          <w:i/>
          <w:sz w:val="22"/>
        </w:rPr>
        <w:t>A case with no linked opportunity (a general enquiry with no specific programme attached) never appears here — there's no fee to calculate a due amount from.</w:t>
      </w:r>
    </w:p>
    <w:p>
      <w:pPr>
        <w:pStyle w:val="Heading1"/>
      </w:pPr>
      <w:r>
        <w:rPr>
          <w:color w:val="0A1F1A"/>
          <w:sz w:val="36"/>
        </w:rPr>
        <w:t>5. Recording a Payment Manually</w:t>
      </w:r>
    </w:p>
    <w:p>
      <w:r>
        <w:rPr>
          <w:b w:val="0"/>
          <w:i w:val="0"/>
          <w:sz w:val="22"/>
        </w:rPr>
        <w:t>This is the standard way to record a payment for any candidate who was sourced through a partner agency or a Vertex recruiter — those candidates are invoiced and paid outside the platform, so you're recording that a payment has already been collected, not collecting one yourself through Vertex.</w:t>
      </w:r>
    </w:p>
    <w:p>
      <w:pPr>
        <w:pStyle w:val="ListNumber"/>
      </w:pPr>
      <w:r>
        <w:t>Open the case (from Payments Due, or by searching Cases directly).</w:t>
      </w:r>
    </w:p>
    <w:p>
      <w:pPr>
        <w:pStyle w:val="ListNumber"/>
      </w:pPr>
      <w:r>
        <w:rPr>
          <w:b/>
        </w:rPr>
        <w:t xml:space="preserve">In the Milestone Payments card, pick the milestone from the dropdown — </w:t>
      </w:r>
      <w:r>
        <w:t>“Documentation (Stage 1 · 25%),” “Work Permit (Stage 2 · 25%),” or “Visa (Stage 3 · 50%).” The Amount field auto-fills with the correct figure, but you can adjust it if needed.</w:t>
      </w:r>
    </w:p>
    <w:p>
      <w:pPr>
        <w:pStyle w:val="ListNumber"/>
      </w:pPr>
      <w:r>
        <w:t>Optionally type a Receipt reference (an invoice/receipt number).</w:t>
      </w:r>
    </w:p>
    <w:p>
      <w:pPr>
        <w:pStyle w:val="ListNumber"/>
      </w:pPr>
      <w:r>
        <w:rPr>
          <w:b/>
        </w:rPr>
        <w:t xml:space="preserve">Optionally attach the </w:t>
      </w:r>
      <w:r>
        <w:t>actual receipt file — click the file picker; it uploads immediately and shows “✓ Receipt attached” once done. This is the recommended way to keep a real record on file, especially since these candidates were never paid through Vertex's own checkout.</w:t>
      </w:r>
    </w:p>
    <w:p>
      <w:pPr>
        <w:pStyle w:val="ListNumber"/>
      </w:pPr>
      <w:r>
        <w:rPr>
          <w:b/>
        </w:rPr>
        <w:t xml:space="preserve">Click </w:t>
      </w:r>
      <w:r>
        <w:t>“Record.”</w:t>
      </w:r>
    </w:p>
    <w:p>
      <w:r>
        <w:rPr>
          <w:b w:val="0"/>
          <w:i w:val="0"/>
          <w:sz w:val="22"/>
        </w:rPr>
        <w:t>Either the reference, the file, both, or neither can be filled in — none are mandatory, but at least one is strongly recommended for your own records.</w:t>
      </w:r>
    </w:p>
    <w:p>
      <w:pPr>
        <w:pStyle w:val="Heading1"/>
      </w:pPr>
      <w:r>
        <w:rPr>
          <w:color w:val="0A1F1A"/>
          <w:sz w:val="36"/>
        </w:rPr>
        <w:t>6. Sending a Stripe Payment Link — Self-Applicants Only</w:t>
      </w:r>
    </w:p>
    <w:p>
      <w:r>
        <w:rPr>
          <w:b w:val="0"/>
          <w:i/>
          <w:sz w:val="22"/>
        </w:rPr>
        <w:t>This option only appears for candidates who applied directly through the Vertex website themselves (self-applicants). It will never appear for a partner-sourced or recruiter-sourced candidate — their payment is always handled the manual way described above, since Vertex never takes their payment directly through this platform.</w:t>
      </w:r>
    </w:p>
    <w:p>
      <w:pPr>
        <w:pStyle w:val="ListNumber"/>
      </w:pPr>
      <w:r>
        <w:t>Open the self-applicant's case.</w:t>
      </w:r>
    </w:p>
    <w:p>
      <w:pPr>
        <w:pStyle w:val="ListNumber"/>
      </w:pPr>
      <w:r>
        <w:t>In the Milestone Payments card's second row, pick the milestone.</w:t>
      </w:r>
    </w:p>
    <w:p>
      <w:pPr>
        <w:pStyle w:val="ListNumber"/>
      </w:pPr>
      <w:r>
        <w:rPr>
          <w:b/>
        </w:rPr>
        <w:t xml:space="preserve">Click </w:t>
      </w:r>
      <w:r>
        <w:t>“Send Payment Link.” A real Stripe payment link is generated and emailed directly to the candidate.</w:t>
      </w:r>
    </w:p>
    <w:p>
      <w:r>
        <w:rPr>
          <w:b w:val="0"/>
          <w:i w:val="0"/>
          <w:sz w:val="22"/>
        </w:rPr>
        <w:t>The button is disabled (with an explanation) if the case has no linked opportunity — there's no pre-set Stripe price to reference in that case, so use the manual Record option instead.</w:t>
      </w:r>
    </w:p>
    <w:p>
      <w:pPr>
        <w:pStyle w:val="Heading1"/>
      </w:pPr>
      <w:r>
        <w:rPr>
          <w:color w:val="0A1F1A"/>
          <w:sz w:val="36"/>
        </w:rPr>
        <w:t>7. Checking Payment Status</w:t>
      </w:r>
    </w:p>
    <w:p>
      <w:r>
        <w:rPr>
          <w:b w:val="0"/>
          <w:i w:val="0"/>
          <w:sz w:val="22"/>
        </w:rPr>
        <w:t>A payment sent via Stripe shows as “pending” until the candidate actually pays. If a candidate says they've already paid but it still shows pending, click “Check Status” next to that payment — this checks directly with Stripe and updates the record if the payment has in fact gone through. This is a manual fallback for the rare case where Vertex's automatic payment notification didn't arrive.</w:t>
      </w:r>
    </w:p>
    <w:p>
      <w:pPr>
        <w:pStyle w:val="Heading1"/>
      </w:pPr>
      <w:r>
        <w:rPr>
          <w:color w:val="0A1F1A"/>
          <w:sz w:val="36"/>
        </w:rPr>
        <w:t>Quick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A1F1A"/>
          </w:tcPr>
          <w:p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680"/>
            <w:shd w:fill="0A1F1A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Pending</w:t>
            </w:r>
          </w:p>
        </w:tc>
        <w:tc>
          <w:tcPr>
            <w:tcW w:type="dxa" w:w="4680"/>
          </w:tcPr>
          <w:p>
            <w:r>
              <w:t>A Stripe payment link was sent but hasn't been paid yet.</w:t>
            </w:r>
          </w:p>
        </w:tc>
      </w:tr>
      <w:tr>
        <w:tc>
          <w:tcPr>
            <w:tcW w:type="dxa" w:w="4680"/>
          </w:tcPr>
          <w:p>
            <w:r>
              <w:t>Collected</w:t>
            </w:r>
          </w:p>
        </w:tc>
        <w:tc>
          <w:tcPr>
            <w:tcW w:type="dxa" w:w="4680"/>
          </w:tcPr>
          <w:p>
            <w:r>
              <w:t>The payment has been received, whether via Stripe or recorded manually.</w:t>
            </w:r>
          </w:p>
        </w:tc>
      </w:tr>
      <w:tr>
        <w:tc>
          <w:tcPr>
            <w:tcW w:type="dxa" w:w="4680"/>
          </w:tcPr>
          <w:p>
            <w:r>
              <w:t>Receipt reference</w:t>
            </w:r>
          </w:p>
        </w:tc>
        <w:tc>
          <w:tcPr>
            <w:tcW w:type="dxa" w:w="4680"/>
          </w:tcPr>
          <w:p>
            <w:r>
              <w:t>A free-text invoice/receipt number you can type in.</w:t>
            </w:r>
          </w:p>
        </w:tc>
      </w:tr>
      <w:tr>
        <w:tc>
          <w:tcPr>
            <w:tcW w:type="dxa" w:w="4680"/>
          </w:tcPr>
          <w:p>
            <w:r>
              <w:t>Receipt file</w:t>
            </w:r>
          </w:p>
        </w:tc>
        <w:tc>
          <w:tcPr>
            <w:tcW w:type="dxa" w:w="4680"/>
          </w:tcPr>
          <w:p>
            <w:r>
              <w:t>An actual uploaded copy of the receipt — recommended alongside or instead of a text reference.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