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8A6D1F"/>
          <w:sz w:val="28"/>
        </w:rPr>
        <w:t>VERTEX INTERNATIONAL RECRUITMENT</w:t>
      </w:r>
    </w:p>
    <w:p>
      <w:pPr>
        <w:jc w:val="center"/>
      </w:pPr>
      <w:r>
        <w:rPr>
          <w:b/>
          <w:color w:val="0A1F1A"/>
          <w:sz w:val="56"/>
        </w:rPr>
        <w:t>Operations Portal</w:t>
      </w:r>
    </w:p>
    <w:p>
      <w:pPr>
        <w:jc w:val="center"/>
      </w:pPr>
      <w:r>
        <w:rPr>
          <w:i/>
          <w:color w:val="555555"/>
          <w:sz w:val="26"/>
        </w:rPr>
        <w:t>A Guide for Operations — Managing Cases from Registration to Arrival</w:t>
      </w:r>
    </w:p>
    <w:p/>
    <w:p>
      <w:pPr>
        <w:pStyle w:val="Heading1"/>
      </w:pPr>
      <w:r>
        <w:rPr>
          <w:color w:val="0A1F1A"/>
          <w:sz w:val="36"/>
        </w:rPr>
        <w:t>1. Getting Started</w:t>
      </w:r>
    </w:p>
    <w:p>
      <w:pPr>
        <w:pStyle w:val="ListNumber"/>
      </w:pPr>
      <w:r>
        <w:rPr>
          <w:b/>
        </w:rPr>
        <w:t xml:space="preserve">Go to </w:t>
      </w:r>
      <w:r>
        <w:t>https://www.vertexintern.com/auth/login</w:t>
      </w:r>
    </w:p>
    <w:p>
      <w:pPr>
        <w:pStyle w:val="ListNumber"/>
      </w:pPr>
      <w:r>
        <w:rPr>
          <w:b/>
        </w:rPr>
        <w:t xml:space="preserve">Enter your </w:t>
      </w:r>
      <w:r>
        <w:t>email address and password, then click “Sign In.”</w:t>
      </w:r>
    </w:p>
    <w:p>
      <w:pPr>
        <w:pStyle w:val="ListNumber"/>
      </w:pPr>
      <w:r>
        <w:rPr>
          <w:b/>
        </w:rPr>
        <w:t xml:space="preserve">If you are not taken straight to your dashboard, go directly to </w:t>
      </w:r>
      <w:r>
        <w:t>https://www.vertexintern.com/operations — this is your Operations Portal home.</w:t>
      </w:r>
    </w:p>
    <w:p>
      <w:r>
        <w:rPr>
          <w:b/>
          <w:color w:val="8A6D1F"/>
        </w:rPr>
        <w:t xml:space="preserve">Logging out: </w:t>
      </w:r>
      <w:r>
        <w:rPr>
          <w:i/>
        </w:rPr>
        <w:t>Click “Log out” at the bottom of the left-hand menu at any time.</w:t>
      </w:r>
    </w:p>
    <w:p>
      <w:pPr>
        <w:pStyle w:val="Heading1"/>
      </w:pPr>
      <w:r>
        <w:rPr>
          <w:color w:val="0A1F1A"/>
          <w:sz w:val="36"/>
        </w:rPr>
        <w:t>2. Your Portal at a Glance</w:t>
      </w:r>
    </w:p>
    <w:p>
      <w:pPr>
        <w:pStyle w:val="ListBullet"/>
      </w:pPr>
      <w:r>
        <w:rPr>
          <w:b/>
        </w:rPr>
        <w:t xml:space="preserve">Cases — </w:t>
      </w:r>
      <w:r>
        <w:t>every active case across every country, regardless of how the candidate was sourced. This is where you do all of your work: advancing stages, managing documents, delivering the work permit, and sending reminders.</w:t>
      </w:r>
    </w:p>
    <w:p>
      <w:pPr>
        <w:pStyle w:val="ListBullet"/>
      </w:pPr>
      <w:r>
        <w:rPr>
          <w:b/>
        </w:rPr>
        <w:t xml:space="preserve">Partner Submissions — </w:t>
      </w:r>
      <w:r>
        <w:t>a read-only view of candidates partner agencies have submitted, before HR finishes approving them. You can see what's coming, but review, rejection, and case creation are handled by HR.</w:t>
      </w:r>
    </w:p>
    <w:p>
      <w:r>
        <w:rPr>
          <w:b w:val="0"/>
          <w:i/>
          <w:sz w:val="22"/>
        </w:rPr>
        <w:t>You own case stage, documents, and work permit delivery for every case. Payments are Finance's lane; contracts are Director/Admin's lane — you will not see a Contract option on a case.</w:t>
      </w:r>
    </w:p>
    <w:p>
      <w:pPr>
        <w:pStyle w:val="Heading1"/>
      </w:pPr>
      <w:r>
        <w:rPr>
          <w:color w:val="0A1F1A"/>
          <w:sz w:val="36"/>
        </w:rPr>
        <w:t>3. The 11-Stage Case Lifecycle</w:t>
      </w:r>
    </w:p>
    <w:p>
      <w:r>
        <w:rPr>
          <w:b w:val="0"/>
          <w:i w:val="0"/>
          <w:sz w:val="22"/>
        </w:rPr>
        <w:t>Every case moves through the same 11 stages, in order, from the moment it's created: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Stage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Candidate Registration &amp; Document Submission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Document Preparation, Translation &amp; Legalization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Work Permit Application Submission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Work Permit Processing &amp; Government Follow-up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Work Permit &amp; Work Authorization Approval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>Dispatch of Original Documents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Partner Receives Work Permit</w:t>
            </w:r>
          </w:p>
        </w:tc>
      </w:tr>
      <w:tr>
        <w:tc>
          <w:tcPr>
            <w:tcW w:type="dxa" w:w="4680"/>
          </w:tcPr>
          <w:p>
            <w:r>
              <w:t>8</w:t>
            </w:r>
          </w:p>
        </w:tc>
        <w:tc>
          <w:tcPr>
            <w:tcW w:type="dxa" w:w="4680"/>
          </w:tcPr>
          <w:p>
            <w:r>
              <w:t>Embassy Appointment &amp; Visa Interview Preparation</w:t>
            </w:r>
          </w:p>
        </w:tc>
      </w:tr>
      <w:tr>
        <w:tc>
          <w:tcPr>
            <w:tcW w:type="dxa" w:w="4680"/>
          </w:tcPr>
          <w:p>
            <w:r>
              <w:t>9</w:t>
            </w:r>
          </w:p>
        </w:tc>
        <w:tc>
          <w:tcPr>
            <w:tcW w:type="dxa" w:w="4680"/>
          </w:tcPr>
          <w:p>
            <w:r>
              <w:t>Embassy Interview &amp; Visa Decision</w:t>
            </w:r>
          </w:p>
        </w:tc>
      </w:tr>
      <w:tr>
        <w:tc>
          <w:tcPr>
            <w:tcW w:type="dxa" w:w="4680"/>
          </w:tcPr>
          <w:p>
            <w:r>
              <w:t>10</w:t>
            </w:r>
          </w:p>
        </w:tc>
        <w:tc>
          <w:tcPr>
            <w:tcW w:type="dxa" w:w="4680"/>
          </w:tcPr>
          <w:p>
            <w:r>
              <w:t>Pre-Departure &amp; Flight Arrangements</w:t>
            </w:r>
          </w:p>
        </w:tc>
      </w:tr>
      <w:tr>
        <w:tc>
          <w:tcPr>
            <w:tcW w:type="dxa" w:w="4680"/>
          </w:tcPr>
          <w:p>
            <w:r>
              <w:t>11</w:t>
            </w:r>
          </w:p>
        </w:tc>
        <w:tc>
          <w:tcPr>
            <w:tcW w:type="dxa" w:w="4680"/>
          </w:tcPr>
          <w:p>
            <w:r>
              <w:t>Departure &amp; Arrival Support</w:t>
            </w:r>
          </w:p>
        </w:tc>
      </w:tr>
    </w:tbl>
    <w:p/>
    <w:p>
      <w:r>
        <w:rPr>
          <w:b w:val="0"/>
          <w:i w:val="0"/>
          <w:sz w:val="22"/>
        </w:rPr>
        <w:t>Every case starts at Stage 1. The case page always shows an 11-segment progress bar filled up to the current stage, plus the exact stage name and a full history of every stage the case has already passed through (who set it, when, and any notes left at the time).</w:t>
      </w:r>
    </w:p>
    <w:p>
      <w:pPr>
        <w:pStyle w:val="Heading1"/>
      </w:pPr>
      <w:r>
        <w:rPr>
          <w:color w:val="0A1F1A"/>
          <w:sz w:val="36"/>
        </w:rPr>
        <w:t>4. Advancing a Case's Stage</w:t>
      </w:r>
    </w:p>
    <w:p>
      <w:pPr>
        <w:pStyle w:val="ListNumber"/>
      </w:pPr>
      <w:r>
        <w:t>Open the case from the Cases list — use the search box, Country filter, or Stage filter to find it quickly. The Deadline column shows red “Overdue” or amber “Due in Nd” flags for cases that need attention.</w:t>
      </w:r>
    </w:p>
    <w:p>
      <w:pPr>
        <w:pStyle w:val="ListNumber"/>
      </w:pPr>
      <w:r>
        <w:t>Above the Stage History, pick the new stage from the dropdown — you can move to any stage, not just the next one in sequence, in case a correction is needed.</w:t>
      </w:r>
    </w:p>
    <w:p>
      <w:pPr>
        <w:pStyle w:val="ListNumber"/>
      </w:pPr>
      <w:r>
        <w:t>Optionally set a Deadline date and add Notes explaining the update.</w:t>
      </w:r>
    </w:p>
    <w:p>
      <w:pPr>
        <w:pStyle w:val="ListNumber"/>
      </w:pPr>
      <w:r>
        <w:rPr>
          <w:b/>
        </w:rPr>
        <w:t xml:space="preserve">Click </w:t>
      </w:r>
      <w:r>
        <w:t>“Update Stage.”</w:t>
      </w:r>
    </w:p>
    <w:p>
      <w:r>
        <w:rPr>
          <w:b w:val="0"/>
          <w:i/>
          <w:sz w:val="22"/>
        </w:rPr>
        <w:t>Two things happen automatically when you update a stage: the candidate is emailed a status update (if they have an account), and if you move a case into the final stage (“Departure &amp; Arrival Support”), a 90-Day Retention Follow-Up is automatically scheduled — see Section 7.</w:t>
      </w:r>
    </w:p>
    <w:p>
      <w:pPr>
        <w:pStyle w:val="Heading1"/>
      </w:pPr>
      <w:r>
        <w:rPr>
          <w:color w:val="0A1F1A"/>
          <w:sz w:val="36"/>
        </w:rPr>
        <w:t>5. Delivering the Work Permit</w:t>
      </w:r>
    </w:p>
    <w:p>
      <w:r>
        <w:rPr>
          <w:b w:val="0"/>
          <w:i w:val="0"/>
          <w:sz w:val="22"/>
        </w:rPr>
        <w:t>The Work Permit card on each case shows whether the government-issued permit has been delivered yet.</w:t>
      </w:r>
    </w:p>
    <w:p>
      <w:pPr>
        <w:pStyle w:val="ListNumber"/>
      </w:pPr>
      <w:r>
        <w:t>If nothing is delivered yet, it reads “Not delivered yet.”</w:t>
      </w:r>
    </w:p>
    <w:p>
      <w:pPr>
        <w:pStyle w:val="ListNumber"/>
      </w:pPr>
      <w:r>
        <w:t>Choose the file and click “Upload” (or “Replace” if one's already on file) to attach the issued permit document.</w:t>
      </w:r>
    </w:p>
    <w:p>
      <w:pPr>
        <w:pStyle w:val="Heading1"/>
      </w:pPr>
      <w:r>
        <w:rPr>
          <w:color w:val="0A1F1A"/>
          <w:sz w:val="36"/>
        </w:rPr>
        <w:t>6. Managing Documents</w:t>
      </w:r>
    </w:p>
    <w:p>
      <w:r>
        <w:rPr>
          <w:b w:val="0"/>
          <w:i w:val="0"/>
          <w:sz w:val="22"/>
        </w:rPr>
        <w:t>The Documents card lists everything on the candidate's record. Each document has its own “Verify” / “Reject” buttons — use these to confirm a document is acceptable or flag it for replacement. To add a new document yourself, pick its type from the dropdown, choose the file, and click “Upload.”</w:t>
      </w:r>
    </w:p>
    <w:p>
      <w:pPr>
        <w:pStyle w:val="Heading1"/>
      </w:pPr>
      <w:r>
        <w:rPr>
          <w:color w:val="0A1F1A"/>
          <w:sz w:val="36"/>
        </w:rPr>
        <w:t>7. Sending a Reminder</w:t>
      </w:r>
    </w:p>
    <w:p>
      <w:r>
        <w:rPr>
          <w:b w:val="0"/>
          <w:i w:val="0"/>
          <w:sz w:val="22"/>
        </w:rPr>
        <w:t>Use this for a one-off nudge — it is not automatic, so only send it when you've decided it's actually needed.</w:t>
      </w:r>
    </w:p>
    <w:p>
      <w:pPr>
        <w:pStyle w:val="ListNumber"/>
      </w:pPr>
      <w:r>
        <w:rPr>
          <w:b/>
        </w:rPr>
        <w:t xml:space="preserve">Pick the </w:t>
      </w:r>
      <w:r>
        <w:t>Channel — “Document delay” or “Payment due.”</w:t>
      </w:r>
    </w:p>
    <w:p>
      <w:pPr>
        <w:pStyle w:val="ListNumber"/>
      </w:pPr>
      <w:r>
        <w:rPr>
          <w:b/>
        </w:rPr>
        <w:t xml:space="preserve">Pick the </w:t>
      </w:r>
      <w:r>
        <w:t>Recipient — “Remind Candidate,” or “Remind Partner” if the candidate came through a partner agency.</w:t>
      </w:r>
    </w:p>
    <w:p>
      <w:pPr>
        <w:pStyle w:val="ListNumber"/>
      </w:pPr>
      <w:r>
        <w:t>Optionally add a short message.</w:t>
      </w:r>
    </w:p>
    <w:p>
      <w:pPr>
        <w:pStyle w:val="ListNumber"/>
      </w:pPr>
      <w:r>
        <w:rPr>
          <w:b/>
        </w:rPr>
        <w:t xml:space="preserve">Click </w:t>
      </w:r>
      <w:r>
        <w:t>“Send Reminder.” A real email goes out immediately, and the reminder is logged in the case's Activity Log.</w:t>
      </w:r>
    </w:p>
    <w:p>
      <w:pPr>
        <w:pStyle w:val="Heading1"/>
      </w:pPr>
      <w:r>
        <w:rPr>
          <w:color w:val="0A1F1A"/>
          <w:sz w:val="36"/>
        </w:rPr>
        <w:t>8. 90-Day Retention Follow-Up</w:t>
      </w:r>
    </w:p>
    <w:p>
      <w:r>
        <w:rPr>
          <w:b w:val="0"/>
          <w:i w:val="0"/>
          <w:sz w:val="22"/>
        </w:rPr>
        <w:t>Once a case reaches the final stage (Departure &amp; Arrival Support), Vertex automatically schedules a follow-up 90 days later. When that follow-up is due, a card appears on the case with the due date. Once you've completed it (checked in with the candidate after arrival), click “Mark Complete.”</w:t>
      </w:r>
    </w:p>
    <w:p>
      <w:pPr>
        <w:pStyle w:val="Heading1"/>
      </w:pPr>
      <w:r>
        <w:rPr>
          <w:color w:val="0A1F1A"/>
          <w:sz w:val="36"/>
        </w:rPr>
        <w:t>9. Partner Submissions (Read-Only)</w:t>
      </w:r>
    </w:p>
    <w:p>
      <w:r>
        <w:rPr>
          <w:b w:val="0"/>
          <w:i w:val="0"/>
          <w:sz w:val="22"/>
        </w:rPr>
        <w:t>This tab shows candidates partner agencies have submitted that HR hasn't finished reviewing yet — candidate, partner, opportunity, and document completeness. It's for visibility only: you can see what's coming, but you cannot open, approve, reject, or otherwise act on these from here. Once HR approves one and creates a Case, it will show up on your main Cases list like any other.</w:t>
      </w:r>
    </w:p>
    <w:p>
      <w:pPr>
        <w:pStyle w:val="Heading1"/>
      </w:pPr>
      <w:r>
        <w:rPr>
          <w:color w:val="0A1F1A"/>
          <w:sz w:val="36"/>
        </w:rPr>
        <w:t>Quick Reference — Deadline Colours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Colour</w:t>
            </w:r>
          </w:p>
        </w:tc>
        <w:tc>
          <w:tcPr>
            <w:tcW w:type="dxa" w:w="4680"/>
            <w:shd w:fill="0A1F1A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Red — “Overdue Nd”</w:t>
            </w:r>
          </w:p>
        </w:tc>
        <w:tc>
          <w:tcPr>
            <w:tcW w:type="dxa" w:w="4680"/>
          </w:tcPr>
          <w:p>
            <w:r>
              <w:t>The deadline has already passed.</w:t>
            </w:r>
          </w:p>
        </w:tc>
      </w:tr>
      <w:tr>
        <w:tc>
          <w:tcPr>
            <w:tcW w:type="dxa" w:w="4680"/>
          </w:tcPr>
          <w:p>
            <w:r>
              <w:t>Amber — “Due in Nd”</w:t>
            </w:r>
          </w:p>
        </w:tc>
        <w:tc>
          <w:tcPr>
            <w:tcW w:type="dxa" w:w="4680"/>
          </w:tcPr>
          <w:p>
            <w:r>
              <w:t>Due within the next 7 days.</w:t>
            </w:r>
          </w:p>
        </w:tc>
      </w:tr>
      <w:tr>
        <w:tc>
          <w:tcPr>
            <w:tcW w:type="dxa" w:w="4680"/>
          </w:tcPr>
          <w:p>
            <w:r>
              <w:t>Plain date</w:t>
            </w:r>
          </w:p>
        </w:tc>
        <w:tc>
          <w:tcPr>
            <w:tcW w:type="dxa" w:w="4680"/>
          </w:tcPr>
          <w:p>
            <w:r>
              <w:t>Due later, no urgency yet.</w:t>
            </w:r>
          </w:p>
        </w:tc>
      </w:tr>
      <w:tr>
        <w:tc>
          <w:tcPr>
            <w:tcW w:type="dxa" w:w="4680"/>
          </w:tcPr>
          <w:p>
            <w:r>
              <w:t>Blank</w:t>
            </w:r>
          </w:p>
        </w:tc>
        <w:tc>
          <w:tcPr>
            <w:tcW w:type="dxa" w:w="4680"/>
          </w:tcPr>
          <w:p>
            <w:r>
              <w:t>No deadline set for this case.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