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8A6D1F"/>
          <w:sz w:val="28"/>
        </w:rPr>
        <w:t>VERTEX INTERNATIONAL RECRUITMENT</w:t>
      </w:r>
    </w:p>
    <w:p>
      <w:pPr>
        <w:jc w:val="center"/>
      </w:pPr>
      <w:r>
        <w:rPr>
          <w:b/>
          <w:color w:val="0A1F1A"/>
          <w:sz w:val="56"/>
        </w:rPr>
        <w:t>Partner Portal</w:t>
      </w:r>
    </w:p>
    <w:p>
      <w:pPr>
        <w:jc w:val="center"/>
      </w:pPr>
      <w:r>
        <w:rPr>
          <w:i/>
          <w:color w:val="555555"/>
          <w:sz w:val="26"/>
        </w:rPr>
        <w:t>A Guide for Partner Agencies Submitting Candidates to Vertex</w:t>
      </w:r>
    </w:p>
    <w:p/>
    <w:p>
      <w:pPr>
        <w:pStyle w:val="Heading1"/>
      </w:pPr>
      <w:r>
        <w:rPr>
          <w:color w:val="0A1F1A"/>
          <w:sz w:val="36"/>
        </w:rPr>
        <w:t>1. Getting Started</w:t>
      </w:r>
    </w:p>
    <w:p>
      <w:r>
        <w:rPr>
          <w:b w:val="0"/>
          <w:i w:val="0"/>
          <w:sz w:val="22"/>
        </w:rPr>
        <w:t>Vertex will provision your agency's login and email it to you. If you haven't received it yet, contact your Vertex representative before proceeding.</w:t>
      </w:r>
    </w:p>
    <w:p>
      <w:pPr>
        <w:pStyle w:val="ListNumber"/>
      </w:pPr>
      <w:r>
        <w:rPr>
          <w:b/>
        </w:rPr>
        <w:t xml:space="preserve">Go to </w:t>
      </w:r>
      <w:r>
        <w:t>https://www.vertexintern.com/auth/login</w:t>
      </w:r>
    </w:p>
    <w:p>
      <w:pPr>
        <w:pStyle w:val="ListNumber"/>
      </w:pPr>
      <w:r>
        <w:rPr>
          <w:b/>
        </w:rPr>
        <w:t xml:space="preserve">Enter your </w:t>
      </w:r>
      <w:r>
        <w:t>registered email address and password, then click “Sign In.”</w:t>
      </w:r>
    </w:p>
    <w:p>
      <w:pPr>
        <w:pStyle w:val="ListNumber"/>
      </w:pPr>
      <w:r>
        <w:rPr>
          <w:b/>
        </w:rPr>
        <w:t xml:space="preserve">If you are not taken straight to your dashboard, go directly to </w:t>
      </w:r>
      <w:r>
        <w:t>https://www.vertexintern.com/partner — this is your Partner Portal home.</w:t>
      </w:r>
    </w:p>
    <w:p>
      <w:r>
        <w:rPr>
          <w:b/>
          <w:color w:val="8A6D1F"/>
        </w:rPr>
        <w:t xml:space="preserve">Logging out: </w:t>
      </w:r>
      <w:r>
        <w:rPr>
          <w:i/>
        </w:rPr>
        <w:t>Click “Log out” at the bottom of the left-hand menu (or in the menu drawer on mobile) at any time.</w:t>
      </w:r>
    </w:p>
    <w:p>
      <w:pPr>
        <w:pStyle w:val="Heading1"/>
      </w:pPr>
      <w:r>
        <w:rPr>
          <w:color w:val="0A1F1A"/>
          <w:sz w:val="36"/>
        </w:rPr>
        <w:t>2. Your Portal at a Glance</w:t>
      </w:r>
    </w:p>
    <w:p>
      <w:r>
        <w:rPr>
          <w:b w:val="0"/>
          <w:i w:val="0"/>
          <w:sz w:val="22"/>
        </w:rPr>
        <w:t>Your portal has two sections, always visible in the left-hand menu:</w:t>
      </w:r>
    </w:p>
    <w:p>
      <w:pPr>
        <w:pStyle w:val="ListBullet"/>
      </w:pPr>
      <w:r>
        <w:rPr>
          <w:b/>
        </w:rPr>
        <w:t xml:space="preserve">My Candidates — </w:t>
      </w:r>
      <w:r>
        <w:t>submit new candidates and track every submission you've made.</w:t>
      </w:r>
    </w:p>
    <w:p>
      <w:pPr>
        <w:pStyle w:val="ListBullet"/>
      </w:pPr>
      <w:r>
        <w:rPr>
          <w:b/>
        </w:rPr>
        <w:t xml:space="preserve">Cases — </w:t>
      </w:r>
      <w:r>
        <w:t>once Vertex approves a candidate and opens a case, track its progress here — documentation, work permit, and visa stages.</w:t>
      </w:r>
    </w:p>
    <w:p>
      <w:r>
        <w:rPr>
          <w:b w:val="0"/>
          <w:i/>
          <w:sz w:val="22"/>
        </w:rPr>
        <w:t>Important: your access is limited to candidates you yourself have submitted. You will never see Vertex's internal recruiter pipeline, other partners' candidates, or candidates who applied directly through the Vertex website.</w:t>
      </w:r>
    </w:p>
    <w:p>
      <w:pPr>
        <w:pStyle w:val="Heading1"/>
      </w:pPr>
      <w:r>
        <w:rPr>
          <w:color w:val="0A1F1A"/>
          <w:sz w:val="36"/>
        </w:rPr>
        <w:t>3. Submitting a New Candidate</w:t>
      </w:r>
    </w:p>
    <w:p>
      <w:r>
        <w:rPr>
          <w:b w:val="0"/>
          <w:i w:val="0"/>
          <w:sz w:val="22"/>
        </w:rPr>
        <w:t>From “My Candidates,” click the “+ Submit Candidate” button at the top right. This opens a form with four sections. Fill in as much detail as you can — every answer is checked against the candidate's actual passport and documents later in the process, so accuracy here avoids delays.</w:t>
      </w:r>
    </w:p>
    <w:p>
      <w:pPr>
        <w:pStyle w:val="Heading2"/>
      </w:pPr>
      <w:r>
        <w:rPr>
          <w:color w:val="8A6D1F"/>
          <w:sz w:val="26"/>
        </w:rPr>
        <w:t>Section 1 — Candidate Personal Information</w:t>
      </w:r>
    </w:p>
    <w:p>
      <w:pPr>
        <w:pStyle w:val="ListBullet"/>
      </w:pPr>
      <w:r>
        <w:t>Full Name (exactly as it appears on the passport) *</w:t>
      </w:r>
    </w:p>
    <w:p>
      <w:pPr>
        <w:pStyle w:val="ListBullet"/>
      </w:pPr>
      <w:r>
        <w:t>Date of Birth *</w:t>
      </w:r>
    </w:p>
    <w:p>
      <w:pPr>
        <w:pStyle w:val="ListBullet"/>
      </w:pPr>
      <w:r>
        <w:t>Nationality * (and Second Nationality, if any)</w:t>
      </w:r>
    </w:p>
    <w:p>
      <w:pPr>
        <w:pStyle w:val="ListBullet"/>
      </w:pPr>
      <w:r>
        <w:t>Passport Number * and Passport Expiry Date * (must have at least 6 months' validity remaining)</w:t>
      </w:r>
    </w:p>
    <w:p>
      <w:pPr>
        <w:pStyle w:val="ListBullet"/>
      </w:pPr>
      <w:r>
        <w:t>Current Occupation and Highest Education / Qualification (optional but recommended)</w:t>
      </w:r>
    </w:p>
    <w:p>
      <w:pPr>
        <w:pStyle w:val="ListBullet"/>
      </w:pPr>
      <w:r>
        <w:t>Phone Number (with country code) *</w:t>
      </w:r>
    </w:p>
    <w:p>
      <w:pPr>
        <w:pStyle w:val="ListBullet"/>
      </w:pPr>
      <w:r>
        <w:t>WhatsApp Number (optional)</w:t>
      </w:r>
    </w:p>
    <w:p>
      <w:pPr>
        <w:pStyle w:val="ListBullet"/>
      </w:pPr>
      <w:r>
        <w:t>Email Address *</w:t>
      </w:r>
    </w:p>
    <w:p>
      <w:pPr>
        <w:pStyle w:val="ListBullet"/>
      </w:pPr>
      <w:r>
        <w:t>Marital Status and Complete Home Address (optional)</w:t>
      </w:r>
    </w:p>
    <w:p>
      <w:pPr>
        <w:pStyle w:val="Heading2"/>
      </w:pPr>
      <w:r>
        <w:rPr>
          <w:color w:val="8A6D1F"/>
          <w:sz w:val="26"/>
        </w:rPr>
        <w:t>Section 2 — Programme Selection</w:t>
      </w:r>
    </w:p>
    <w:p>
      <w:pPr>
        <w:pStyle w:val="ListBullet"/>
      </w:pPr>
      <w:r>
        <w:t>Opportunity * — search and select the specific work-permit programme the candidate is applying for.</w:t>
      </w:r>
    </w:p>
    <w:p>
      <w:pPr>
        <w:pStyle w:val="ListBullet"/>
      </w:pPr>
      <w:r>
        <w:t>Candidate's Earliest Possible Travel Date *</w:t>
      </w:r>
    </w:p>
    <w:p>
      <w:pPr>
        <w:pStyle w:val="ListBullet"/>
      </w:pPr>
      <w:r>
        <w:t>Has the candidate previously applied for an EU visa? (optional — note where, if so)</w:t>
      </w:r>
    </w:p>
    <w:p>
      <w:pPr>
        <w:pStyle w:val="Heading2"/>
      </w:pPr>
      <w:r>
        <w:rPr>
          <w:color w:val="8A6D1F"/>
          <w:sz w:val="26"/>
        </w:rPr>
        <w:t>Section 3 — Document Checklist</w:t>
      </w:r>
    </w:p>
    <w:p>
      <w:r>
        <w:rPr>
          <w:b w:val="0"/>
          <w:i w:val="0"/>
          <w:sz w:val="22"/>
        </w:rPr>
        <w:t>Unlike a general enquiry, a submission through your portal goes straight into Vertex's case-opening queue — it does not pass through a separate document-collection step first. This means you must upload the actual document files here, not just tick a checklist.</w:t>
      </w:r>
    </w:p>
    <w:p>
      <w:pPr>
        <w:pStyle w:val="ListBullet"/>
      </w:pPr>
      <w:r>
        <w:t>Tick each document type the candidate can provide — this reveals a file-upload button for that item.</w:t>
      </w:r>
    </w:p>
    <w:p>
      <w:pPr>
        <w:pStyle w:val="ListBullet"/>
      </w:pPr>
      <w:r>
        <w:t>Some destination countries require extra documents beyond the standard set — these are labelled “Required for: [country]” under the relevant item once you've picked the Opportunity.</w:t>
      </w:r>
    </w:p>
    <w:p>
      <w:pPr>
        <w:pStyle w:val="ListBullet"/>
      </w:pPr>
      <w:r>
        <w:t>The “Submit Candidate” button stays disabled until every document required for the selected destination has a real file attached (a ticked box alone is not enough).</w:t>
      </w:r>
    </w:p>
    <w:p>
      <w:pPr>
        <w:pStyle w:val="Heading2"/>
      </w:pPr>
      <w:r>
        <w:rPr>
          <w:color w:val="8A6D1F"/>
          <w:sz w:val="26"/>
        </w:rPr>
        <w:t>Section 4 — Payment Plan Acknowledgement</w:t>
      </w:r>
    </w:p>
    <w:p>
      <w:r>
        <w:rPr>
          <w:b w:val="0"/>
          <w:i w:val="0"/>
          <w:sz w:val="22"/>
        </w:rPr>
        <w:t>Every programme fee is collected in three stages: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A1F1A"/>
          </w:tcPr>
          <w:p>
            <w:r/>
            <w:r>
              <w:rPr>
                <w:b/>
                <w:color w:val="FFFFFF"/>
              </w:rPr>
              <w:t>Stage</w:t>
            </w:r>
          </w:p>
        </w:tc>
        <w:tc>
          <w:tcPr>
            <w:tcW w:type="dxa" w:w="3120"/>
            <w:shd w:fill="0A1F1A"/>
          </w:tcPr>
          <w:p>
            <w:r/>
            <w:r>
              <w:rPr>
                <w:b/>
                <w:color w:val="FFFFFF"/>
              </w:rPr>
              <w:t>Share</w:t>
            </w:r>
          </w:p>
        </w:tc>
        <w:tc>
          <w:tcPr>
            <w:tcW w:type="dxa" w:w="3120"/>
            <w:shd w:fill="0A1F1A"/>
          </w:tcPr>
          <w:p>
            <w:r/>
            <w:r>
              <w:rPr>
                <w:b/>
                <w:color w:val="FFFFFF"/>
              </w:rPr>
              <w:t>When it's due</w:t>
            </w:r>
          </w:p>
        </w:tc>
      </w:tr>
      <w:tr>
        <w:tc>
          <w:tcPr>
            <w:tcW w:type="dxa" w:w="3120"/>
          </w:tcPr>
          <w:p>
            <w:r>
              <w:t>1. Documentation</w:t>
            </w:r>
          </w:p>
        </w:tc>
        <w:tc>
          <w:tcPr>
            <w:tcW w:type="dxa" w:w="3120"/>
          </w:tcPr>
          <w:p>
            <w:r>
              <w:t>25%</w:t>
            </w:r>
          </w:p>
        </w:tc>
        <w:tc>
          <w:tcPr>
            <w:tcW w:type="dxa" w:w="3120"/>
          </w:tcPr>
          <w:p>
            <w:r>
              <w:t>On engagement</w:t>
            </w:r>
          </w:p>
        </w:tc>
      </w:tr>
      <w:tr>
        <w:tc>
          <w:tcPr>
            <w:tcW w:type="dxa" w:w="3120"/>
          </w:tcPr>
          <w:p>
            <w:r>
              <w:t>2. Work Permit</w:t>
            </w:r>
          </w:p>
        </w:tc>
        <w:tc>
          <w:tcPr>
            <w:tcW w:type="dxa" w:w="3120"/>
          </w:tcPr>
          <w:p>
            <w:r>
              <w:t>25%</w:t>
            </w:r>
          </w:p>
        </w:tc>
        <w:tc>
          <w:tcPr>
            <w:tcW w:type="dxa" w:w="3120"/>
          </w:tcPr>
          <w:p>
            <w:r>
              <w:t>After the work permit is issued</w:t>
            </w:r>
          </w:p>
        </w:tc>
      </w:tr>
      <w:tr>
        <w:tc>
          <w:tcPr>
            <w:tcW w:type="dxa" w:w="3120"/>
          </w:tcPr>
          <w:p>
            <w:r>
              <w:t>3. Visa</w:t>
            </w:r>
          </w:p>
        </w:tc>
        <w:tc>
          <w:tcPr>
            <w:tcW w:type="dxa" w:w="3120"/>
          </w:tcPr>
          <w:p>
            <w:r>
              <w:t>50%</w:t>
            </w:r>
          </w:p>
        </w:tc>
        <w:tc>
          <w:tcPr>
            <w:tcW w:type="dxa" w:w="3120"/>
          </w:tcPr>
          <w:p>
            <w:r>
              <w:t>After the visa is granted</w:t>
            </w:r>
          </w:p>
        </w:tc>
      </w:tr>
    </w:tbl>
    <w:p/>
    <w:p>
      <w:r>
        <w:rPr>
          <w:b w:val="0"/>
          <w:i w:val="0"/>
          <w:sz w:val="22"/>
        </w:rPr>
        <w:t>Air tickets and embassy fees are never included in the programme price and are payable separately. Accommodation is provided in every programme (it may be deducted from salary by the employer). Tick “We understand the payment plan above” to continue.</w:t>
      </w:r>
    </w:p>
    <w:p>
      <w:pPr>
        <w:pStyle w:val="Heading2"/>
      </w:pPr>
      <w:r>
        <w:rPr>
          <w:color w:val="8A6D1F"/>
          <w:sz w:val="26"/>
        </w:rPr>
        <w:t>Section 5 — Visa &amp; Travel Readiness</w:t>
      </w:r>
    </w:p>
    <w:p>
      <w:pPr>
        <w:pStyle w:val="ListBullet"/>
      </w:pPr>
      <w:r>
        <w:t>Candidate's Current Location (country) *</w:t>
      </w:r>
    </w:p>
    <w:p>
      <w:pPr>
        <w:pStyle w:val="ListBullet"/>
      </w:pPr>
      <w:r>
        <w:t>Does the candidate currently hold a Schengen/EU visa? (optional)</w:t>
      </w:r>
    </w:p>
    <w:p>
      <w:pPr>
        <w:pStyle w:val="ListBullet"/>
      </w:pPr>
      <w:r>
        <w:t>Previous visa refusals, if any (optional)</w:t>
      </w:r>
    </w:p>
    <w:p>
      <w:pPr>
        <w:pStyle w:val="ListBullet"/>
      </w:pPr>
      <w:r>
        <w:t>Candidate's preferred contact channel * — Email, WhatsApp, or Phone</w:t>
      </w:r>
    </w:p>
    <w:p>
      <w:pPr>
        <w:pStyle w:val="ListBullet"/>
      </w:pPr>
      <w:r>
        <w:t>Is the candidate available for an embassy appointment, and willing to start within 30 days of visa issue?</w:t>
      </w:r>
    </w:p>
    <w:p>
      <w:r>
        <w:rPr>
          <w:b w:val="0"/>
          <w:i w:val="0"/>
          <w:sz w:val="22"/>
        </w:rPr>
        <w:t>Click “Submit Candidate.” You'll see a confirmation that Vertex will review the submission and confirm the programme/offer within 48 hours. No login is created for the candidate at this point — that only happens later, once Vertex approves the submission.</w:t>
      </w:r>
    </w:p>
    <w:p>
      <w:pPr>
        <w:pStyle w:val="Heading1"/>
      </w:pPr>
      <w:r>
        <w:rPr>
          <w:color w:val="0A1F1A"/>
          <w:sz w:val="36"/>
        </w:rPr>
        <w:t>4. Tracking a Submission</w:t>
      </w:r>
    </w:p>
    <w:p>
      <w:r>
        <w:rPr>
          <w:b w:val="0"/>
          <w:i w:val="0"/>
          <w:sz w:val="22"/>
        </w:rPr>
        <w:t>Every submission you've made appears on “My Candidates” with a status:</w:t>
      </w:r>
    </w:p>
    <w:tbl>
      <w:tblPr>
        <w:tblStyle w:val="LightGrid-Accent1"/>
        <w:tblW w:type="auto" w:w="0"/>
        <w:jc w:val="center"/>
        <w:tblLook w:firstColumn="1" w:firstRow="1" w:lastColumn="0" w:lastRow="0" w:noHBand="0" w:noVBand="1" w:val="04A0"/>
      </w:tblPr>
      <w:tblGrid>
        <w:gridCol w:w="4680"/>
        <w:gridCol w:w="4680"/>
      </w:tblGrid>
      <w:tr>
        <w:tc>
          <w:tcPr>
            <w:tcW w:type="dxa" w:w="4680"/>
            <w:shd w:fill="0A1F1A"/>
          </w:tcPr>
          <w:p>
            <w:r/>
            <w:r>
              <w:rPr>
                <w:b/>
                <w:color w:val="FFFFFF"/>
              </w:rPr>
              <w:t>Status</w:t>
            </w:r>
          </w:p>
        </w:tc>
        <w:tc>
          <w:tcPr>
            <w:tcW w:type="dxa" w:w="4680"/>
            <w:shd w:fill="0A1F1A"/>
          </w:tcPr>
          <w:p>
            <w:r/>
            <w:r>
              <w:rPr>
                <w:b/>
                <w:color w:val="FFFFFF"/>
              </w:rPr>
              <w:t>Meaning</w:t>
            </w:r>
          </w:p>
        </w:tc>
      </w:tr>
      <w:tr>
        <w:tc>
          <w:tcPr>
            <w:tcW w:type="dxa" w:w="4680"/>
          </w:tcPr>
          <w:p>
            <w:r>
              <w:t>Submitted</w:t>
            </w:r>
          </w:p>
        </w:tc>
        <w:tc>
          <w:tcPr>
            <w:tcW w:type="dxa" w:w="4680"/>
          </w:tcPr>
          <w:p>
            <w:r>
              <w:t>Received, awaiting Vertex's review.</w:t>
            </w:r>
          </w:p>
        </w:tc>
      </w:tr>
      <w:tr>
        <w:tc>
          <w:tcPr>
            <w:tcW w:type="dxa" w:w="4680"/>
          </w:tcPr>
          <w:p>
            <w:r>
              <w:t>Under Review</w:t>
            </w:r>
          </w:p>
        </w:tc>
        <w:tc>
          <w:tcPr>
            <w:tcW w:type="dxa" w:w="4680"/>
          </w:tcPr>
          <w:p>
            <w:r>
              <w:t>Vertex is actively reviewing it.</w:t>
            </w:r>
          </w:p>
        </w:tc>
      </w:tr>
      <w:tr>
        <w:tc>
          <w:tcPr>
            <w:tcW w:type="dxa" w:w="4680"/>
          </w:tcPr>
          <w:p>
            <w:r>
              <w:t>Job Assigned</w:t>
            </w:r>
          </w:p>
        </w:tc>
        <w:tc>
          <w:tcPr>
            <w:tcW w:type="dxa" w:w="4680"/>
          </w:tcPr>
          <w:p>
            <w:r>
              <w:t>Approved — a Case has been opened. Find it under “Cases.”</w:t>
            </w:r>
          </w:p>
        </w:tc>
      </w:tr>
      <w:tr>
        <w:tc>
          <w:tcPr>
            <w:tcW w:type="dxa" w:w="4680"/>
          </w:tcPr>
          <w:p>
            <w:r>
              <w:t>Rejected</w:t>
            </w:r>
          </w:p>
        </w:tc>
        <w:tc>
          <w:tcPr>
            <w:tcW w:type="dxa" w:w="4680"/>
          </w:tcPr>
          <w:p>
            <w:r>
              <w:t>Something needs to change before Vertex can proceed — see the reason on the candidate's page.</w:t>
            </w:r>
          </w:p>
        </w:tc>
      </w:tr>
    </w:tbl>
    <w:p/>
    <w:p>
      <w:r>
        <w:rPr>
          <w:b w:val="0"/>
          <w:i w:val="0"/>
          <w:sz w:val="22"/>
        </w:rPr>
        <w:t>If a submission needs your attention — a document was rejected, or Vertex sent you a message awaiting a reply — a red notice appears at the top of the list telling you how many. The “Attention” column on the table also flags each affected row individually (“Document rejected” or “New message”).</w:t>
      </w:r>
    </w:p>
    <w:p>
      <w:pPr>
        <w:pStyle w:val="Heading1"/>
      </w:pPr>
      <w:r>
        <w:rPr>
          <w:color w:val="0A1F1A"/>
          <w:sz w:val="36"/>
        </w:rPr>
        <w:t>5. Responding to a Rejected Document</w:t>
      </w:r>
    </w:p>
    <w:p>
      <w:pPr>
        <w:pStyle w:val="ListNumber"/>
      </w:pPr>
      <w:r>
        <w:t>Open the candidate's page from “My Candidates.”</w:t>
      </w:r>
    </w:p>
    <w:p>
      <w:pPr>
        <w:pStyle w:val="ListNumber"/>
      </w:pPr>
      <w:r>
        <w:t>Any rejected document shows a red “Rejected — attach a new version to replace it” notice with its own file picker.</w:t>
      </w:r>
    </w:p>
    <w:p>
      <w:pPr>
        <w:pStyle w:val="ListNumber"/>
      </w:pPr>
      <w:r>
        <w:rPr>
          <w:b/>
        </w:rPr>
        <w:t xml:space="preserve">Choose the corrected file and click </w:t>
      </w:r>
      <w:r>
        <w:t>“Replace.”</w:t>
      </w:r>
    </w:p>
    <w:p>
      <w:pPr>
        <w:pStyle w:val="ListNumber"/>
      </w:pPr>
      <w:r>
        <w:t>Send a message (see below) letting Vertex's team know a replacement is ready — this does not happen automatically.</w:t>
      </w:r>
    </w:p>
    <w:p>
      <w:pPr>
        <w:pStyle w:val="Heading1"/>
      </w:pPr>
      <w:r>
        <w:rPr>
          <w:color w:val="0A1F1A"/>
          <w:sz w:val="36"/>
        </w:rPr>
        <w:t>6. Messaging Vertex</w:t>
      </w:r>
    </w:p>
    <w:p>
      <w:r>
        <w:rPr>
          <w:b w:val="0"/>
          <w:i w:val="0"/>
          <w:sz w:val="22"/>
        </w:rPr>
        <w:t>Every candidate page has a message thread at the bottom — the same one Vertex's team sees on their side. Type your message and press Enter (or click the send icon) to send it. Use Shift+Enter for a new line without sending.</w:t>
      </w:r>
    </w:p>
    <w:p>
      <w:pPr>
        <w:pStyle w:val="Heading1"/>
      </w:pPr>
      <w:r>
        <w:rPr>
          <w:color w:val="0A1F1A"/>
          <w:sz w:val="36"/>
        </w:rPr>
        <w:t>7. Once Approved: Tracking a Case</w:t>
      </w:r>
    </w:p>
    <w:p>
      <w:r>
        <w:rPr>
          <w:b w:val="0"/>
          <w:i w:val="0"/>
          <w:sz w:val="22"/>
        </w:rPr>
        <w:t>Once a submission moves to “Job Assigned,” it appears under “Cases.” Every case moves through 11 stages — from initial document registration through to arrival support — and the case page shows exactly which stage it's at right now, plus the full history of stages already completed.</w:t>
      </w:r>
    </w:p>
    <w:p>
      <w:r>
        <w:rPr>
          <w:b w:val="0"/>
          <w:i w:val="0"/>
          <w:sz w:val="22"/>
        </w:rPr>
        <w:t>Your view of a Case is read-only. You can see:</w:t>
      </w:r>
    </w:p>
    <w:p>
      <w:pPr>
        <w:pStyle w:val="ListBullet"/>
      </w:pPr>
      <w:r>
        <w:t>The current stage and full stage history.</w:t>
      </w:r>
    </w:p>
    <w:p>
      <w:pPr>
        <w:pStyle w:val="ListBullet"/>
      </w:pPr>
      <w:r>
        <w:t>Documents already on file (view only).</w:t>
      </w:r>
    </w:p>
    <w:p>
      <w:pPr>
        <w:pStyle w:val="ListBullet"/>
      </w:pPr>
      <w:r>
        <w:t>The Contract, if one has been issued (its status, and the full text once signed — the candidate signs it themselves).</w:t>
      </w:r>
    </w:p>
    <w:p>
      <w:pPr>
        <w:pStyle w:val="ListBullet"/>
      </w:pPr>
      <w:r>
        <w:t>Any milestone payments already recorded against the case.</w:t>
      </w:r>
    </w:p>
    <w:p>
      <w:r>
        <w:rPr>
          <w:b w:val="0"/>
          <w:i w:val="0"/>
          <w:sz w:val="22"/>
        </w:rPr>
        <w:t>Case stage updates, document verification, and payment collection are all handled internally by Vertex's Operations and Finance teams — you don't need to (and can't) take any action on a Case yourself; it's there purely to keep you informed.</w:t>
      </w:r>
    </w:p>
    <w:p>
      <w:pPr>
        <w:pStyle w:val="Heading1"/>
      </w:pPr>
      <w:r>
        <w:rPr>
          <w:color w:val="0A1F1A"/>
          <w:sz w:val="36"/>
        </w:rPr>
        <w:t>Quick Reference</w:t>
      </w:r>
    </w:p>
    <w:tbl>
      <w:tblPr>
        <w:tblStyle w:val="LightGrid-Accent1"/>
        <w:tblW w:type="auto" w:w="0"/>
        <w:jc w:val="center"/>
        <w:tblLook w:firstColumn="1" w:firstRow="1" w:lastColumn="0" w:lastRow="0" w:noHBand="0" w:noVBand="1" w:val="04A0"/>
      </w:tblPr>
      <w:tblGrid>
        <w:gridCol w:w="4680"/>
        <w:gridCol w:w="4680"/>
      </w:tblGrid>
      <w:tr>
        <w:tc>
          <w:tcPr>
            <w:tcW w:type="dxa" w:w="4680"/>
            <w:shd w:fill="0A1F1A"/>
          </w:tcPr>
          <w:p>
            <w:r/>
            <w:r>
              <w:rPr>
                <w:b/>
                <w:color w:val="FFFFFF"/>
              </w:rPr>
              <w:t>Term</w:t>
            </w:r>
          </w:p>
        </w:tc>
        <w:tc>
          <w:tcPr>
            <w:tcW w:type="dxa" w:w="4680"/>
            <w:shd w:fill="0A1F1A"/>
          </w:tcPr>
          <w:p>
            <w:r/>
            <w:r>
              <w:rPr>
                <w:b/>
                <w:color w:val="FFFFFF"/>
              </w:rPr>
              <w:t>What it means</w:t>
            </w:r>
          </w:p>
        </w:tc>
      </w:tr>
      <w:tr>
        <w:tc>
          <w:tcPr>
            <w:tcW w:type="dxa" w:w="4680"/>
          </w:tcPr>
          <w:p>
            <w:r>
              <w:t>Submission status</w:t>
            </w:r>
          </w:p>
        </w:tc>
        <w:tc>
          <w:tcPr>
            <w:tcW w:type="dxa" w:w="4680"/>
          </w:tcPr>
          <w:p>
            <w:r>
              <w:t>Where your candidate's application stands before a Case opens (see Section 4).</w:t>
            </w:r>
          </w:p>
        </w:tc>
      </w:tr>
      <w:tr>
        <w:tc>
          <w:tcPr>
            <w:tcW w:type="dxa" w:w="4680"/>
          </w:tcPr>
          <w:p>
            <w:r>
              <w:t>Case stage</w:t>
            </w:r>
          </w:p>
        </w:tc>
        <w:tc>
          <w:tcPr>
            <w:tcW w:type="dxa" w:w="4680"/>
          </w:tcPr>
          <w:p>
            <w:r>
              <w:t>Where an approved candidate's case stands, from documentation through arrival — 11 stages total.</w:t>
            </w:r>
          </w:p>
        </w:tc>
      </w:tr>
      <w:tr>
        <w:tc>
          <w:tcPr>
            <w:tcW w:type="dxa" w:w="4680"/>
          </w:tcPr>
          <w:p>
            <w:r>
              <w:t>Attention</w:t>
            </w:r>
          </w:p>
        </w:tc>
        <w:tc>
          <w:tcPr>
            <w:tcW w:type="dxa" w:w="4680"/>
          </w:tcPr>
          <w:p>
            <w:r>
              <w:t>A flag meaning a document was rejected, or Vertex is waiting on your reply to a message.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