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711F" w14:textId="73C075CB" w:rsidR="003E315F" w:rsidRDefault="00135E36" w:rsidP="00135E36">
      <w:pPr>
        <w:jc w:val="center"/>
        <w:rPr>
          <w:b/>
          <w:bCs/>
          <w:sz w:val="48"/>
          <w:szCs w:val="48"/>
        </w:rPr>
      </w:pPr>
      <w:r w:rsidRPr="00135E36">
        <w:rPr>
          <w:b/>
          <w:bCs/>
          <w:sz w:val="48"/>
          <w:szCs w:val="48"/>
        </w:rPr>
        <w:t>Telco Customer Churn Analysis</w:t>
      </w:r>
    </w:p>
    <w:p w14:paraId="6E8EFDF3" w14:textId="041E49F9" w:rsidR="00135E36" w:rsidRDefault="00135E36" w:rsidP="00135E36">
      <w:pPr>
        <w:jc w:val="center"/>
        <w:rPr>
          <w:sz w:val="24"/>
          <w:szCs w:val="24"/>
        </w:rPr>
      </w:pPr>
      <w:r w:rsidRPr="00135E36">
        <w:rPr>
          <w:sz w:val="24"/>
          <w:szCs w:val="24"/>
        </w:rPr>
        <w:t>Tool Used: MySQL | Dataset: Telco Customer Churn (7,043 customers, 21 columns)</w:t>
      </w:r>
    </w:p>
    <w:p w14:paraId="56A406C1" w14:textId="77777777" w:rsidR="00783DD3" w:rsidRDefault="00783DD3" w:rsidP="00783DD3">
      <w:pPr>
        <w:jc w:val="both"/>
        <w:rPr>
          <w:sz w:val="24"/>
          <w:szCs w:val="24"/>
        </w:rPr>
      </w:pPr>
    </w:p>
    <w:p w14:paraId="1F512FA3" w14:textId="77777777" w:rsidR="00783DD3" w:rsidRPr="00783DD3" w:rsidRDefault="00783DD3" w:rsidP="00783DD3">
      <w:pPr>
        <w:jc w:val="both"/>
        <w:rPr>
          <w:rFonts w:cstheme="minorHAnsi"/>
          <w:sz w:val="24"/>
          <w:szCs w:val="24"/>
        </w:rPr>
      </w:pPr>
      <w:r w:rsidRPr="00783DD3">
        <w:rPr>
          <w:rFonts w:cstheme="minorHAnsi"/>
          <w:b/>
          <w:bCs/>
          <w:sz w:val="28"/>
          <w:szCs w:val="28"/>
        </w:rPr>
        <w:t>Problem Statement</w:t>
      </w:r>
      <w:r w:rsidRPr="00783DD3">
        <w:rPr>
          <w:rFonts w:cstheme="minorHAnsi"/>
          <w:b/>
          <w:bCs/>
          <w:sz w:val="24"/>
          <w:szCs w:val="24"/>
        </w:rPr>
        <w:t>:</w:t>
      </w:r>
    </w:p>
    <w:p w14:paraId="089D503E" w14:textId="502D8FF3" w:rsidR="00783DD3" w:rsidRDefault="00783DD3" w:rsidP="00783DD3">
      <w:pPr>
        <w:jc w:val="both"/>
        <w:rPr>
          <w:rFonts w:cstheme="minorHAnsi"/>
          <w:sz w:val="24"/>
          <w:szCs w:val="24"/>
        </w:rPr>
      </w:pPr>
      <w:r w:rsidRPr="00783DD3">
        <w:rPr>
          <w:rFonts w:cstheme="minorHAnsi"/>
          <w:sz w:val="24"/>
          <w:szCs w:val="24"/>
        </w:rPr>
        <w:t>Telecom companies lose significant revenue when customers churn, but knowing who left tells a business very little about why. This analysis goes beyond churn counts to uncover the patterns behind it - tenure-based pricing shifts, service usage gaps, value mismatches in premium plans, payment friction among senior citizens, and household stability - to find out which factors are most strongly tied to churn. The goal is to surface signals the business can act on before a customer leaves, not just report the churn rate after the fact.</w:t>
      </w:r>
    </w:p>
    <w:p w14:paraId="6FCD8025" w14:textId="02EA9BDC" w:rsidR="00F029A7" w:rsidRDefault="00F029A7" w:rsidP="00F029A7">
      <w:pPr>
        <w:rPr>
          <w:b/>
          <w:bCs/>
          <w:sz w:val="28"/>
          <w:szCs w:val="28"/>
        </w:rPr>
      </w:pPr>
      <w:r w:rsidRPr="00F029A7">
        <w:rPr>
          <w:b/>
          <w:bCs/>
          <w:sz w:val="28"/>
          <w:szCs w:val="28"/>
        </w:rPr>
        <w:t>Hypothesis</w:t>
      </w:r>
    </w:p>
    <w:p w14:paraId="7EAE1324" w14:textId="08E899B2" w:rsidR="00861E43" w:rsidRPr="00861E43" w:rsidRDefault="00861E43" w:rsidP="00F029A7">
      <w:pPr>
        <w:rPr>
          <w:sz w:val="24"/>
          <w:szCs w:val="24"/>
        </w:rPr>
      </w:pPr>
      <w:r w:rsidRPr="00861E43">
        <w:rPr>
          <w:sz w:val="24"/>
          <w:szCs w:val="24"/>
        </w:rPr>
        <w:t xml:space="preserve">I expected churn to be driven primarily by </w:t>
      </w:r>
      <w:r>
        <w:rPr>
          <w:sz w:val="24"/>
          <w:szCs w:val="24"/>
        </w:rPr>
        <w:t>underserved</w:t>
      </w:r>
      <w:r w:rsidRPr="00861E43">
        <w:rPr>
          <w:sz w:val="24"/>
          <w:szCs w:val="24"/>
        </w:rPr>
        <w:t xml:space="preserve"> customers </w:t>
      </w:r>
      <w:r>
        <w:rPr>
          <w:sz w:val="24"/>
          <w:szCs w:val="24"/>
        </w:rPr>
        <w:t>-</w:t>
      </w:r>
      <w:r w:rsidRPr="00861E43">
        <w:rPr>
          <w:sz w:val="24"/>
          <w:szCs w:val="24"/>
        </w:rPr>
        <w:t xml:space="preserve"> those with fewer add-on services and lower monthly charges </w:t>
      </w:r>
      <w:r>
        <w:rPr>
          <w:sz w:val="24"/>
          <w:szCs w:val="24"/>
        </w:rPr>
        <w:t>-</w:t>
      </w:r>
      <w:r w:rsidRPr="00861E43">
        <w:rPr>
          <w:sz w:val="24"/>
          <w:szCs w:val="24"/>
        </w:rPr>
        <w:t xml:space="preserve"> and expected long-tenure, loyal customers to be largely immune to churn; the analysis was designed to test whether these assumptions held across tenure, service usage, pricing, and household stability.</w:t>
      </w:r>
    </w:p>
    <w:p w14:paraId="4488182F" w14:textId="638A9066" w:rsidR="00783DD3" w:rsidRDefault="00783DD3" w:rsidP="00783DD3">
      <w:pPr>
        <w:rPr>
          <w:b/>
          <w:bCs/>
          <w:sz w:val="28"/>
          <w:szCs w:val="28"/>
        </w:rPr>
      </w:pPr>
      <w:r w:rsidRPr="00783DD3">
        <w:rPr>
          <w:b/>
          <w:bCs/>
          <w:sz w:val="28"/>
          <w:szCs w:val="28"/>
        </w:rPr>
        <w:t>Dataset Overview</w:t>
      </w:r>
    </w:p>
    <w:p w14:paraId="0CBB378D" w14:textId="37207F9E" w:rsidR="00B21154" w:rsidRDefault="00B21154" w:rsidP="00B21154">
      <w:pPr>
        <w:jc w:val="both"/>
        <w:rPr>
          <w:sz w:val="24"/>
          <w:szCs w:val="24"/>
        </w:rPr>
      </w:pPr>
      <w:r w:rsidRPr="00B21154">
        <w:rPr>
          <w:sz w:val="24"/>
          <w:szCs w:val="24"/>
        </w:rPr>
        <w:t>The dataset is sourced from Kaggle's Telco Customer Churn dataset, containing 7,043 customer records across 21 columns. It includes customer demographics (gender, senior citizen status, partner, dependents), subscribed services (phone, internet type, security and streaming add-ons), account details (tenure, contract type, billing and payment method), monthly and total charges, and the target variable, Churn (Yes/No). The dataset was clean on import, with no missing values, duplicates, or inconsistent data types requiring correction</w:t>
      </w:r>
      <w:r>
        <w:rPr>
          <w:sz w:val="24"/>
          <w:szCs w:val="24"/>
        </w:rPr>
        <w:t>.</w:t>
      </w:r>
    </w:p>
    <w:p w14:paraId="6927A94A" w14:textId="5301F111" w:rsidR="00B21154" w:rsidRDefault="00B21154" w:rsidP="00B21154">
      <w:pPr>
        <w:jc w:val="both"/>
        <w:rPr>
          <w:b/>
          <w:bCs/>
          <w:sz w:val="28"/>
          <w:szCs w:val="28"/>
        </w:rPr>
      </w:pPr>
      <w:r w:rsidRPr="00B21154">
        <w:rPr>
          <w:b/>
          <w:bCs/>
          <w:sz w:val="28"/>
          <w:szCs w:val="28"/>
        </w:rPr>
        <w:t>Business Questions</w:t>
      </w:r>
    </w:p>
    <w:p w14:paraId="2E5E0026" w14:textId="2F5453AE" w:rsidR="00B21154" w:rsidRPr="00290EDF" w:rsidRDefault="00B21154" w:rsidP="00B21154">
      <w:pPr>
        <w:pStyle w:val="ListParagraph"/>
        <w:numPr>
          <w:ilvl w:val="0"/>
          <w:numId w:val="1"/>
        </w:numPr>
        <w:jc w:val="both"/>
        <w:rPr>
          <w:rFonts w:cstheme="minorHAnsi"/>
          <w:sz w:val="24"/>
          <w:szCs w:val="24"/>
        </w:rPr>
      </w:pPr>
      <w:r w:rsidRPr="00290EDF">
        <w:rPr>
          <w:rFonts w:cstheme="minorHAnsi"/>
          <w:sz w:val="24"/>
          <w:szCs w:val="24"/>
        </w:rPr>
        <w:t xml:space="preserve">Do customers who churn after long tenure show different monthly charge patterns than customers who churn early - suggesting a late-stage price or value problem rather than a poor initial fit? </w:t>
      </w:r>
    </w:p>
    <w:p w14:paraId="6738735D" w14:textId="03AAD8DA" w:rsidR="00B21154" w:rsidRPr="00290EDF" w:rsidRDefault="00B21154" w:rsidP="00B21154">
      <w:pPr>
        <w:pStyle w:val="ListParagraph"/>
        <w:numPr>
          <w:ilvl w:val="0"/>
          <w:numId w:val="1"/>
        </w:numPr>
        <w:jc w:val="both"/>
        <w:rPr>
          <w:rFonts w:cstheme="minorHAnsi"/>
          <w:sz w:val="24"/>
          <w:szCs w:val="24"/>
        </w:rPr>
      </w:pPr>
      <w:r w:rsidRPr="00290EDF">
        <w:rPr>
          <w:rFonts w:cstheme="minorHAnsi"/>
          <w:sz w:val="24"/>
          <w:szCs w:val="24"/>
        </w:rPr>
        <w:t xml:space="preserve">At the same tenure length, do churned customers have fewer add-on services than customers who stayed, indicating that underserved customers are more likely to leave? </w:t>
      </w:r>
    </w:p>
    <w:p w14:paraId="7BAEB483" w14:textId="1639AE05" w:rsidR="00B21154" w:rsidRPr="00290EDF" w:rsidRDefault="00B21154" w:rsidP="00B21154">
      <w:pPr>
        <w:pStyle w:val="ListParagraph"/>
        <w:numPr>
          <w:ilvl w:val="0"/>
          <w:numId w:val="1"/>
        </w:numPr>
        <w:jc w:val="both"/>
        <w:rPr>
          <w:rFonts w:cstheme="minorHAnsi"/>
          <w:sz w:val="24"/>
          <w:szCs w:val="24"/>
        </w:rPr>
      </w:pPr>
      <w:r w:rsidRPr="00290EDF">
        <w:rPr>
          <w:rFonts w:cstheme="minorHAnsi"/>
          <w:sz w:val="24"/>
          <w:szCs w:val="24"/>
        </w:rPr>
        <w:t xml:space="preserve">Do Fiber optic customers churn at a higher rate than DSL customers despite paying a premium, suggesting a value mismatch? </w:t>
      </w:r>
    </w:p>
    <w:p w14:paraId="784FFDD9" w14:textId="5991802D" w:rsidR="00B21154" w:rsidRPr="00290EDF" w:rsidRDefault="00B21154" w:rsidP="00B21154">
      <w:pPr>
        <w:pStyle w:val="ListParagraph"/>
        <w:numPr>
          <w:ilvl w:val="0"/>
          <w:numId w:val="1"/>
        </w:numPr>
        <w:jc w:val="both"/>
        <w:rPr>
          <w:rFonts w:cstheme="minorHAnsi"/>
          <w:sz w:val="24"/>
          <w:szCs w:val="24"/>
        </w:rPr>
      </w:pPr>
      <w:r w:rsidRPr="00290EDF">
        <w:rPr>
          <w:rFonts w:cstheme="minorHAnsi"/>
          <w:sz w:val="24"/>
          <w:szCs w:val="24"/>
        </w:rPr>
        <w:t xml:space="preserve">Are senior citizens using paperless billing/electronic check more likely to churn than senior citizens using traditional payment methods, suggesting digital friction rather than service dissatisfaction? </w:t>
      </w:r>
    </w:p>
    <w:p w14:paraId="2C2539CF" w14:textId="77777777" w:rsidR="00290EDF" w:rsidRPr="00290EDF" w:rsidRDefault="00B21154" w:rsidP="00290EDF">
      <w:pPr>
        <w:pStyle w:val="ListParagraph"/>
        <w:numPr>
          <w:ilvl w:val="0"/>
          <w:numId w:val="1"/>
        </w:numPr>
        <w:jc w:val="both"/>
        <w:rPr>
          <w:rFonts w:cstheme="minorHAnsi"/>
          <w:sz w:val="24"/>
          <w:szCs w:val="24"/>
        </w:rPr>
      </w:pPr>
      <w:r w:rsidRPr="00290EDF">
        <w:rPr>
          <w:rFonts w:cstheme="minorHAnsi"/>
          <w:sz w:val="24"/>
          <w:szCs w:val="24"/>
        </w:rPr>
        <w:t>Do customers with a partner and/or dependents churn less than single customers with no dependents - suggesting household stability lowers churn?</w:t>
      </w:r>
    </w:p>
    <w:p w14:paraId="4117220F" w14:textId="77777777" w:rsidR="00077922" w:rsidRPr="00077922" w:rsidRDefault="00077922" w:rsidP="00B37635">
      <w:pPr>
        <w:pStyle w:val="ListParagraph"/>
        <w:numPr>
          <w:ilvl w:val="0"/>
          <w:numId w:val="1"/>
        </w:numPr>
        <w:jc w:val="both"/>
        <w:rPr>
          <w:rFonts w:cstheme="minorHAnsi"/>
          <w:sz w:val="24"/>
          <w:szCs w:val="24"/>
        </w:rPr>
      </w:pPr>
      <w:r w:rsidRPr="00077922">
        <w:rPr>
          <w:rFonts w:eastAsia="Times New Roman" w:cstheme="minorHAnsi"/>
          <w:kern w:val="0"/>
          <w:sz w:val="24"/>
          <w:szCs w:val="24"/>
          <w:lang w:eastAsia="en-IN"/>
          <w14:ligatures w14:val="none"/>
        </w:rPr>
        <w:lastRenderedPageBreak/>
        <w:t>Which internet service type has the highest churn rate, shown alongside its average monthly charge, using a window function (RANK) to compare all three types at once?</w:t>
      </w:r>
    </w:p>
    <w:p w14:paraId="05C2F897" w14:textId="4A9494A4" w:rsidR="00B37635" w:rsidRPr="00B37635" w:rsidRDefault="00290EDF" w:rsidP="00B37635">
      <w:pPr>
        <w:pStyle w:val="ListParagraph"/>
        <w:numPr>
          <w:ilvl w:val="0"/>
          <w:numId w:val="1"/>
        </w:numPr>
        <w:jc w:val="both"/>
        <w:rPr>
          <w:rFonts w:cstheme="minorHAnsi"/>
          <w:sz w:val="24"/>
          <w:szCs w:val="24"/>
        </w:rPr>
      </w:pPr>
      <w:r w:rsidRPr="00290EDF">
        <w:rPr>
          <w:rFonts w:eastAsia="Times New Roman" w:cstheme="minorHAnsi"/>
          <w:kern w:val="0"/>
          <w:sz w:val="24"/>
          <w:szCs w:val="24"/>
          <w:lang w:eastAsia="en-IN"/>
          <w14:ligatures w14:val="none"/>
        </w:rPr>
        <w:t>At which tenure stage does churn rate drop most sharply from one stage to the next?</w:t>
      </w:r>
    </w:p>
    <w:p w14:paraId="0E18898B" w14:textId="42730C35" w:rsidR="00B37635" w:rsidRDefault="00B37635" w:rsidP="00B37635">
      <w:pPr>
        <w:jc w:val="both"/>
        <w:rPr>
          <w:b/>
          <w:bCs/>
          <w:sz w:val="28"/>
          <w:szCs w:val="28"/>
        </w:rPr>
      </w:pPr>
      <w:r w:rsidRPr="00B37635">
        <w:rPr>
          <w:b/>
          <w:bCs/>
          <w:sz w:val="28"/>
          <w:szCs w:val="28"/>
        </w:rPr>
        <w:t>Method</w:t>
      </w:r>
    </w:p>
    <w:p w14:paraId="697EBA8D" w14:textId="569AD4C7" w:rsidR="001B6B29" w:rsidRDefault="001B6B29" w:rsidP="001B6B29">
      <w:pPr>
        <w:spacing w:line="276" w:lineRule="auto"/>
        <w:jc w:val="both"/>
        <w:rPr>
          <w:sz w:val="24"/>
          <w:szCs w:val="24"/>
        </w:rPr>
      </w:pPr>
      <w:r w:rsidRPr="001B6B29">
        <w:rPr>
          <w:sz w:val="24"/>
          <w:szCs w:val="24"/>
        </w:rPr>
        <w:t xml:space="preserve">All analysis was performed in MySQL Workbench using the customers table imported from the Telco Customer Churn CSV (7,043 rows, 21 columns). Each business question was answered using CASE WHEN logic to create comparison groups (e.g., tenure buckets, digital vs. traditional payment, household stability), combined with GROUP BY and aggregate functions (AVG, COUNT) to calculate churn rates and average charges within each group. Two additional queries used Common Table Expressions (CTEs) alongside window functions </w:t>
      </w:r>
      <w:r w:rsidR="00E90157">
        <w:rPr>
          <w:sz w:val="24"/>
          <w:szCs w:val="24"/>
        </w:rPr>
        <w:t>-</w:t>
      </w:r>
      <w:r w:rsidRPr="001B6B29">
        <w:rPr>
          <w:sz w:val="24"/>
          <w:szCs w:val="24"/>
        </w:rPr>
        <w:t xml:space="preserve"> </w:t>
      </w:r>
      <w:proofErr w:type="gramStart"/>
      <w:r w:rsidRPr="001B6B29">
        <w:rPr>
          <w:sz w:val="24"/>
          <w:szCs w:val="24"/>
        </w:rPr>
        <w:t>RANK(</w:t>
      </w:r>
      <w:proofErr w:type="gramEnd"/>
      <w:r w:rsidRPr="001B6B29">
        <w:rPr>
          <w:sz w:val="24"/>
          <w:szCs w:val="24"/>
        </w:rPr>
        <w:t xml:space="preserve">) to compare internet service types by churn rate, and </w:t>
      </w:r>
      <w:proofErr w:type="gramStart"/>
      <w:r w:rsidRPr="001B6B29">
        <w:rPr>
          <w:sz w:val="24"/>
          <w:szCs w:val="24"/>
        </w:rPr>
        <w:t>LAG(</w:t>
      </w:r>
      <w:proofErr w:type="gramEnd"/>
      <w:r w:rsidRPr="001B6B29">
        <w:rPr>
          <w:sz w:val="24"/>
          <w:szCs w:val="24"/>
        </w:rPr>
        <w:t xml:space="preserve">) to measure the change in churn rate between consecutive tenure stages. A key limitation throughout this analysis is that the dataset is a single snapshot in time, with no historical record of service changes, billing history, or stated reasons for cancellation </w:t>
      </w:r>
      <w:r>
        <w:rPr>
          <w:sz w:val="24"/>
          <w:szCs w:val="24"/>
        </w:rPr>
        <w:t>-</w:t>
      </w:r>
      <w:r w:rsidRPr="001B6B29">
        <w:rPr>
          <w:sz w:val="24"/>
          <w:szCs w:val="24"/>
        </w:rPr>
        <w:t xml:space="preserve"> so findings reflect correlations and patterns, not confirmed causes</w:t>
      </w:r>
      <w:r>
        <w:rPr>
          <w:sz w:val="24"/>
          <w:szCs w:val="24"/>
        </w:rPr>
        <w:t>.</w:t>
      </w:r>
    </w:p>
    <w:p w14:paraId="2C670257" w14:textId="657FEAD0" w:rsidR="00B925E4" w:rsidRDefault="00B925E4" w:rsidP="001B6B29">
      <w:pPr>
        <w:spacing w:line="276" w:lineRule="auto"/>
        <w:jc w:val="both"/>
        <w:rPr>
          <w:b/>
          <w:bCs/>
          <w:sz w:val="28"/>
          <w:szCs w:val="28"/>
        </w:rPr>
      </w:pPr>
      <w:r w:rsidRPr="00B925E4">
        <w:rPr>
          <w:b/>
          <w:bCs/>
          <w:sz w:val="28"/>
          <w:szCs w:val="28"/>
        </w:rPr>
        <w:t>Results &amp; Key Findings</w:t>
      </w:r>
    </w:p>
    <w:tbl>
      <w:tblPr>
        <w:tblStyle w:val="TableGrid"/>
        <w:tblW w:w="9133" w:type="dxa"/>
        <w:tblLook w:val="04A0" w:firstRow="1" w:lastRow="0" w:firstColumn="1" w:lastColumn="0" w:noHBand="0" w:noVBand="1"/>
      </w:tblPr>
      <w:tblGrid>
        <w:gridCol w:w="3044"/>
        <w:gridCol w:w="3044"/>
        <w:gridCol w:w="3045"/>
      </w:tblGrid>
      <w:tr w:rsidR="00B925E4" w14:paraId="7313059F" w14:textId="77777777" w:rsidTr="001272A5">
        <w:trPr>
          <w:trHeight w:val="336"/>
        </w:trPr>
        <w:tc>
          <w:tcPr>
            <w:tcW w:w="3044" w:type="dxa"/>
            <w:shd w:val="clear" w:color="auto" w:fill="D0CECE" w:themeFill="background2" w:themeFillShade="E6"/>
          </w:tcPr>
          <w:p w14:paraId="01C33CC3" w14:textId="2BFAD151" w:rsidR="00B925E4" w:rsidRDefault="00B925E4" w:rsidP="00B925E4">
            <w:pPr>
              <w:spacing w:line="276" w:lineRule="auto"/>
              <w:jc w:val="center"/>
              <w:rPr>
                <w:b/>
                <w:bCs/>
                <w:sz w:val="28"/>
                <w:szCs w:val="28"/>
              </w:rPr>
            </w:pPr>
            <w:r w:rsidRPr="00B925E4">
              <w:rPr>
                <w:b/>
                <w:bCs/>
                <w:sz w:val="24"/>
                <w:szCs w:val="24"/>
              </w:rPr>
              <w:t>Question</w:t>
            </w:r>
          </w:p>
        </w:tc>
        <w:tc>
          <w:tcPr>
            <w:tcW w:w="3044" w:type="dxa"/>
            <w:shd w:val="clear" w:color="auto" w:fill="D0CECE" w:themeFill="background2" w:themeFillShade="E6"/>
          </w:tcPr>
          <w:p w14:paraId="39FEA715" w14:textId="1A39AEFA" w:rsidR="00B925E4" w:rsidRDefault="00B925E4" w:rsidP="00B925E4">
            <w:pPr>
              <w:spacing w:line="276" w:lineRule="auto"/>
              <w:jc w:val="center"/>
              <w:rPr>
                <w:b/>
                <w:bCs/>
                <w:sz w:val="28"/>
                <w:szCs w:val="28"/>
              </w:rPr>
            </w:pPr>
            <w:r w:rsidRPr="00B925E4">
              <w:rPr>
                <w:b/>
                <w:bCs/>
                <w:sz w:val="24"/>
                <w:szCs w:val="24"/>
              </w:rPr>
              <w:t>Finding</w:t>
            </w:r>
          </w:p>
        </w:tc>
        <w:tc>
          <w:tcPr>
            <w:tcW w:w="3045" w:type="dxa"/>
            <w:shd w:val="clear" w:color="auto" w:fill="D0CECE" w:themeFill="background2" w:themeFillShade="E6"/>
          </w:tcPr>
          <w:p w14:paraId="795CAAD7" w14:textId="4FA985DF" w:rsidR="00B925E4" w:rsidRDefault="00B925E4" w:rsidP="00B925E4">
            <w:pPr>
              <w:spacing w:line="276" w:lineRule="auto"/>
              <w:jc w:val="center"/>
              <w:rPr>
                <w:b/>
                <w:bCs/>
                <w:sz w:val="28"/>
                <w:szCs w:val="28"/>
              </w:rPr>
            </w:pPr>
            <w:r w:rsidRPr="00B925E4">
              <w:rPr>
                <w:b/>
                <w:bCs/>
                <w:sz w:val="24"/>
                <w:szCs w:val="24"/>
              </w:rPr>
              <w:t>Business Meaning</w:t>
            </w:r>
          </w:p>
        </w:tc>
      </w:tr>
      <w:tr w:rsidR="00B925E4" w14:paraId="6CA68535" w14:textId="77777777" w:rsidTr="001272A5">
        <w:trPr>
          <w:trHeight w:val="144"/>
        </w:trPr>
        <w:tc>
          <w:tcPr>
            <w:tcW w:w="3044" w:type="dxa"/>
          </w:tcPr>
          <w:p w14:paraId="3BCB86FE" w14:textId="36980BE2" w:rsidR="00B925E4" w:rsidRPr="00CD235E" w:rsidRDefault="00CD235E" w:rsidP="001B6B29">
            <w:pPr>
              <w:spacing w:line="276" w:lineRule="auto"/>
              <w:jc w:val="both"/>
              <w:rPr>
                <w:sz w:val="28"/>
                <w:szCs w:val="28"/>
              </w:rPr>
            </w:pPr>
            <w:r w:rsidRPr="00CD235E">
              <w:rPr>
                <w:sz w:val="24"/>
                <w:szCs w:val="24"/>
              </w:rPr>
              <w:t>Tenure vs. monthly charges among churners</w:t>
            </w:r>
          </w:p>
        </w:tc>
        <w:tc>
          <w:tcPr>
            <w:tcW w:w="3044" w:type="dxa"/>
          </w:tcPr>
          <w:p w14:paraId="0A069D36" w14:textId="7EEAC68A" w:rsidR="00B925E4" w:rsidRPr="00CD235E" w:rsidRDefault="00CD235E" w:rsidP="001B6B29">
            <w:pPr>
              <w:spacing w:line="276" w:lineRule="auto"/>
              <w:jc w:val="both"/>
              <w:rPr>
                <w:sz w:val="28"/>
                <w:szCs w:val="28"/>
              </w:rPr>
            </w:pPr>
            <w:r w:rsidRPr="00CD235E">
              <w:rPr>
                <w:sz w:val="24"/>
                <w:szCs w:val="24"/>
              </w:rPr>
              <w:t xml:space="preserve">Long-tenure churners (60+ months) pay $97.32/month vs $66.49 for early churners (0-12 months) </w:t>
            </w:r>
            <w:r>
              <w:rPr>
                <w:sz w:val="24"/>
                <w:szCs w:val="24"/>
              </w:rPr>
              <w:t>-</w:t>
            </w:r>
            <w:r w:rsidRPr="00CD235E">
              <w:rPr>
                <w:sz w:val="24"/>
                <w:szCs w:val="24"/>
              </w:rPr>
              <w:t xml:space="preserve"> a 46% higher bill</w:t>
            </w:r>
          </w:p>
        </w:tc>
        <w:tc>
          <w:tcPr>
            <w:tcW w:w="3045" w:type="dxa"/>
          </w:tcPr>
          <w:p w14:paraId="3AC9D96A" w14:textId="3E952522" w:rsidR="00B925E4" w:rsidRPr="00CD235E" w:rsidRDefault="00E90157" w:rsidP="00E90157">
            <w:pPr>
              <w:rPr>
                <w:sz w:val="24"/>
                <w:szCs w:val="24"/>
              </w:rPr>
            </w:pPr>
            <w:r w:rsidRPr="00CD235E">
              <w:rPr>
                <w:sz w:val="24"/>
                <w:szCs w:val="24"/>
              </w:rPr>
              <w:t xml:space="preserve">Since long-tenure customers are leaving despite years of loyalty, the business should </w:t>
            </w:r>
            <w:r>
              <w:rPr>
                <w:sz w:val="24"/>
                <w:szCs w:val="24"/>
              </w:rPr>
              <w:t xml:space="preserve">investigate competition in </w:t>
            </w:r>
            <w:r w:rsidRPr="00CD235E">
              <w:rPr>
                <w:sz w:val="24"/>
                <w:szCs w:val="24"/>
              </w:rPr>
              <w:t>this segment and consider a loyalty discount or retention offer for customers approaching the 60-month mark, before rising bills push them to switch</w:t>
            </w:r>
          </w:p>
        </w:tc>
      </w:tr>
      <w:tr w:rsidR="00B925E4" w14:paraId="56A37D94" w14:textId="77777777" w:rsidTr="001272A5">
        <w:trPr>
          <w:trHeight w:val="144"/>
        </w:trPr>
        <w:tc>
          <w:tcPr>
            <w:tcW w:w="3044" w:type="dxa"/>
          </w:tcPr>
          <w:p w14:paraId="4B5129F4" w14:textId="31522D53" w:rsidR="00B925E4" w:rsidRPr="00F53931" w:rsidRDefault="00F53931" w:rsidP="001B6B29">
            <w:pPr>
              <w:spacing w:line="276" w:lineRule="auto"/>
              <w:jc w:val="both"/>
              <w:rPr>
                <w:sz w:val="28"/>
                <w:szCs w:val="28"/>
              </w:rPr>
            </w:pPr>
            <w:r w:rsidRPr="00F53931">
              <w:rPr>
                <w:sz w:val="24"/>
                <w:szCs w:val="24"/>
              </w:rPr>
              <w:t>Add-on services vs. churn, controlling for tenure</w:t>
            </w:r>
          </w:p>
        </w:tc>
        <w:tc>
          <w:tcPr>
            <w:tcW w:w="3044" w:type="dxa"/>
          </w:tcPr>
          <w:p w14:paraId="03C35E78" w14:textId="50D8D5C3" w:rsidR="00B925E4" w:rsidRPr="00F53931" w:rsidRDefault="00F53931" w:rsidP="002F4FE1">
            <w:pPr>
              <w:spacing w:line="276" w:lineRule="auto"/>
              <w:rPr>
                <w:sz w:val="24"/>
                <w:szCs w:val="24"/>
              </w:rPr>
            </w:pPr>
            <w:r w:rsidRPr="00F53931">
              <w:rPr>
                <w:sz w:val="24"/>
                <w:szCs w:val="24"/>
              </w:rPr>
              <w:t xml:space="preserve">Churned customers had MORE add-ons than retained customers at every tenure level </w:t>
            </w:r>
            <w:r>
              <w:rPr>
                <w:sz w:val="24"/>
                <w:szCs w:val="24"/>
              </w:rPr>
              <w:t>-</w:t>
            </w:r>
            <w:r w:rsidRPr="00F53931">
              <w:rPr>
                <w:sz w:val="24"/>
                <w:szCs w:val="24"/>
              </w:rPr>
              <w:t xml:space="preserve"> e.g., 1.96 vs 1.44 in the </w:t>
            </w:r>
            <w:proofErr w:type="gramStart"/>
            <w:r w:rsidRPr="00F53931">
              <w:rPr>
                <w:sz w:val="24"/>
                <w:szCs w:val="24"/>
              </w:rPr>
              <w:t>13-24 month</w:t>
            </w:r>
            <w:proofErr w:type="gramEnd"/>
            <w:r w:rsidRPr="00F53931">
              <w:rPr>
                <w:sz w:val="24"/>
                <w:szCs w:val="24"/>
              </w:rPr>
              <w:t xml:space="preserve"> bracket, a 36% higher add-on count among those who left</w:t>
            </w:r>
            <w:r>
              <w:rPr>
                <w:sz w:val="24"/>
                <w:szCs w:val="24"/>
              </w:rPr>
              <w:t>.</w:t>
            </w:r>
          </w:p>
        </w:tc>
        <w:tc>
          <w:tcPr>
            <w:tcW w:w="3045" w:type="dxa"/>
          </w:tcPr>
          <w:p w14:paraId="790BD97D" w14:textId="35EB7438" w:rsidR="00B925E4" w:rsidRPr="00644CBB" w:rsidRDefault="00644CBB" w:rsidP="00E90157">
            <w:pPr>
              <w:spacing w:line="276" w:lineRule="auto"/>
              <w:rPr>
                <w:sz w:val="24"/>
                <w:szCs w:val="24"/>
              </w:rPr>
            </w:pPr>
            <w:r w:rsidRPr="00644CBB">
              <w:rPr>
                <w:sz w:val="24"/>
                <w:szCs w:val="24"/>
              </w:rPr>
              <w:t xml:space="preserve">Since more add-ons correlate with higher churn rather than retention, the business should review whether bundled add-ons feel like </w:t>
            </w:r>
            <w:r w:rsidR="00F53931">
              <w:rPr>
                <w:sz w:val="24"/>
                <w:szCs w:val="24"/>
              </w:rPr>
              <w:t xml:space="preserve">a </w:t>
            </w:r>
            <w:r w:rsidRPr="00644CBB">
              <w:rPr>
                <w:sz w:val="24"/>
                <w:szCs w:val="24"/>
              </w:rPr>
              <w:t xml:space="preserve">rising financial burden rather than added value </w:t>
            </w:r>
            <w:r>
              <w:rPr>
                <w:sz w:val="24"/>
                <w:szCs w:val="24"/>
              </w:rPr>
              <w:t>-</w:t>
            </w:r>
            <w:r w:rsidRPr="00644CBB">
              <w:rPr>
                <w:sz w:val="24"/>
                <w:szCs w:val="24"/>
              </w:rPr>
              <w:t xml:space="preserve"> offering flexible, easy opt-out</w:t>
            </w:r>
            <w:r>
              <w:rPr>
                <w:sz w:val="24"/>
                <w:szCs w:val="24"/>
              </w:rPr>
              <w:t xml:space="preserve"> </w:t>
            </w:r>
            <w:r w:rsidRPr="00644CBB">
              <w:rPr>
                <w:sz w:val="24"/>
                <w:szCs w:val="24"/>
              </w:rPr>
              <w:t xml:space="preserve">periods for individual add-ons could prevent customers from abandoning the entire </w:t>
            </w:r>
            <w:r w:rsidRPr="00644CBB">
              <w:rPr>
                <w:sz w:val="24"/>
                <w:szCs w:val="24"/>
              </w:rPr>
              <w:lastRenderedPageBreak/>
              <w:t>service over dissatisfaction with one bundled feature</w:t>
            </w:r>
          </w:p>
        </w:tc>
      </w:tr>
      <w:tr w:rsidR="00B925E4" w14:paraId="34E32A5A" w14:textId="77777777" w:rsidTr="001272A5">
        <w:trPr>
          <w:trHeight w:val="144"/>
        </w:trPr>
        <w:tc>
          <w:tcPr>
            <w:tcW w:w="3044" w:type="dxa"/>
          </w:tcPr>
          <w:p w14:paraId="591589A1" w14:textId="36E1A347" w:rsidR="00B925E4" w:rsidRDefault="00F53931" w:rsidP="001B6B29">
            <w:pPr>
              <w:spacing w:line="276" w:lineRule="auto"/>
              <w:jc w:val="both"/>
              <w:rPr>
                <w:b/>
                <w:bCs/>
                <w:sz w:val="28"/>
                <w:szCs w:val="28"/>
              </w:rPr>
            </w:pPr>
            <w:r>
              <w:rPr>
                <w:sz w:val="24"/>
                <w:szCs w:val="24"/>
              </w:rPr>
              <w:lastRenderedPageBreak/>
              <w:t>Fiber</w:t>
            </w:r>
            <w:r w:rsidRPr="00F53931">
              <w:rPr>
                <w:sz w:val="24"/>
                <w:szCs w:val="24"/>
              </w:rPr>
              <w:t xml:space="preserve"> vs. DSL churn rate and pricing</w:t>
            </w:r>
          </w:p>
        </w:tc>
        <w:tc>
          <w:tcPr>
            <w:tcW w:w="3044" w:type="dxa"/>
          </w:tcPr>
          <w:p w14:paraId="2A4DD0CA" w14:textId="79F0FBE3" w:rsidR="00B925E4" w:rsidRPr="00F53931" w:rsidRDefault="00F53931" w:rsidP="002F4FE1">
            <w:pPr>
              <w:spacing w:line="276" w:lineRule="auto"/>
              <w:rPr>
                <w:sz w:val="28"/>
                <w:szCs w:val="28"/>
              </w:rPr>
            </w:pPr>
            <w:r>
              <w:rPr>
                <w:sz w:val="24"/>
                <w:szCs w:val="24"/>
              </w:rPr>
              <w:t>Fibre</w:t>
            </w:r>
            <w:r w:rsidRPr="00F53931">
              <w:rPr>
                <w:sz w:val="24"/>
                <w:szCs w:val="24"/>
              </w:rPr>
              <w:t xml:space="preserve"> optic customers</w:t>
            </w:r>
            <w:r w:rsidR="00217E67">
              <w:rPr>
                <w:sz w:val="24"/>
                <w:szCs w:val="24"/>
              </w:rPr>
              <w:t xml:space="preserve"> </w:t>
            </w:r>
            <w:r w:rsidRPr="00F53931">
              <w:rPr>
                <w:sz w:val="24"/>
                <w:szCs w:val="24"/>
              </w:rPr>
              <w:t>pay $91.50/month (58% more than DSL's $58.09)</w:t>
            </w:r>
            <w:r>
              <w:rPr>
                <w:sz w:val="24"/>
                <w:szCs w:val="24"/>
              </w:rPr>
              <w:t>,</w:t>
            </w:r>
            <w:r w:rsidRPr="00F53931">
              <w:rPr>
                <w:sz w:val="24"/>
                <w:szCs w:val="24"/>
              </w:rPr>
              <w:t xml:space="preserve"> yet churn </w:t>
            </w:r>
            <w:r w:rsidR="00E90157">
              <w:rPr>
                <w:sz w:val="24"/>
                <w:szCs w:val="24"/>
              </w:rPr>
              <w:t xml:space="preserve">at </w:t>
            </w:r>
            <w:r w:rsidRPr="00F53931">
              <w:rPr>
                <w:sz w:val="24"/>
                <w:szCs w:val="24"/>
              </w:rPr>
              <w:t>more than double the rate (41.89% vs 19%)</w:t>
            </w:r>
          </w:p>
        </w:tc>
        <w:tc>
          <w:tcPr>
            <w:tcW w:w="3045" w:type="dxa"/>
          </w:tcPr>
          <w:p w14:paraId="064F8D0F" w14:textId="26700DCF" w:rsidR="00B925E4" w:rsidRPr="00217E67" w:rsidRDefault="00216779" w:rsidP="00E90157">
            <w:pPr>
              <w:spacing w:line="276" w:lineRule="auto"/>
              <w:rPr>
                <w:sz w:val="24"/>
                <w:szCs w:val="24"/>
              </w:rPr>
            </w:pPr>
            <w:r w:rsidRPr="00216779">
              <w:rPr>
                <w:sz w:val="24"/>
                <w:szCs w:val="24"/>
              </w:rPr>
              <w:t xml:space="preserve">A 58% price premium accompanied by double the churn suggests </w:t>
            </w:r>
            <w:proofErr w:type="spellStart"/>
            <w:r>
              <w:rPr>
                <w:sz w:val="24"/>
                <w:szCs w:val="24"/>
              </w:rPr>
              <w:t>fiber</w:t>
            </w:r>
            <w:proofErr w:type="spellEnd"/>
            <w:r w:rsidRPr="00216779">
              <w:rPr>
                <w:sz w:val="24"/>
                <w:szCs w:val="24"/>
              </w:rPr>
              <w:t xml:space="preserve"> customers aren't perceiving value matching their cost </w:t>
            </w:r>
            <w:r>
              <w:rPr>
                <w:sz w:val="24"/>
                <w:szCs w:val="24"/>
              </w:rPr>
              <w:t>-</w:t>
            </w:r>
            <w:r w:rsidRPr="00216779">
              <w:rPr>
                <w:sz w:val="24"/>
                <w:szCs w:val="24"/>
              </w:rPr>
              <w:t xml:space="preserve"> this could stem from pricing alone, but service reliability, installation experience, or support quality for </w:t>
            </w:r>
            <w:proofErr w:type="spellStart"/>
            <w:r w:rsidRPr="00216779">
              <w:rPr>
                <w:sz w:val="24"/>
                <w:szCs w:val="24"/>
              </w:rPr>
              <w:t>fiber</w:t>
            </w:r>
            <w:proofErr w:type="spellEnd"/>
            <w:r w:rsidRPr="00216779">
              <w:rPr>
                <w:sz w:val="24"/>
                <w:szCs w:val="24"/>
              </w:rPr>
              <w:t xml:space="preserve">-specific issues should also be audited internally. Benchmarking against competitor </w:t>
            </w:r>
            <w:proofErr w:type="spellStart"/>
            <w:r w:rsidRPr="00216779">
              <w:rPr>
                <w:sz w:val="24"/>
                <w:szCs w:val="24"/>
              </w:rPr>
              <w:t>fiber</w:t>
            </w:r>
            <w:proofErr w:type="spellEnd"/>
            <w:r w:rsidRPr="00216779">
              <w:rPr>
                <w:sz w:val="24"/>
                <w:szCs w:val="24"/>
              </w:rPr>
              <w:t xml:space="preserve"> pricing and service quality would clarify whether this is a price problem, a service problem, or both.</w:t>
            </w:r>
          </w:p>
        </w:tc>
      </w:tr>
      <w:tr w:rsidR="00B925E4" w14:paraId="5565DB83" w14:textId="77777777" w:rsidTr="001272A5">
        <w:trPr>
          <w:trHeight w:val="144"/>
        </w:trPr>
        <w:tc>
          <w:tcPr>
            <w:tcW w:w="3044" w:type="dxa"/>
          </w:tcPr>
          <w:p w14:paraId="09DC977D" w14:textId="56DCED56" w:rsidR="00B925E4" w:rsidRPr="00216779" w:rsidRDefault="00216779" w:rsidP="001B6B29">
            <w:pPr>
              <w:spacing w:line="276" w:lineRule="auto"/>
              <w:jc w:val="both"/>
              <w:rPr>
                <w:sz w:val="28"/>
                <w:szCs w:val="28"/>
              </w:rPr>
            </w:pPr>
            <w:r w:rsidRPr="00216779">
              <w:rPr>
                <w:sz w:val="24"/>
                <w:szCs w:val="24"/>
              </w:rPr>
              <w:t xml:space="preserve">Senior citizens </w:t>
            </w:r>
            <w:r>
              <w:rPr>
                <w:sz w:val="24"/>
                <w:szCs w:val="24"/>
              </w:rPr>
              <w:t>-</w:t>
            </w:r>
            <w:r w:rsidRPr="00216779">
              <w:rPr>
                <w:sz w:val="24"/>
                <w:szCs w:val="24"/>
              </w:rPr>
              <w:t xml:space="preserve"> digital billing vs. traditional payment, churn comparison</w:t>
            </w:r>
          </w:p>
        </w:tc>
        <w:tc>
          <w:tcPr>
            <w:tcW w:w="3044" w:type="dxa"/>
          </w:tcPr>
          <w:p w14:paraId="2126F71F" w14:textId="77777777" w:rsidR="00E90157" w:rsidRDefault="00216779" w:rsidP="00E90157">
            <w:pPr>
              <w:spacing w:line="276" w:lineRule="auto"/>
              <w:rPr>
                <w:sz w:val="24"/>
                <w:szCs w:val="24"/>
              </w:rPr>
            </w:pPr>
            <w:r w:rsidRPr="00216779">
              <w:rPr>
                <w:sz w:val="24"/>
                <w:szCs w:val="24"/>
              </w:rPr>
              <w:t>Senior citizens using</w:t>
            </w:r>
          </w:p>
          <w:p w14:paraId="6EAC5340" w14:textId="1898A9EA" w:rsidR="00B925E4" w:rsidRPr="00216779" w:rsidRDefault="00216779" w:rsidP="00E90157">
            <w:pPr>
              <w:spacing w:line="276" w:lineRule="auto"/>
              <w:rPr>
                <w:sz w:val="28"/>
                <w:szCs w:val="28"/>
              </w:rPr>
            </w:pPr>
            <w:r w:rsidRPr="00216779">
              <w:rPr>
                <w:sz w:val="24"/>
                <w:szCs w:val="24"/>
              </w:rPr>
              <w:t>paperless billing or</w:t>
            </w:r>
            <w:r w:rsidR="00E90157">
              <w:rPr>
                <w:sz w:val="24"/>
                <w:szCs w:val="24"/>
              </w:rPr>
              <w:t xml:space="preserve"> </w:t>
            </w:r>
            <w:r w:rsidRPr="00216779">
              <w:rPr>
                <w:sz w:val="24"/>
                <w:szCs w:val="24"/>
              </w:rPr>
              <w:t>electronic check churn at 44.96%, nearly double the 22.94% churn rate of senior citizens using traditional payment methods</w:t>
            </w:r>
          </w:p>
        </w:tc>
        <w:tc>
          <w:tcPr>
            <w:tcW w:w="3045" w:type="dxa"/>
          </w:tcPr>
          <w:p w14:paraId="6402AAF8" w14:textId="2142F745" w:rsidR="00B925E4" w:rsidRPr="00216779" w:rsidRDefault="00216779" w:rsidP="00E90157">
            <w:pPr>
              <w:spacing w:line="276" w:lineRule="auto"/>
              <w:rPr>
                <w:sz w:val="24"/>
                <w:szCs w:val="24"/>
              </w:rPr>
            </w:pPr>
            <w:r w:rsidRPr="00216779">
              <w:rPr>
                <w:sz w:val="24"/>
                <w:szCs w:val="24"/>
              </w:rPr>
              <w:t>Rather than removing digital billing options, the business should offer senior citizens dedicated onboarding support - such as phone-guided setup or an optional home-visit service - to ease the transition to electronic billing, reducing friction-driven churn while still moving toward a cashless, paperless system.</w:t>
            </w:r>
          </w:p>
        </w:tc>
      </w:tr>
      <w:tr w:rsidR="00B925E4" w14:paraId="5D605A17" w14:textId="77777777" w:rsidTr="00BA46B2">
        <w:trPr>
          <w:trHeight w:val="699"/>
        </w:trPr>
        <w:tc>
          <w:tcPr>
            <w:tcW w:w="3044" w:type="dxa"/>
          </w:tcPr>
          <w:p w14:paraId="3FA30E40" w14:textId="53478774" w:rsidR="00B925E4" w:rsidRPr="007714D1" w:rsidRDefault="007714D1" w:rsidP="002F4FE1">
            <w:pPr>
              <w:spacing w:line="276" w:lineRule="auto"/>
              <w:rPr>
                <w:sz w:val="24"/>
                <w:szCs w:val="24"/>
              </w:rPr>
            </w:pPr>
            <w:r w:rsidRPr="007714D1">
              <w:rPr>
                <w:sz w:val="24"/>
                <w:szCs w:val="24"/>
              </w:rPr>
              <w:t>Household stability (partner/dependents) vs. churn</w:t>
            </w:r>
          </w:p>
        </w:tc>
        <w:tc>
          <w:tcPr>
            <w:tcW w:w="3044" w:type="dxa"/>
          </w:tcPr>
          <w:p w14:paraId="6D668909" w14:textId="189487D5" w:rsidR="00B925E4" w:rsidRPr="007714D1" w:rsidRDefault="007714D1" w:rsidP="002F4FE1">
            <w:pPr>
              <w:spacing w:line="276" w:lineRule="auto"/>
              <w:rPr>
                <w:sz w:val="24"/>
                <w:szCs w:val="24"/>
              </w:rPr>
            </w:pPr>
            <w:r w:rsidRPr="007714D1">
              <w:rPr>
                <w:sz w:val="24"/>
                <w:szCs w:val="24"/>
              </w:rPr>
              <w:t>Single customers with no partner and no dependents churn at 34.24%, nearly double the 19.88% churn rate of customers with a partner and/or dependents</w:t>
            </w:r>
          </w:p>
        </w:tc>
        <w:tc>
          <w:tcPr>
            <w:tcW w:w="3045" w:type="dxa"/>
          </w:tcPr>
          <w:p w14:paraId="11A40BAB" w14:textId="2D199865" w:rsidR="00B925E4" w:rsidRPr="007714D1" w:rsidRDefault="007714D1" w:rsidP="00E90157">
            <w:pPr>
              <w:spacing w:line="276" w:lineRule="auto"/>
              <w:rPr>
                <w:sz w:val="24"/>
                <w:szCs w:val="24"/>
              </w:rPr>
            </w:pPr>
            <w:r w:rsidRPr="007714D1">
              <w:rPr>
                <w:sz w:val="24"/>
                <w:szCs w:val="24"/>
              </w:rPr>
              <w:t xml:space="preserve">Single customers may be more open to switching providers in search of new features or better deals, since </w:t>
            </w:r>
            <w:r w:rsidR="00E90157">
              <w:rPr>
                <w:sz w:val="24"/>
                <w:szCs w:val="24"/>
              </w:rPr>
              <w:t>shared household decisions don't anchor them</w:t>
            </w:r>
            <w:r w:rsidRPr="007714D1">
              <w:rPr>
                <w:sz w:val="24"/>
                <w:szCs w:val="24"/>
              </w:rPr>
              <w:t xml:space="preserve">. The business should stay competitive by proactively rolling out new features and promotions </w:t>
            </w:r>
            <w:r w:rsidRPr="007714D1">
              <w:rPr>
                <w:sz w:val="24"/>
                <w:szCs w:val="24"/>
              </w:rPr>
              <w:lastRenderedPageBreak/>
              <w:t>targeted at this segment, reducing their incentive to explore alternatives elsewhere.</w:t>
            </w:r>
          </w:p>
        </w:tc>
      </w:tr>
    </w:tbl>
    <w:p w14:paraId="0B92FB17" w14:textId="77777777" w:rsidR="00BA46B2" w:rsidRDefault="00BA46B2" w:rsidP="001B6B29">
      <w:pPr>
        <w:spacing w:line="276" w:lineRule="auto"/>
        <w:jc w:val="both"/>
        <w:rPr>
          <w:b/>
          <w:bCs/>
          <w:sz w:val="28"/>
          <w:szCs w:val="28"/>
        </w:rPr>
      </w:pPr>
    </w:p>
    <w:p w14:paraId="30C4833C" w14:textId="2B76E745" w:rsidR="00B925E4" w:rsidRDefault="00BA46B2" w:rsidP="001B6B29">
      <w:pPr>
        <w:spacing w:line="276" w:lineRule="auto"/>
        <w:jc w:val="both"/>
        <w:rPr>
          <w:b/>
          <w:bCs/>
          <w:sz w:val="26"/>
          <w:szCs w:val="26"/>
        </w:rPr>
      </w:pPr>
      <w:r w:rsidRPr="00BA46B2">
        <w:rPr>
          <w:b/>
          <w:bCs/>
          <w:sz w:val="26"/>
          <w:szCs w:val="26"/>
        </w:rPr>
        <w:t>Additional Technical Analysis</w:t>
      </w:r>
    </w:p>
    <w:p w14:paraId="77FBA347" w14:textId="37A204DF" w:rsidR="0067324D" w:rsidRDefault="0067324D" w:rsidP="001B6B29">
      <w:pPr>
        <w:spacing w:line="276" w:lineRule="auto"/>
        <w:jc w:val="both"/>
        <w:rPr>
          <w:sz w:val="24"/>
          <w:szCs w:val="24"/>
        </w:rPr>
      </w:pPr>
      <w:r w:rsidRPr="0067324D">
        <w:rPr>
          <w:sz w:val="24"/>
          <w:szCs w:val="24"/>
        </w:rPr>
        <w:t xml:space="preserve">Beyond the five core questions, a CTE combined with the </w:t>
      </w:r>
      <w:proofErr w:type="gramStart"/>
      <w:r w:rsidRPr="0067324D">
        <w:rPr>
          <w:sz w:val="24"/>
          <w:szCs w:val="24"/>
        </w:rPr>
        <w:t>LAG(</w:t>
      </w:r>
      <w:proofErr w:type="gramEnd"/>
      <w:r w:rsidRPr="0067324D">
        <w:rPr>
          <w:sz w:val="24"/>
          <w:szCs w:val="24"/>
        </w:rPr>
        <w:t xml:space="preserve">) window function was used to measure how churn rate changes between consecutive tenure stages. This revealed that churn drops most sharply between the </w:t>
      </w:r>
      <w:proofErr w:type="gramStart"/>
      <w:r w:rsidRPr="0067324D">
        <w:rPr>
          <w:sz w:val="24"/>
          <w:szCs w:val="24"/>
        </w:rPr>
        <w:t>0-12 month</w:t>
      </w:r>
      <w:proofErr w:type="gramEnd"/>
      <w:r w:rsidRPr="0067324D">
        <w:rPr>
          <w:sz w:val="24"/>
          <w:szCs w:val="24"/>
        </w:rPr>
        <w:t xml:space="preserve"> bucket (47.68%) and the </w:t>
      </w:r>
      <w:proofErr w:type="gramStart"/>
      <w:r w:rsidRPr="0067324D">
        <w:rPr>
          <w:sz w:val="24"/>
          <w:szCs w:val="24"/>
        </w:rPr>
        <w:t>13-24 month</w:t>
      </w:r>
      <w:proofErr w:type="gramEnd"/>
      <w:r w:rsidRPr="0067324D">
        <w:rPr>
          <w:sz w:val="24"/>
          <w:szCs w:val="24"/>
        </w:rPr>
        <w:t xml:space="preserve"> bucket (28.71%) </w:t>
      </w:r>
      <w:r>
        <w:rPr>
          <w:sz w:val="24"/>
          <w:szCs w:val="24"/>
        </w:rPr>
        <w:t>-</w:t>
      </w:r>
      <w:r w:rsidRPr="0067324D">
        <w:rPr>
          <w:sz w:val="24"/>
          <w:szCs w:val="24"/>
        </w:rPr>
        <w:t xml:space="preserve"> an 18.97 percentage point decline, the steepest transition in the entire dataset. This confirms the first year as the highest-risk window for retention and suggests that any intervention budget should be concentrated there for maximum impact.</w:t>
      </w:r>
    </w:p>
    <w:p w14:paraId="3E3D159F" w14:textId="77777777" w:rsidR="00173681" w:rsidRDefault="0067324D" w:rsidP="00173681">
      <w:pPr>
        <w:spacing w:line="276" w:lineRule="auto"/>
        <w:jc w:val="both"/>
        <w:rPr>
          <w:b/>
          <w:bCs/>
          <w:sz w:val="28"/>
          <w:szCs w:val="28"/>
        </w:rPr>
      </w:pPr>
      <w:r w:rsidRPr="0067324D">
        <w:rPr>
          <w:b/>
          <w:bCs/>
          <w:sz w:val="28"/>
          <w:szCs w:val="28"/>
        </w:rPr>
        <w:t>Recommendations</w:t>
      </w:r>
    </w:p>
    <w:p w14:paraId="24374CCA" w14:textId="2D384CF2" w:rsidR="00173681" w:rsidRPr="00173681" w:rsidRDefault="00173681" w:rsidP="00E90157">
      <w:pPr>
        <w:pStyle w:val="ListParagraph"/>
        <w:numPr>
          <w:ilvl w:val="0"/>
          <w:numId w:val="5"/>
        </w:numPr>
        <w:spacing w:line="276" w:lineRule="auto"/>
        <w:rPr>
          <w:sz w:val="24"/>
          <w:szCs w:val="24"/>
        </w:rPr>
      </w:pPr>
      <w:r w:rsidRPr="00173681">
        <w:rPr>
          <w:b/>
          <w:bCs/>
          <w:sz w:val="24"/>
          <w:szCs w:val="24"/>
        </w:rPr>
        <w:t>Launch a loyalty retention program for long-tenure customers</w:t>
      </w:r>
      <w:r w:rsidRPr="00173681">
        <w:rPr>
          <w:sz w:val="24"/>
          <w:szCs w:val="24"/>
        </w:rPr>
        <w:t xml:space="preserve">. Customers approaching 60 months show rising bills and increased churn </w:t>
      </w:r>
      <w:r w:rsidR="00E90157">
        <w:rPr>
          <w:sz w:val="24"/>
          <w:szCs w:val="24"/>
        </w:rPr>
        <w:t>-</w:t>
      </w:r>
      <w:r w:rsidRPr="00173681">
        <w:rPr>
          <w:sz w:val="24"/>
          <w:szCs w:val="24"/>
        </w:rPr>
        <w:t xml:space="preserve"> introduce tenure-based discounts or perks before this critical point, protecting the company's most valuable, highest-paying customer segment.</w:t>
      </w:r>
    </w:p>
    <w:p w14:paraId="78899A2D" w14:textId="30680E80" w:rsidR="00173681" w:rsidRPr="00173681" w:rsidRDefault="00173681" w:rsidP="00173681">
      <w:pPr>
        <w:pStyle w:val="ListParagraph"/>
        <w:numPr>
          <w:ilvl w:val="0"/>
          <w:numId w:val="5"/>
        </w:numPr>
        <w:spacing w:line="276" w:lineRule="auto"/>
        <w:jc w:val="both"/>
        <w:rPr>
          <w:sz w:val="24"/>
          <w:szCs w:val="24"/>
        </w:rPr>
      </w:pPr>
      <w:r w:rsidRPr="00173681">
        <w:rPr>
          <w:b/>
          <w:bCs/>
          <w:sz w:val="24"/>
          <w:szCs w:val="24"/>
        </w:rPr>
        <w:t>Build a dedicated digital onboarding pathway for senior citizens</w:t>
      </w:r>
      <w:r w:rsidRPr="00173681">
        <w:rPr>
          <w:sz w:val="24"/>
          <w:szCs w:val="24"/>
        </w:rPr>
        <w:t>. Rather than pulling back on paperless billing, offer phone-guided setup or optional in-person support specifically for older customers, cutting friction-driven churn without reversing the company's shift toward digital operations.</w:t>
      </w:r>
    </w:p>
    <w:p w14:paraId="51ECA469" w14:textId="3AB335CD" w:rsidR="00173681" w:rsidRDefault="00173681" w:rsidP="00173681">
      <w:pPr>
        <w:pStyle w:val="ListParagraph"/>
        <w:numPr>
          <w:ilvl w:val="0"/>
          <w:numId w:val="5"/>
        </w:numPr>
        <w:spacing w:line="276" w:lineRule="auto"/>
        <w:jc w:val="both"/>
        <w:rPr>
          <w:sz w:val="24"/>
          <w:szCs w:val="24"/>
        </w:rPr>
      </w:pPr>
      <w:r w:rsidRPr="00173681">
        <w:rPr>
          <w:b/>
          <w:bCs/>
          <w:sz w:val="24"/>
          <w:szCs w:val="24"/>
        </w:rPr>
        <w:t xml:space="preserve">Strengthen </w:t>
      </w:r>
      <w:proofErr w:type="spellStart"/>
      <w:r w:rsidRPr="00173681">
        <w:rPr>
          <w:b/>
          <w:bCs/>
          <w:sz w:val="24"/>
          <w:szCs w:val="24"/>
        </w:rPr>
        <w:t>fiber</w:t>
      </w:r>
      <w:proofErr w:type="spellEnd"/>
      <w:r w:rsidRPr="00173681">
        <w:rPr>
          <w:b/>
          <w:bCs/>
          <w:sz w:val="24"/>
          <w:szCs w:val="24"/>
        </w:rPr>
        <w:t xml:space="preserve"> service value and feature competitiveness</w:t>
      </w:r>
      <w:r w:rsidRPr="00173681">
        <w:rPr>
          <w:sz w:val="24"/>
          <w:szCs w:val="24"/>
        </w:rPr>
        <w:t xml:space="preserve">. Audit </w:t>
      </w:r>
      <w:proofErr w:type="spellStart"/>
      <w:r w:rsidRPr="00173681">
        <w:rPr>
          <w:sz w:val="24"/>
          <w:szCs w:val="24"/>
        </w:rPr>
        <w:t>fiber</w:t>
      </w:r>
      <w:proofErr w:type="spellEnd"/>
      <w:r w:rsidRPr="00173681">
        <w:rPr>
          <w:sz w:val="24"/>
          <w:szCs w:val="24"/>
        </w:rPr>
        <w:t xml:space="preserve"> pricing against service quality and competitor offerings to close the value gap driving 2x churn, while also fast-tracking new feature rollouts to retain single, feature-driven customers before they look elsewhere.</w:t>
      </w:r>
    </w:p>
    <w:p w14:paraId="6A306EC8" w14:textId="3D6CB1A6" w:rsidR="00173681" w:rsidRDefault="00173681" w:rsidP="00173681">
      <w:pPr>
        <w:spacing w:line="276" w:lineRule="auto"/>
        <w:jc w:val="both"/>
        <w:rPr>
          <w:b/>
          <w:bCs/>
          <w:sz w:val="28"/>
          <w:szCs w:val="28"/>
        </w:rPr>
      </w:pPr>
      <w:r w:rsidRPr="00173681">
        <w:rPr>
          <w:b/>
          <w:bCs/>
          <w:sz w:val="28"/>
          <w:szCs w:val="28"/>
        </w:rPr>
        <w:t>Next Steps</w:t>
      </w:r>
    </w:p>
    <w:p w14:paraId="0CFA6431" w14:textId="11A6927E" w:rsidR="00173681" w:rsidRPr="00173681" w:rsidRDefault="00173681" w:rsidP="00173681">
      <w:pPr>
        <w:spacing w:line="276" w:lineRule="auto"/>
        <w:jc w:val="both"/>
        <w:rPr>
          <w:sz w:val="24"/>
          <w:szCs w:val="24"/>
        </w:rPr>
      </w:pPr>
      <w:r w:rsidRPr="00173681">
        <w:rPr>
          <w:sz w:val="24"/>
          <w:szCs w:val="24"/>
        </w:rPr>
        <w:t xml:space="preserve">This analysis was limited to a single snapshot in time, with no historical record of billing changes, service additions/removals, or stated cancellation reasons. With access to time-series data, the next investigation would track individual customers' service and pricing changes leading up to churn </w:t>
      </w:r>
      <w:r>
        <w:rPr>
          <w:sz w:val="24"/>
          <w:szCs w:val="24"/>
        </w:rPr>
        <w:t>-</w:t>
      </w:r>
      <w:r w:rsidRPr="00173681">
        <w:rPr>
          <w:sz w:val="24"/>
          <w:szCs w:val="24"/>
        </w:rPr>
        <w:t xml:space="preserve"> testing whether rising bills or dropped services directly precede cancellation, rather than just correlating with it. Additionally, collecting actual exit-survey data (the reason a customer gives when cancelling) would allow the business to validate which of these hypotheses </w:t>
      </w:r>
      <w:r>
        <w:rPr>
          <w:sz w:val="24"/>
          <w:szCs w:val="24"/>
        </w:rPr>
        <w:t>-</w:t>
      </w:r>
      <w:r w:rsidRPr="00173681">
        <w:rPr>
          <w:sz w:val="24"/>
          <w:szCs w:val="24"/>
        </w:rPr>
        <w:t xml:space="preserve"> pricing, competitor pressure, or service dissatisfaction </w:t>
      </w:r>
      <w:r>
        <w:rPr>
          <w:sz w:val="24"/>
          <w:szCs w:val="24"/>
        </w:rPr>
        <w:t>-</w:t>
      </w:r>
      <w:r w:rsidRPr="00173681">
        <w:rPr>
          <w:sz w:val="24"/>
          <w:szCs w:val="24"/>
        </w:rPr>
        <w:t xml:space="preserve"> is the true driver, rather than relying on indirect signals alone.</w:t>
      </w:r>
    </w:p>
    <w:p w14:paraId="60555D5C" w14:textId="77777777" w:rsidR="00173681" w:rsidRPr="0067324D" w:rsidRDefault="00173681" w:rsidP="001B6B29">
      <w:pPr>
        <w:spacing w:line="276" w:lineRule="auto"/>
        <w:jc w:val="both"/>
        <w:rPr>
          <w:b/>
          <w:bCs/>
          <w:sz w:val="28"/>
          <w:szCs w:val="28"/>
        </w:rPr>
      </w:pPr>
    </w:p>
    <w:sectPr w:rsidR="00173681" w:rsidRPr="00673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926"/>
    <w:multiLevelType w:val="hybridMultilevel"/>
    <w:tmpl w:val="6EFC3D28"/>
    <w:lvl w:ilvl="0" w:tplc="6896ABB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36BDA"/>
    <w:multiLevelType w:val="hybridMultilevel"/>
    <w:tmpl w:val="C1CAE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777A3B"/>
    <w:multiLevelType w:val="hybridMultilevel"/>
    <w:tmpl w:val="25FA65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0C01D16"/>
    <w:multiLevelType w:val="hybridMultilevel"/>
    <w:tmpl w:val="25FA6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7E2224"/>
    <w:multiLevelType w:val="hybridMultilevel"/>
    <w:tmpl w:val="34C84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7296877">
    <w:abstractNumId w:val="3"/>
  </w:num>
  <w:num w:numId="2" w16cid:durableId="907149779">
    <w:abstractNumId w:val="0"/>
  </w:num>
  <w:num w:numId="3" w16cid:durableId="33895382">
    <w:abstractNumId w:val="2"/>
  </w:num>
  <w:num w:numId="4" w16cid:durableId="1673873022">
    <w:abstractNumId w:val="1"/>
  </w:num>
  <w:num w:numId="5" w16cid:durableId="2098403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36"/>
    <w:rsid w:val="00077922"/>
    <w:rsid w:val="001272A5"/>
    <w:rsid w:val="00135E36"/>
    <w:rsid w:val="00173681"/>
    <w:rsid w:val="001B6B29"/>
    <w:rsid w:val="00216779"/>
    <w:rsid w:val="00217E67"/>
    <w:rsid w:val="00290EDF"/>
    <w:rsid w:val="002F4FE1"/>
    <w:rsid w:val="00306619"/>
    <w:rsid w:val="003440E8"/>
    <w:rsid w:val="003E315F"/>
    <w:rsid w:val="00444425"/>
    <w:rsid w:val="004C6328"/>
    <w:rsid w:val="00644CBB"/>
    <w:rsid w:val="0067324D"/>
    <w:rsid w:val="00743C0F"/>
    <w:rsid w:val="007714D1"/>
    <w:rsid w:val="00783DD3"/>
    <w:rsid w:val="00861E43"/>
    <w:rsid w:val="00B21154"/>
    <w:rsid w:val="00B37635"/>
    <w:rsid w:val="00B925E4"/>
    <w:rsid w:val="00BA46B2"/>
    <w:rsid w:val="00CD235E"/>
    <w:rsid w:val="00CE2FAC"/>
    <w:rsid w:val="00D177F5"/>
    <w:rsid w:val="00E90157"/>
    <w:rsid w:val="00EC32FD"/>
    <w:rsid w:val="00F029A7"/>
    <w:rsid w:val="00F53931"/>
    <w:rsid w:val="00F61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8F69"/>
  <w15:chartTrackingRefBased/>
  <w15:docId w15:val="{88366FCA-CBC0-43D0-BB67-3413423C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E36"/>
    <w:rPr>
      <w:rFonts w:eastAsiaTheme="majorEastAsia" w:cstheme="majorBidi"/>
      <w:color w:val="272727" w:themeColor="text1" w:themeTint="D8"/>
    </w:rPr>
  </w:style>
  <w:style w:type="paragraph" w:styleId="Title">
    <w:name w:val="Title"/>
    <w:basedOn w:val="Normal"/>
    <w:next w:val="Normal"/>
    <w:link w:val="TitleChar"/>
    <w:uiPriority w:val="10"/>
    <w:qFormat/>
    <w:rsid w:val="0013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E36"/>
    <w:pPr>
      <w:spacing w:before="160"/>
      <w:jc w:val="center"/>
    </w:pPr>
    <w:rPr>
      <w:i/>
      <w:iCs/>
      <w:color w:val="404040" w:themeColor="text1" w:themeTint="BF"/>
    </w:rPr>
  </w:style>
  <w:style w:type="character" w:customStyle="1" w:styleId="QuoteChar">
    <w:name w:val="Quote Char"/>
    <w:basedOn w:val="DefaultParagraphFont"/>
    <w:link w:val="Quote"/>
    <w:uiPriority w:val="29"/>
    <w:rsid w:val="00135E36"/>
    <w:rPr>
      <w:i/>
      <w:iCs/>
      <w:color w:val="404040" w:themeColor="text1" w:themeTint="BF"/>
    </w:rPr>
  </w:style>
  <w:style w:type="paragraph" w:styleId="ListParagraph">
    <w:name w:val="List Paragraph"/>
    <w:basedOn w:val="Normal"/>
    <w:uiPriority w:val="34"/>
    <w:qFormat/>
    <w:rsid w:val="00135E36"/>
    <w:pPr>
      <w:ind w:left="720"/>
      <w:contextualSpacing/>
    </w:pPr>
  </w:style>
  <w:style w:type="character" w:styleId="IntenseEmphasis">
    <w:name w:val="Intense Emphasis"/>
    <w:basedOn w:val="DefaultParagraphFont"/>
    <w:uiPriority w:val="21"/>
    <w:qFormat/>
    <w:rsid w:val="00135E36"/>
    <w:rPr>
      <w:i/>
      <w:iCs/>
      <w:color w:val="2F5496" w:themeColor="accent1" w:themeShade="BF"/>
    </w:rPr>
  </w:style>
  <w:style w:type="paragraph" w:styleId="IntenseQuote">
    <w:name w:val="Intense Quote"/>
    <w:basedOn w:val="Normal"/>
    <w:next w:val="Normal"/>
    <w:link w:val="IntenseQuoteChar"/>
    <w:uiPriority w:val="30"/>
    <w:qFormat/>
    <w:rsid w:val="00135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E36"/>
    <w:rPr>
      <w:i/>
      <w:iCs/>
      <w:color w:val="2F5496" w:themeColor="accent1" w:themeShade="BF"/>
    </w:rPr>
  </w:style>
  <w:style w:type="character" w:styleId="IntenseReference">
    <w:name w:val="Intense Reference"/>
    <w:basedOn w:val="DefaultParagraphFont"/>
    <w:uiPriority w:val="32"/>
    <w:qFormat/>
    <w:rsid w:val="00135E36"/>
    <w:rPr>
      <w:b/>
      <w:bCs/>
      <w:smallCaps/>
      <w:color w:val="2F5496" w:themeColor="accent1" w:themeShade="BF"/>
      <w:spacing w:val="5"/>
    </w:rPr>
  </w:style>
  <w:style w:type="table" w:styleId="TableGrid">
    <w:name w:val="Table Grid"/>
    <w:basedOn w:val="TableNormal"/>
    <w:uiPriority w:val="39"/>
    <w:rsid w:val="00B92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4</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Supraja sharma</dc:creator>
  <cp:keywords/>
  <dc:description/>
  <cp:lastModifiedBy>Supraja sharma</cp:lastModifiedBy>
  <cp:revision>7</cp:revision>
  <dcterms:created xsi:type="dcterms:W3CDTF">2026-06-22T17:24:00Z</dcterms:created>
  <dcterms:modified xsi:type="dcterms:W3CDTF">2026-10-09T11:11:00Z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91749ec3-8d2a-4618-8bd2-11f3bfdd8620</vt:lpwstr>
  </property>
</Properties>
</file>