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Memorandum: Liability Limitations under State Law</w:t>
      </w:r>
    </w:p>
    <w:p>
      <w:r>
        <w:rPr>
          <w:i/>
        </w:rPr>
        <w:t>Document version 1.4 · Internal use · Not for distribution</w:t>
      </w:r>
    </w:p>
    <w:p>
      <w:pPr>
        <w:pStyle w:val="Heading2"/>
      </w:pPr>
      <w:r>
        <w:t>Background</w:t>
      </w:r>
    </w:p>
    <w:p>
      <w:r>
        <w:t>This memorandum addresses statutory caps on punitive damages applicable to commercial disputes arising under State Civil Code § 4501 (as amended).</w:t>
      </w:r>
    </w:p>
    <w:p>
      <w:pPr>
        <w:pStyle w:val="Heading2"/>
      </w:pPr>
      <w:r>
        <w:t>Applicable Statute</w:t>
      </w:r>
    </w:p>
    <w:p>
      <w:r>
        <w:t>State Civil Code § 4501(b) provides that punitive damages in commercial contract disputes shall not exceed THREE TIMES (3×) the actual compensatory damages awarded, except in cases of demonstrated fraud or willful misconduct, where the cap is FIVE TIMES (5×) the compensatory damages.</w:t>
      </w:r>
    </w:p>
    <w:p>
      <w:pPr>
        <w:pStyle w:val="Heading2"/>
      </w:pPr>
      <w:r>
        <w:t>Case History</w:t>
      </w:r>
    </w:p>
    <w:p>
      <w:r>
        <w:t>In Acme Corp v. Beta LLC (2019), the appellate court upheld the 3× cap against a challenge that the statute violated due process. The court specifically declined to reach the question of whether the 5× fraud-based cap was constitutional.</w:t>
      </w:r>
    </w:p>
    <w:p>
      <w:pPr>
        <w:pStyle w:val="Heading2"/>
      </w:pPr>
      <w:r>
        <w:t>Conclusion</w:t>
      </w:r>
    </w:p>
    <w:p>
      <w:r>
        <w:t>Counsel advising on commercial dispute strategy should assume a 3× cap for non-fraud cases and budget settlement reserves accordingly. The 5× fraud-based cap is a litigable question.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