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8962" w14:textId="09AC5B16" w:rsidR="00EC5B88" w:rsidRPr="00EC5B88" w:rsidRDefault="00EC5B88" w:rsidP="00EC5B88">
      <w:pPr>
        <w:pStyle w:val="Heading1"/>
      </w:pPr>
      <w:r w:rsidRPr="00EC5B88">
        <w:t>Task 1: A.</w:t>
      </w:r>
    </w:p>
    <w:p w14:paraId="4797188A" w14:textId="3440A309" w:rsidR="00EC5B88" w:rsidRDefault="00EC5B88" w:rsidP="0055215C">
      <w:pPr>
        <w:keepNext/>
        <w:spacing w:after="0"/>
      </w:pPr>
      <w:r>
        <w:rPr>
          <w:noProof/>
        </w:rPr>
        <w:drawing>
          <wp:inline distT="0" distB="0" distL="0" distR="0" wp14:anchorId="1AEB0445" wp14:editId="4E95E8D2">
            <wp:extent cx="8229600" cy="4961255"/>
            <wp:effectExtent l="0" t="0" r="0" b="10795"/>
            <wp:docPr id="1903409831" name="Chart 1">
              <a:extLst xmlns:a="http://schemas.openxmlformats.org/drawingml/2006/main">
                <a:ext uri="{FF2B5EF4-FFF2-40B4-BE49-F238E27FC236}">
                  <a16:creationId xmlns:a16="http://schemas.microsoft.com/office/drawing/2014/main" id="{60449F55-5B13-9B23-BF9C-3E5B84B73E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A75EA1F" w14:textId="06E28ABC" w:rsidR="00EC5B88" w:rsidRPr="00EC5B88" w:rsidRDefault="00EC5B88" w:rsidP="00EC5B88">
      <w:pPr>
        <w:pStyle w:val="Caption"/>
      </w:pPr>
      <w:r w:rsidRPr="00EC5B88">
        <w:t xml:space="preserve">Figure </w:t>
      </w:r>
      <w:r w:rsidRPr="00EC5B88">
        <w:fldChar w:fldCharType="begin"/>
      </w:r>
      <w:r w:rsidRPr="00EC5B88">
        <w:instrText xml:space="preserve"> SEQ Figure \* ARABIC </w:instrText>
      </w:r>
      <w:r w:rsidRPr="00EC5B88">
        <w:fldChar w:fldCharType="separate"/>
      </w:r>
      <w:r w:rsidR="008C0781">
        <w:rPr>
          <w:noProof/>
        </w:rPr>
        <w:t>1</w:t>
      </w:r>
      <w:r w:rsidRPr="00EC5B88">
        <w:fldChar w:fldCharType="end"/>
      </w:r>
      <w:r w:rsidRPr="00EC5B88">
        <w:t xml:space="preserve"> Graph illustrating the relationship between Miner Count and % of Mined Blocks by Miner 0</w:t>
      </w:r>
    </w:p>
    <w:p w14:paraId="4E8C3ACF" w14:textId="04282FC8" w:rsidR="00EC5B88" w:rsidRPr="00EC5B88" w:rsidRDefault="00EC5B88" w:rsidP="00EC5B88">
      <w:pPr>
        <w:rPr>
          <w:rFonts w:ascii="Times New Roman" w:hAnsi="Times New Roman" w:cs="Times New Roman"/>
        </w:rPr>
      </w:pPr>
      <w:r w:rsidRPr="00EC5B88">
        <w:rPr>
          <w:rFonts w:ascii="Times New Roman" w:hAnsi="Times New Roman" w:cs="Times New Roman"/>
        </w:rPr>
        <w:lastRenderedPageBreak/>
        <w:t xml:space="preserve">An analysis of the empirical data presented in </w:t>
      </w:r>
      <w:r>
        <w:rPr>
          <w:rFonts w:ascii="Times New Roman" w:hAnsi="Times New Roman" w:cs="Times New Roman"/>
        </w:rPr>
        <w:t>Figure 1</w:t>
      </w:r>
      <w:r w:rsidRPr="00EC5B88">
        <w:rPr>
          <w:rFonts w:ascii="Times New Roman" w:hAnsi="Times New Roman" w:cs="Times New Roman"/>
        </w:rPr>
        <w:t xml:space="preserve"> reveals a pronounced inverse relationship between the total network miner count and the percentage of blocks successfully mined by Miner 0. As the parameter for the total number of nodes in the network increases from 3 to 21, Miner 0's success rate depreciates significantly from 40% down to 4.35%.</w:t>
      </w:r>
      <w:r>
        <w:rPr>
          <w:rFonts w:ascii="Times New Roman" w:hAnsi="Times New Roman" w:cs="Times New Roman"/>
        </w:rPr>
        <w:t xml:space="preserve"> Though there was a slight rise from 18.18% to 23.81% when the miner count increased from 6 to 9, but after 9, further increase in the number of miners </w:t>
      </w:r>
      <w:r w:rsidR="0055215C">
        <w:rPr>
          <w:rFonts w:ascii="Times New Roman" w:hAnsi="Times New Roman" w:cs="Times New Roman"/>
        </w:rPr>
        <w:t>kept decreasing the percentage of blocks mined by Miner 0.</w:t>
      </w:r>
    </w:p>
    <w:p w14:paraId="74B8F89A" w14:textId="77777777" w:rsidR="00EC5B88" w:rsidRPr="00EC5B88" w:rsidRDefault="00EC5B88" w:rsidP="00EC5B88">
      <w:pPr>
        <w:rPr>
          <w:rFonts w:ascii="Times New Roman" w:hAnsi="Times New Roman" w:cs="Times New Roman"/>
        </w:rPr>
      </w:pPr>
      <w:r w:rsidRPr="00EC5B88">
        <w:rPr>
          <w:rFonts w:ascii="Times New Roman" w:hAnsi="Times New Roman" w:cs="Times New Roman"/>
        </w:rPr>
        <w:t>In a Proof-of-Work (PoW) distributed ledger, the probability of a specific node appending the next block is directly proportional to its relative hash rate compared to the aggregate network hash power. Assuming Miner 0's absolute computational output remains static, the introduction of additional miners inherently dilutes Miner 0's relative percentage of the total network hash rate. Consequently, heightened computational competition directly suppresses the individual probability of block discovery.</w:t>
      </w:r>
    </w:p>
    <w:p w14:paraId="2208755A" w14:textId="5ECF4568" w:rsidR="0055215C" w:rsidRPr="00EC5B88" w:rsidRDefault="0055215C" w:rsidP="0055215C">
      <w:pPr>
        <w:pStyle w:val="Heading1"/>
      </w:pPr>
      <w:r w:rsidRPr="00EC5B88">
        <w:t xml:space="preserve">Task 1: </w:t>
      </w:r>
      <w:r>
        <w:t>B</w:t>
      </w:r>
      <w:r w:rsidRPr="00EC5B88">
        <w:t>.</w:t>
      </w:r>
    </w:p>
    <w:p w14:paraId="0F3BF6C3" w14:textId="36B35049" w:rsidR="00EC5B88" w:rsidRPr="00EC5B88" w:rsidRDefault="00EC5B88" w:rsidP="00EC5B88">
      <w:pPr>
        <w:rPr>
          <w:rFonts w:ascii="Times New Roman" w:hAnsi="Times New Roman" w:cs="Times New Roman"/>
        </w:rPr>
      </w:pPr>
      <w:r w:rsidRPr="00EC5B88">
        <w:rPr>
          <w:rFonts w:ascii="Times New Roman" w:hAnsi="Times New Roman" w:cs="Times New Roman"/>
        </w:rPr>
        <w:t>If the total miner count and aggregate network difficulty remain constant over an extended temporal horizon, the profitability of an individual miner will statistically converge to a steady-state value. While the stochastic nature of the cryptographic hashing process (modeled as a Poisson process) introduces short-term variance in block discovery, the Law of Large Numbers dictates that the miner's long-term block yield will mirror their proportional hash rate. Therefore, their expected gross profit will stabilize at a constant rate, mathematically defined by their fixed probability of capturing the block reward and associated transaction fees, minus their continuous operational expenditures (e.g., electricity and hardware depreciation).</w:t>
      </w:r>
      <w:r w:rsidR="0055215C">
        <w:rPr>
          <w:rFonts w:ascii="Times New Roman" w:hAnsi="Times New Roman" w:cs="Times New Roman"/>
        </w:rPr>
        <w:t xml:space="preserve"> In other words, </w:t>
      </w:r>
      <w:r w:rsidR="0055215C" w:rsidRPr="0055215C">
        <w:rPr>
          <w:rFonts w:ascii="Times New Roman" w:hAnsi="Times New Roman" w:cs="Times New Roman"/>
        </w:rPr>
        <w:t>the actual profit will fluctuate from run to run because mining is probabilistic. A miner may occasionally mine more or fewer blocks than expected, causing its profit to increase or decrease. Over a sufficiently long period, the average profit should become more stable.</w:t>
      </w:r>
    </w:p>
    <w:p w14:paraId="2F8AD39F" w14:textId="2CB8592F" w:rsidR="0055215C" w:rsidRPr="00EC5B88" w:rsidRDefault="0055215C" w:rsidP="0055215C">
      <w:pPr>
        <w:pStyle w:val="Heading1"/>
      </w:pPr>
      <w:r w:rsidRPr="00EC5B88">
        <w:t xml:space="preserve">Task </w:t>
      </w:r>
      <w:r>
        <w:t>2</w:t>
      </w:r>
      <w:r w:rsidRPr="00EC5B88">
        <w:t xml:space="preserve">: </w:t>
      </w:r>
      <w:r>
        <w:t>A</w:t>
      </w:r>
      <w:r w:rsidRPr="00EC5B88">
        <w:t>.</w:t>
      </w:r>
    </w:p>
    <w:p w14:paraId="764A5FE4" w14:textId="3F32414C" w:rsidR="00EC5B88" w:rsidRDefault="00EC5B88" w:rsidP="00EC5B88">
      <w:pPr>
        <w:rPr>
          <w:rFonts w:ascii="Times New Roman" w:hAnsi="Times New Roman" w:cs="Times New Roman"/>
        </w:rPr>
      </w:pPr>
      <w:r w:rsidRPr="00EC5B88">
        <w:rPr>
          <w:rFonts w:ascii="Times New Roman" w:hAnsi="Times New Roman" w:cs="Times New Roman"/>
        </w:rPr>
        <w:t xml:space="preserve">The graphical data illustrated in </w:t>
      </w:r>
      <w:r w:rsidR="0055215C">
        <w:rPr>
          <w:rFonts w:ascii="Times New Roman" w:hAnsi="Times New Roman" w:cs="Times New Roman"/>
        </w:rPr>
        <w:t>Figure 2 below</w:t>
      </w:r>
      <w:r w:rsidRPr="00EC5B88">
        <w:rPr>
          <w:rFonts w:ascii="Times New Roman" w:hAnsi="Times New Roman" w:cs="Times New Roman"/>
        </w:rPr>
        <w:t xml:space="preserve"> demonstrates a critical, non-linear inverse correlation between the block creation interval (</w:t>
      </w:r>
      <w:proofErr w:type="spellStart"/>
      <w:r w:rsidRPr="00EC5B88">
        <w:rPr>
          <w:rFonts w:ascii="Times New Roman" w:hAnsi="Times New Roman" w:cs="Times New Roman"/>
        </w:rPr>
        <w:t>Binterval</w:t>
      </w:r>
      <w:proofErr w:type="spellEnd"/>
      <w:r w:rsidRPr="00EC5B88">
        <w:rPr>
          <w:rFonts w:ascii="Times New Roman" w:hAnsi="Times New Roman" w:cs="Times New Roman"/>
        </w:rPr>
        <w:t>) and the occurrence of stale blocks. At highly compressed intervals</w:t>
      </w:r>
      <w:r w:rsidR="0055215C">
        <w:rPr>
          <w:rFonts w:ascii="Times New Roman" w:hAnsi="Times New Roman" w:cs="Times New Roman"/>
        </w:rPr>
        <w:t xml:space="preserve"> - </w:t>
      </w:r>
      <w:r w:rsidRPr="00EC5B88">
        <w:rPr>
          <w:rFonts w:ascii="Times New Roman" w:hAnsi="Times New Roman" w:cs="Times New Roman"/>
        </w:rPr>
        <w:t>specifically 10 and 20 seconds</w:t>
      </w:r>
      <w:r w:rsidR="0055215C">
        <w:rPr>
          <w:rFonts w:ascii="Times New Roman" w:hAnsi="Times New Roman" w:cs="Times New Roman"/>
        </w:rPr>
        <w:t xml:space="preserve"> - </w:t>
      </w:r>
      <w:r w:rsidRPr="00EC5B88">
        <w:rPr>
          <w:rFonts w:ascii="Times New Roman" w:hAnsi="Times New Roman" w:cs="Times New Roman"/>
        </w:rPr>
        <w:t xml:space="preserve">the network exhibits notable stale rates of 2.22 and 1.03, respectively. However, as the </w:t>
      </w:r>
      <w:proofErr w:type="spellStart"/>
      <w:r w:rsidRPr="00EC5B88">
        <w:rPr>
          <w:rFonts w:ascii="Times New Roman" w:hAnsi="Times New Roman" w:cs="Times New Roman"/>
        </w:rPr>
        <w:t>Binterval</w:t>
      </w:r>
      <w:proofErr w:type="spellEnd"/>
      <w:r w:rsidRPr="00EC5B88">
        <w:rPr>
          <w:rFonts w:ascii="Times New Roman" w:hAnsi="Times New Roman" w:cs="Times New Roman"/>
        </w:rPr>
        <w:t xml:space="preserve"> parameter is extended to 40 seconds and beyond, the stale rate precipitously drops to absolute zero. </w:t>
      </w:r>
    </w:p>
    <w:p w14:paraId="235D40A1" w14:textId="77777777" w:rsidR="0055215C" w:rsidRDefault="0055215C" w:rsidP="0055215C">
      <w:pPr>
        <w:keepNext/>
        <w:spacing w:after="0"/>
      </w:pPr>
      <w:r>
        <w:rPr>
          <w:noProof/>
        </w:rPr>
        <w:lastRenderedPageBreak/>
        <w:drawing>
          <wp:inline distT="0" distB="0" distL="0" distR="0" wp14:anchorId="0EFF87CF" wp14:editId="52368117">
            <wp:extent cx="8229600" cy="5217160"/>
            <wp:effectExtent l="0" t="0" r="0" b="2540"/>
            <wp:docPr id="63006604" name="Chart 1">
              <a:extLst xmlns:a="http://schemas.openxmlformats.org/drawingml/2006/main">
                <a:ext uri="{FF2B5EF4-FFF2-40B4-BE49-F238E27FC236}">
                  <a16:creationId xmlns:a16="http://schemas.microsoft.com/office/drawing/2014/main" id="{2C2EFF9D-7B40-216E-37E0-2451E1F2AD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039044F" w14:textId="04BEFBCA" w:rsidR="0055215C" w:rsidRDefault="0055215C" w:rsidP="0055215C">
      <w:pPr>
        <w:pStyle w:val="Caption"/>
      </w:pPr>
      <w:r>
        <w:t xml:space="preserve">Figure </w:t>
      </w:r>
      <w:r>
        <w:fldChar w:fldCharType="begin"/>
      </w:r>
      <w:r>
        <w:instrText xml:space="preserve"> SEQ Figure \* ARABIC </w:instrText>
      </w:r>
      <w:r>
        <w:fldChar w:fldCharType="separate"/>
      </w:r>
      <w:r w:rsidR="008C0781">
        <w:rPr>
          <w:noProof/>
        </w:rPr>
        <w:t>2</w:t>
      </w:r>
      <w:r>
        <w:fldChar w:fldCharType="end"/>
      </w:r>
      <w:r>
        <w:t xml:space="preserve"> Graph illustrating the relationship between Block Interval (</w:t>
      </w:r>
      <w:proofErr w:type="spellStart"/>
      <w:r>
        <w:t>Binterval</w:t>
      </w:r>
      <w:proofErr w:type="spellEnd"/>
      <w:r>
        <w:t>) and Stale Rate</w:t>
      </w:r>
    </w:p>
    <w:p w14:paraId="4FC403F7" w14:textId="77777777" w:rsidR="0055215C" w:rsidRPr="0055215C" w:rsidRDefault="0055215C" w:rsidP="0055215C"/>
    <w:p w14:paraId="61AC7949" w14:textId="77777777" w:rsidR="0055215C" w:rsidRPr="00EC5B88" w:rsidRDefault="0055215C" w:rsidP="0055215C">
      <w:pPr>
        <w:pStyle w:val="Heading1"/>
      </w:pPr>
      <w:r w:rsidRPr="00EC5B88">
        <w:lastRenderedPageBreak/>
        <w:t xml:space="preserve">Task </w:t>
      </w:r>
      <w:r>
        <w:t>2</w:t>
      </w:r>
      <w:r w:rsidRPr="00EC5B88">
        <w:t xml:space="preserve">: </w:t>
      </w:r>
      <w:r>
        <w:t>B</w:t>
      </w:r>
      <w:r w:rsidRPr="00EC5B88">
        <w:t>.</w:t>
      </w:r>
    </w:p>
    <w:p w14:paraId="30B5C847" w14:textId="55E33413" w:rsidR="0055215C" w:rsidRDefault="0055215C" w:rsidP="0055215C">
      <w:pPr>
        <w:rPr>
          <w:rFonts w:ascii="Times New Roman" w:hAnsi="Times New Roman" w:cs="Times New Roman"/>
        </w:rPr>
      </w:pPr>
      <w:r w:rsidRPr="00EC5B88">
        <w:rPr>
          <w:rFonts w:ascii="Times New Roman" w:hAnsi="Times New Roman" w:cs="Times New Roman"/>
        </w:rPr>
        <w:t xml:space="preserve">A stale (or orphaned) block is generated when two or more miners solve the cryptographic puzzle nearly simultaneously. At lower </w:t>
      </w:r>
      <w:proofErr w:type="spellStart"/>
      <w:r w:rsidRPr="00EC5B88">
        <w:rPr>
          <w:rFonts w:ascii="Times New Roman" w:hAnsi="Times New Roman" w:cs="Times New Roman"/>
        </w:rPr>
        <w:t>Binterval</w:t>
      </w:r>
      <w:proofErr w:type="spellEnd"/>
      <w:r w:rsidRPr="00EC5B88">
        <w:rPr>
          <w:rFonts w:ascii="Times New Roman" w:hAnsi="Times New Roman" w:cs="Times New Roman"/>
        </w:rPr>
        <w:t xml:space="preserve"> thresholds, the temporal window required to propagate a newly discovered block across the global peer-to-peer network is roughly equivalent to, or greater than, the time it takes to mine a subsequent block. This propagation latency induces localized chain forks, as disparate nodes continue to expend computational energy mining atop outdated chain states. Conversely, expanding the </w:t>
      </w:r>
      <w:proofErr w:type="spellStart"/>
      <w:r w:rsidRPr="00EC5B88">
        <w:rPr>
          <w:rFonts w:ascii="Times New Roman" w:hAnsi="Times New Roman" w:cs="Times New Roman"/>
        </w:rPr>
        <w:t>Binterval</w:t>
      </w:r>
      <w:proofErr w:type="spellEnd"/>
      <w:r w:rsidRPr="00EC5B88">
        <w:rPr>
          <w:rFonts w:ascii="Times New Roman" w:hAnsi="Times New Roman" w:cs="Times New Roman"/>
        </w:rPr>
        <w:t xml:space="preserve"> provides ample latency for complete global block propagation. This ensures the entire network synchronizes and achieves consensus on the canonical chain state before the subsequent block discovery cycle is finalized, thereby eliminating the generation of competing, stale blocks.</w:t>
      </w:r>
      <w:r>
        <w:rPr>
          <w:rFonts w:ascii="Times New Roman" w:hAnsi="Times New Roman" w:cs="Times New Roman"/>
        </w:rPr>
        <w:t xml:space="preserve"> In conclusion, referring to the phenomenon observed in Figure 2, a</w:t>
      </w:r>
      <w:r w:rsidRPr="0055215C">
        <w:rPr>
          <w:rFonts w:ascii="Times New Roman" w:hAnsi="Times New Roman" w:cs="Times New Roman"/>
        </w:rPr>
        <w:t xml:space="preserve">s </w:t>
      </w:r>
      <w:proofErr w:type="spellStart"/>
      <w:r w:rsidRPr="0055215C">
        <w:rPr>
          <w:rFonts w:ascii="Times New Roman" w:hAnsi="Times New Roman" w:cs="Times New Roman"/>
        </w:rPr>
        <w:t>Binterval</w:t>
      </w:r>
      <w:proofErr w:type="spellEnd"/>
      <w:r w:rsidRPr="0055215C">
        <w:rPr>
          <w:rFonts w:ascii="Times New Roman" w:hAnsi="Times New Roman" w:cs="Times New Roman"/>
        </w:rPr>
        <w:t xml:space="preserve"> increases, the stale rate decreases</w:t>
      </w:r>
      <w:r w:rsidR="00A75A8C">
        <w:rPr>
          <w:rFonts w:ascii="Times New Roman" w:hAnsi="Times New Roman" w:cs="Times New Roman"/>
        </w:rPr>
        <w:t xml:space="preserve"> as a</w:t>
      </w:r>
      <w:r w:rsidRPr="0055215C">
        <w:rPr>
          <w:rFonts w:ascii="Times New Roman" w:hAnsi="Times New Roman" w:cs="Times New Roman"/>
        </w:rPr>
        <w:t xml:space="preserve"> shorter block interval causes blocks to be generated more frequently, increasing the probability of competing blocks and stale blocks.</w:t>
      </w:r>
    </w:p>
    <w:p w14:paraId="7C81F351" w14:textId="0C01245A" w:rsidR="00A75A8C" w:rsidRDefault="00A75A8C" w:rsidP="00A75A8C">
      <w:pPr>
        <w:pStyle w:val="Heading1"/>
      </w:pPr>
      <w:r w:rsidRPr="00EC5B88">
        <w:t xml:space="preserve">Task </w:t>
      </w:r>
      <w:r>
        <w:t>3</w:t>
      </w:r>
      <w:r w:rsidRPr="00EC5B88">
        <w:t xml:space="preserve">: </w:t>
      </w:r>
      <w:r>
        <w:t>A</w:t>
      </w:r>
      <w:r w:rsidRPr="00EC5B88">
        <w:t>.</w:t>
      </w:r>
    </w:p>
    <w:p w14:paraId="6C1408A5" w14:textId="77777777" w:rsidR="00417CCF" w:rsidRDefault="00A75A8C" w:rsidP="00417CCF">
      <w:pPr>
        <w:rPr>
          <w:rFonts w:ascii="Times New Roman" w:hAnsi="Times New Roman" w:cs="Times New Roman"/>
        </w:rPr>
      </w:pPr>
      <w:r w:rsidRPr="00417CCF">
        <w:rPr>
          <w:rFonts w:ascii="Times New Roman" w:hAnsi="Times New Roman" w:cs="Times New Roman"/>
        </w:rPr>
        <w:t xml:space="preserve">To implement a dynamic selection mechanism for transaction processing, the execution logic within the Transaction.py module was structurally augmented. A class-level configuration variable, designated as ORDERING_TOGGLE, was instantiated within the </w:t>
      </w:r>
      <w:proofErr w:type="spellStart"/>
      <w:r w:rsidRPr="00417CCF">
        <w:rPr>
          <w:rFonts w:ascii="Times New Roman" w:hAnsi="Times New Roman" w:cs="Times New Roman"/>
        </w:rPr>
        <w:t>LightTransaction</w:t>
      </w:r>
      <w:proofErr w:type="spellEnd"/>
      <w:r w:rsidRPr="00417CCF">
        <w:rPr>
          <w:rFonts w:ascii="Times New Roman" w:hAnsi="Times New Roman" w:cs="Times New Roman"/>
        </w:rPr>
        <w:t xml:space="preserve"> class. This control variable governs the conditional flow of the </w:t>
      </w:r>
      <w:proofErr w:type="spellStart"/>
      <w:r w:rsidRPr="00417CCF">
        <w:rPr>
          <w:rFonts w:ascii="Times New Roman" w:hAnsi="Times New Roman" w:cs="Times New Roman"/>
        </w:rPr>
        <w:t>execute_transactions</w:t>
      </w:r>
      <w:proofErr w:type="spellEnd"/>
      <w:r w:rsidRPr="00417CCF">
        <w:rPr>
          <w:rFonts w:ascii="Times New Roman" w:hAnsi="Times New Roman" w:cs="Times New Roman"/>
        </w:rPr>
        <w:t xml:space="preserve"> function, effectively bypassing or engaging the default profit-maximizing miner strategy based on the defined state.</w:t>
      </w:r>
    </w:p>
    <w:p w14:paraId="593AC702" w14:textId="27726EDE" w:rsidR="00A75A8C" w:rsidRDefault="00A75A8C" w:rsidP="00417CCF">
      <w:pPr>
        <w:rPr>
          <w:rFonts w:ascii="Times New Roman" w:hAnsi="Times New Roman" w:cs="Times New Roman"/>
        </w:rPr>
      </w:pPr>
      <w:r w:rsidRPr="00A75A8C">
        <w:rPr>
          <w:rFonts w:ascii="Times New Roman" w:hAnsi="Times New Roman" w:cs="Times New Roman"/>
        </w:rPr>
        <w:t>The modification introduces the following conditional logic block to the simulator:</w:t>
      </w:r>
    </w:p>
    <w:p w14:paraId="40E3CD6D" w14:textId="77777777" w:rsidR="00417CCF" w:rsidRPr="00417CCF" w:rsidRDefault="00417CCF" w:rsidP="00417CCF">
      <w:pPr>
        <w:keepNext/>
        <w:spacing w:after="0"/>
        <w:rPr>
          <w:rFonts w:ascii="Consolas" w:hAnsi="Consolas" w:cs="Times New Roman"/>
        </w:rPr>
      </w:pPr>
      <w:r w:rsidRPr="00417CCF">
        <w:rPr>
          <w:rFonts w:ascii="Consolas" w:hAnsi="Consolas" w:cs="Times New Roman"/>
        </w:rPr>
        <w:t xml:space="preserve">if </w:t>
      </w:r>
      <w:proofErr w:type="spellStart"/>
      <w:r w:rsidRPr="00417CCF">
        <w:rPr>
          <w:rFonts w:ascii="Consolas" w:hAnsi="Consolas" w:cs="Times New Roman"/>
        </w:rPr>
        <w:t>LightTransaction.ORDERING_TOGGLE</w:t>
      </w:r>
      <w:proofErr w:type="spellEnd"/>
      <w:r w:rsidRPr="00417CCF">
        <w:rPr>
          <w:rFonts w:ascii="Consolas" w:hAnsi="Consolas" w:cs="Times New Roman"/>
        </w:rPr>
        <w:t xml:space="preserve"> == "FIFO":</w:t>
      </w:r>
    </w:p>
    <w:p w14:paraId="7E4CAEE1" w14:textId="77777777" w:rsidR="00417CCF" w:rsidRPr="00417CCF" w:rsidRDefault="00417CCF" w:rsidP="00417CCF">
      <w:pPr>
        <w:keepNext/>
        <w:spacing w:after="0"/>
        <w:rPr>
          <w:rFonts w:ascii="Consolas" w:hAnsi="Consolas" w:cs="Times New Roman"/>
        </w:rPr>
      </w:pPr>
      <w:r w:rsidRPr="00417CCF">
        <w:rPr>
          <w:rFonts w:ascii="Consolas" w:hAnsi="Consolas" w:cs="Times New Roman"/>
        </w:rPr>
        <w:t xml:space="preserve">    print("Executing block with FIFO ordering")</w:t>
      </w:r>
    </w:p>
    <w:p w14:paraId="5EDDD73C" w14:textId="77777777" w:rsidR="00417CCF" w:rsidRPr="00417CCF" w:rsidRDefault="00417CCF" w:rsidP="00417CCF">
      <w:pPr>
        <w:keepNext/>
        <w:spacing w:after="0"/>
        <w:rPr>
          <w:rFonts w:ascii="Consolas" w:hAnsi="Consolas" w:cs="Times New Roman"/>
        </w:rPr>
      </w:pPr>
      <w:r w:rsidRPr="00417CCF">
        <w:rPr>
          <w:rFonts w:ascii="Consolas" w:hAnsi="Consolas" w:cs="Times New Roman"/>
        </w:rPr>
        <w:t>else:</w:t>
      </w:r>
    </w:p>
    <w:p w14:paraId="7F970F68" w14:textId="77777777" w:rsidR="00417CCF" w:rsidRPr="00417CCF" w:rsidRDefault="00417CCF" w:rsidP="00417CCF">
      <w:pPr>
        <w:keepNext/>
        <w:spacing w:after="0"/>
        <w:rPr>
          <w:rFonts w:ascii="Consolas" w:hAnsi="Consolas" w:cs="Times New Roman"/>
        </w:rPr>
      </w:pPr>
      <w:r w:rsidRPr="00417CCF">
        <w:rPr>
          <w:rFonts w:ascii="Consolas" w:hAnsi="Consolas" w:cs="Times New Roman"/>
        </w:rPr>
        <w:t xml:space="preserve">    print("Executing block with FEE-priority ordering")</w:t>
      </w:r>
    </w:p>
    <w:p w14:paraId="6136F739" w14:textId="77777777" w:rsidR="00417CCF" w:rsidRPr="00417CCF" w:rsidRDefault="00417CCF" w:rsidP="00417CCF">
      <w:pPr>
        <w:keepNext/>
        <w:spacing w:after="0"/>
        <w:rPr>
          <w:rFonts w:ascii="Consolas" w:hAnsi="Consolas" w:cs="Times New Roman"/>
        </w:rPr>
      </w:pPr>
      <w:r w:rsidRPr="00417CCF">
        <w:rPr>
          <w:rFonts w:ascii="Consolas" w:hAnsi="Consolas" w:cs="Times New Roman"/>
        </w:rPr>
        <w:t xml:space="preserve">    pool = sorted(pool, key=lambda x: </w:t>
      </w:r>
      <w:proofErr w:type="spellStart"/>
      <w:r w:rsidRPr="00417CCF">
        <w:rPr>
          <w:rFonts w:ascii="Consolas" w:hAnsi="Consolas" w:cs="Times New Roman"/>
        </w:rPr>
        <w:t>x.fee</w:t>
      </w:r>
      <w:proofErr w:type="spellEnd"/>
      <w:r w:rsidRPr="00417CCF">
        <w:rPr>
          <w:rFonts w:ascii="Consolas" w:hAnsi="Consolas" w:cs="Times New Roman"/>
        </w:rPr>
        <w:t>, reverse=True)</w:t>
      </w:r>
    </w:p>
    <w:p w14:paraId="187DAFC8" w14:textId="77777777" w:rsidR="00417CCF" w:rsidRDefault="00417CCF" w:rsidP="00417CCF">
      <w:pPr>
        <w:keepNext/>
        <w:spacing w:after="0"/>
        <w:rPr>
          <w:rFonts w:ascii="Times New Roman" w:hAnsi="Times New Roman" w:cs="Times New Roman"/>
          <w:b/>
          <w:bCs/>
        </w:rPr>
      </w:pPr>
    </w:p>
    <w:p w14:paraId="52EDED3C" w14:textId="246381F7" w:rsidR="00417CCF" w:rsidRPr="00A75A8C" w:rsidRDefault="00417CCF" w:rsidP="00417CCF">
      <w:pPr>
        <w:keepNext/>
        <w:spacing w:after="0"/>
        <w:rPr>
          <w:rFonts w:ascii="Times New Roman" w:hAnsi="Times New Roman" w:cs="Times New Roman"/>
        </w:rPr>
      </w:pPr>
      <w:r w:rsidRPr="00A75A8C">
        <w:rPr>
          <w:rFonts w:ascii="Times New Roman" w:hAnsi="Times New Roman" w:cs="Times New Roman"/>
          <w:b/>
          <w:bCs/>
        </w:rPr>
        <w:t>Fee-Priority Execution (Default Mode):</w:t>
      </w:r>
      <w:r w:rsidRPr="00A75A8C">
        <w:rPr>
          <w:rFonts w:ascii="Times New Roman" w:hAnsi="Times New Roman" w:cs="Times New Roman"/>
        </w:rPr>
        <w:t xml:space="preserve"> As explicitly documented in </w:t>
      </w:r>
      <w:r>
        <w:rPr>
          <w:rFonts w:ascii="Times New Roman" w:hAnsi="Times New Roman" w:cs="Times New Roman"/>
        </w:rPr>
        <w:t>Figure 3</w:t>
      </w:r>
      <w:r w:rsidRPr="00A75A8C">
        <w:rPr>
          <w:rFonts w:ascii="Times New Roman" w:hAnsi="Times New Roman" w:cs="Times New Roman"/>
        </w:rPr>
        <w:t xml:space="preserve">, when the ORDERING_TOGGLE variable is initialized to "FEE", the simulator routes execution through the else conditional branch. In this state, the system enforces the default rational miner protocol by employing Python's built-in sorted() function. By applying a lambda function (key=lambda x: </w:t>
      </w:r>
      <w:proofErr w:type="spellStart"/>
      <w:r w:rsidRPr="00A75A8C">
        <w:rPr>
          <w:rFonts w:ascii="Times New Roman" w:hAnsi="Times New Roman" w:cs="Times New Roman"/>
        </w:rPr>
        <w:t>x.fee</w:t>
      </w:r>
      <w:proofErr w:type="spellEnd"/>
      <w:r w:rsidRPr="00A75A8C">
        <w:rPr>
          <w:rFonts w:ascii="Times New Roman" w:hAnsi="Times New Roman" w:cs="Times New Roman"/>
        </w:rPr>
        <w:t xml:space="preserve">, reverse=True), the algorithm deterministically rearranges the pool array, sorting the pending </w:t>
      </w:r>
      <w:proofErr w:type="spellStart"/>
      <w:r w:rsidRPr="00A75A8C">
        <w:rPr>
          <w:rFonts w:ascii="Times New Roman" w:hAnsi="Times New Roman" w:cs="Times New Roman"/>
        </w:rPr>
        <w:t>mempool</w:t>
      </w:r>
      <w:proofErr w:type="spellEnd"/>
      <w:r w:rsidRPr="00A75A8C">
        <w:rPr>
          <w:rFonts w:ascii="Times New Roman" w:hAnsi="Times New Roman" w:cs="Times New Roman"/>
        </w:rPr>
        <w:t xml:space="preserve"> transactions in strictly </w:t>
      </w:r>
      <w:r w:rsidRPr="00A75A8C">
        <w:rPr>
          <w:rFonts w:ascii="Times New Roman" w:hAnsi="Times New Roman" w:cs="Times New Roman"/>
        </w:rPr>
        <w:lastRenderedPageBreak/>
        <w:t>descending order based on their attached cryptographic fee. The terminal output interface continuously verifies this active operational state by printing the diagnostic string "Executing block with FEE-priority ordering" upon the instantiation of each subsequent block.</w:t>
      </w:r>
    </w:p>
    <w:p w14:paraId="2E8E6B83" w14:textId="77777777" w:rsidR="00417CCF" w:rsidRDefault="00417CCF" w:rsidP="00417CCF">
      <w:pPr>
        <w:keepNext/>
        <w:spacing w:after="0"/>
      </w:pPr>
      <w:r>
        <w:rPr>
          <w:noProof/>
        </w:rPr>
        <w:drawing>
          <wp:inline distT="0" distB="0" distL="0" distR="0" wp14:anchorId="4DCCD341" wp14:editId="099E8175">
            <wp:extent cx="8229600" cy="4711700"/>
            <wp:effectExtent l="0" t="0" r="0" b="0"/>
            <wp:docPr id="1734199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4711700"/>
                    </a:xfrm>
                    <a:prstGeom prst="rect">
                      <a:avLst/>
                    </a:prstGeom>
                    <a:noFill/>
                    <a:ln>
                      <a:noFill/>
                    </a:ln>
                  </pic:spPr>
                </pic:pic>
              </a:graphicData>
            </a:graphic>
          </wp:inline>
        </w:drawing>
      </w:r>
    </w:p>
    <w:p w14:paraId="004ADC31" w14:textId="754C1ACD" w:rsidR="00417CCF" w:rsidRPr="00A75A8C" w:rsidRDefault="00417CCF" w:rsidP="00417CCF">
      <w:pPr>
        <w:pStyle w:val="Caption"/>
      </w:pPr>
      <w:r>
        <w:t xml:space="preserve">Figure </w:t>
      </w:r>
      <w:r>
        <w:fldChar w:fldCharType="begin"/>
      </w:r>
      <w:r>
        <w:instrText xml:space="preserve"> SEQ Figure \* ARABIC </w:instrText>
      </w:r>
      <w:r>
        <w:fldChar w:fldCharType="separate"/>
      </w:r>
      <w:r w:rsidR="008C0781">
        <w:rPr>
          <w:noProof/>
        </w:rPr>
        <w:t>3</w:t>
      </w:r>
      <w:r>
        <w:fldChar w:fldCharType="end"/>
      </w:r>
      <w:r>
        <w:t xml:space="preserve"> </w:t>
      </w:r>
      <w:r w:rsidRPr="006C7588">
        <w:t xml:space="preserve">Executing Block with </w:t>
      </w:r>
      <w:r>
        <w:t>FEE-priority</w:t>
      </w:r>
      <w:r w:rsidRPr="006C7588">
        <w:t xml:space="preserve"> Ordering</w:t>
      </w:r>
    </w:p>
    <w:p w14:paraId="0821C5DC" w14:textId="77777777" w:rsidR="00417CCF" w:rsidRPr="00A75A8C" w:rsidRDefault="00417CCF" w:rsidP="00417CCF">
      <w:pPr>
        <w:keepNext/>
        <w:spacing w:after="0"/>
        <w:rPr>
          <w:rFonts w:ascii="Times New Roman" w:hAnsi="Times New Roman" w:cs="Times New Roman"/>
        </w:rPr>
      </w:pPr>
      <w:r w:rsidRPr="00A75A8C">
        <w:rPr>
          <w:rFonts w:ascii="Times New Roman" w:hAnsi="Times New Roman" w:cs="Times New Roman"/>
          <w:b/>
          <w:bCs/>
        </w:rPr>
        <w:t>FIFO Execution Mode:</w:t>
      </w:r>
      <w:r w:rsidRPr="00A75A8C">
        <w:rPr>
          <w:rFonts w:ascii="Times New Roman" w:hAnsi="Times New Roman" w:cs="Times New Roman"/>
        </w:rPr>
        <w:t xml:space="preserve"> Conversely, when the ORDERING_TOGGLE is configured to "FIFO", the script actively bypasses the sorting algorithm entirely. The system systematically ingests and processes the transaction pool array in its native, temporally </w:t>
      </w:r>
      <w:r w:rsidRPr="00A75A8C">
        <w:rPr>
          <w:rFonts w:ascii="Times New Roman" w:hAnsi="Times New Roman" w:cs="Times New Roman"/>
        </w:rPr>
        <w:lastRenderedPageBreak/>
        <w:t>sequential arrival order (simulated by the initial array shuffle). The terminal execution subsequently confirms this algorithmic override by continuously outputting the diagnostic string "Executing block with FIFO ordering".</w:t>
      </w:r>
    </w:p>
    <w:p w14:paraId="6660E9B4" w14:textId="77777777" w:rsidR="00417CCF" w:rsidRDefault="00A75A8C" w:rsidP="00417CCF">
      <w:pPr>
        <w:keepNext/>
        <w:spacing w:after="0"/>
      </w:pPr>
      <w:r>
        <w:rPr>
          <w:noProof/>
        </w:rPr>
        <w:drawing>
          <wp:inline distT="0" distB="0" distL="0" distR="0" wp14:anchorId="6D14BB0C" wp14:editId="63B0659A">
            <wp:extent cx="8229600" cy="4834890"/>
            <wp:effectExtent l="0" t="0" r="0" b="3810"/>
            <wp:docPr id="139972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4834890"/>
                    </a:xfrm>
                    <a:prstGeom prst="rect">
                      <a:avLst/>
                    </a:prstGeom>
                    <a:noFill/>
                    <a:ln>
                      <a:noFill/>
                    </a:ln>
                  </pic:spPr>
                </pic:pic>
              </a:graphicData>
            </a:graphic>
          </wp:inline>
        </w:drawing>
      </w:r>
    </w:p>
    <w:p w14:paraId="0F8B5E65" w14:textId="3016823D" w:rsidR="00A75A8C" w:rsidRDefault="00417CCF" w:rsidP="00417CCF">
      <w:pPr>
        <w:pStyle w:val="Caption"/>
      </w:pPr>
      <w:r>
        <w:t xml:space="preserve">Figure </w:t>
      </w:r>
      <w:r>
        <w:fldChar w:fldCharType="begin"/>
      </w:r>
      <w:r>
        <w:instrText xml:space="preserve"> SEQ Figure \* ARABIC </w:instrText>
      </w:r>
      <w:r>
        <w:fldChar w:fldCharType="separate"/>
      </w:r>
      <w:r w:rsidR="008C0781">
        <w:rPr>
          <w:noProof/>
        </w:rPr>
        <w:t>4</w:t>
      </w:r>
      <w:r>
        <w:fldChar w:fldCharType="end"/>
      </w:r>
      <w:r>
        <w:t xml:space="preserve"> </w:t>
      </w:r>
      <w:r w:rsidRPr="00845DF9">
        <w:t xml:space="preserve">Executing Block with </w:t>
      </w:r>
      <w:r>
        <w:t>FIFO</w:t>
      </w:r>
      <w:r w:rsidRPr="00845DF9">
        <w:t xml:space="preserve"> Ordering</w:t>
      </w:r>
    </w:p>
    <w:p w14:paraId="4F662B7B" w14:textId="77777777" w:rsidR="00A75A8C" w:rsidRDefault="00A75A8C" w:rsidP="00EC5B88">
      <w:pPr>
        <w:rPr>
          <w:rFonts w:ascii="Times New Roman" w:hAnsi="Times New Roman" w:cs="Times New Roman"/>
        </w:rPr>
      </w:pPr>
    </w:p>
    <w:p w14:paraId="1104CC4D" w14:textId="53B3544C" w:rsidR="00417CCF" w:rsidRDefault="00417CCF" w:rsidP="00417CCF">
      <w:pPr>
        <w:pStyle w:val="Heading1"/>
      </w:pPr>
      <w:r w:rsidRPr="00EC5B88">
        <w:lastRenderedPageBreak/>
        <w:t xml:space="preserve">Task </w:t>
      </w:r>
      <w:r>
        <w:t>3</w:t>
      </w:r>
      <w:r w:rsidRPr="00EC5B88">
        <w:t xml:space="preserve">: </w:t>
      </w:r>
      <w:r>
        <w:t>B</w:t>
      </w:r>
      <w:r w:rsidRPr="00EC5B88">
        <w:t>.</w:t>
      </w:r>
    </w:p>
    <w:p w14:paraId="2DBFC272" w14:textId="75E944E4" w:rsidR="00EC5B88" w:rsidRPr="00EC5B88" w:rsidRDefault="00EC5B88" w:rsidP="00EC5B88">
      <w:pPr>
        <w:rPr>
          <w:rFonts w:ascii="Times New Roman" w:hAnsi="Times New Roman" w:cs="Times New Roman"/>
        </w:rPr>
      </w:pPr>
      <w:r w:rsidRPr="00EC5B88">
        <w:rPr>
          <w:rFonts w:ascii="Times New Roman" w:hAnsi="Times New Roman" w:cs="Times New Roman"/>
        </w:rPr>
        <w:t xml:space="preserve">The architectural decision between First-In-First-Out (FIFO) and Fee-Priority transaction ordering carries profound implications for blockchain mechanics: </w:t>
      </w:r>
    </w:p>
    <w:p w14:paraId="309354F3" w14:textId="77777777" w:rsidR="00EC5B88" w:rsidRPr="00EC5B88" w:rsidRDefault="00EC5B88" w:rsidP="00EC5B88">
      <w:pPr>
        <w:numPr>
          <w:ilvl w:val="0"/>
          <w:numId w:val="1"/>
        </w:numPr>
        <w:rPr>
          <w:rFonts w:ascii="Times New Roman" w:hAnsi="Times New Roman" w:cs="Times New Roman"/>
        </w:rPr>
      </w:pPr>
      <w:r w:rsidRPr="00EC5B88">
        <w:rPr>
          <w:rFonts w:ascii="Times New Roman" w:hAnsi="Times New Roman" w:cs="Times New Roman"/>
          <w:b/>
          <w:bCs/>
        </w:rPr>
        <w:t>FIFO Ordering:</w:t>
      </w:r>
    </w:p>
    <w:p w14:paraId="1F2EB756" w14:textId="77777777" w:rsidR="00EC5B88" w:rsidRPr="00EC5B88" w:rsidRDefault="00EC5B88" w:rsidP="00EC5B88">
      <w:pPr>
        <w:numPr>
          <w:ilvl w:val="1"/>
          <w:numId w:val="1"/>
        </w:numPr>
        <w:rPr>
          <w:rFonts w:ascii="Times New Roman" w:hAnsi="Times New Roman" w:cs="Times New Roman"/>
        </w:rPr>
      </w:pPr>
      <w:r w:rsidRPr="00EC5B88">
        <w:rPr>
          <w:rFonts w:ascii="Times New Roman" w:hAnsi="Times New Roman" w:cs="Times New Roman"/>
          <w:i/>
          <w:iCs/>
        </w:rPr>
        <w:t>Pros (Fairness):</w:t>
      </w:r>
      <w:r w:rsidRPr="00EC5B88">
        <w:rPr>
          <w:rFonts w:ascii="Times New Roman" w:hAnsi="Times New Roman" w:cs="Times New Roman"/>
        </w:rPr>
        <w:t xml:space="preserve"> Implements a strictly egalitarian processing paradigm. Users are serviced based on temporal precedence rather than capital expenditure, democratizing network access and mitigating the systematic exclusion of economically disadvantaged participants during periods of high network congestion.</w:t>
      </w:r>
    </w:p>
    <w:p w14:paraId="5E3C158A" w14:textId="77777777" w:rsidR="00EC5B88" w:rsidRPr="00EC5B88" w:rsidRDefault="00EC5B88" w:rsidP="00EC5B88">
      <w:pPr>
        <w:numPr>
          <w:ilvl w:val="1"/>
          <w:numId w:val="1"/>
        </w:numPr>
        <w:rPr>
          <w:rFonts w:ascii="Times New Roman" w:hAnsi="Times New Roman" w:cs="Times New Roman"/>
        </w:rPr>
      </w:pPr>
      <w:r w:rsidRPr="00EC5B88">
        <w:rPr>
          <w:rFonts w:ascii="Times New Roman" w:hAnsi="Times New Roman" w:cs="Times New Roman"/>
          <w:i/>
          <w:iCs/>
        </w:rPr>
        <w:t>Cons (Incentives &amp; Security):</w:t>
      </w:r>
      <w:r w:rsidRPr="00EC5B88">
        <w:rPr>
          <w:rFonts w:ascii="Times New Roman" w:hAnsi="Times New Roman" w:cs="Times New Roman"/>
        </w:rPr>
        <w:t xml:space="preserve"> Fundamentally deteriorates miner economic incentives. By decoupling execution priority from financial remuneration, miners are deprived of a critical revenue stream. Furthermore, the network becomes highly vulnerable to Denial-of-Service (DoS) and spam vectors; malicious actors can easily saturate the </w:t>
      </w:r>
      <w:proofErr w:type="spellStart"/>
      <w:r w:rsidRPr="00EC5B88">
        <w:rPr>
          <w:rFonts w:ascii="Times New Roman" w:hAnsi="Times New Roman" w:cs="Times New Roman"/>
        </w:rPr>
        <w:t>mempool</w:t>
      </w:r>
      <w:proofErr w:type="spellEnd"/>
      <w:r w:rsidRPr="00EC5B88">
        <w:rPr>
          <w:rFonts w:ascii="Times New Roman" w:hAnsi="Times New Roman" w:cs="Times New Roman"/>
        </w:rPr>
        <w:t xml:space="preserve"> with zero-fee micro-transactions without incurring financial penalties, degrading network throughput.</w:t>
      </w:r>
    </w:p>
    <w:p w14:paraId="42132AEC" w14:textId="77777777" w:rsidR="00EC5B88" w:rsidRPr="00EC5B88" w:rsidRDefault="00EC5B88" w:rsidP="00EC5B88">
      <w:pPr>
        <w:numPr>
          <w:ilvl w:val="0"/>
          <w:numId w:val="1"/>
        </w:numPr>
        <w:rPr>
          <w:rFonts w:ascii="Times New Roman" w:hAnsi="Times New Roman" w:cs="Times New Roman"/>
        </w:rPr>
      </w:pPr>
      <w:r w:rsidRPr="00EC5B88">
        <w:rPr>
          <w:rFonts w:ascii="Times New Roman" w:hAnsi="Times New Roman" w:cs="Times New Roman"/>
          <w:b/>
          <w:bCs/>
        </w:rPr>
        <w:t>Fee-Priority Ordering (Default):</w:t>
      </w:r>
    </w:p>
    <w:p w14:paraId="746266C3" w14:textId="77777777" w:rsidR="00EC5B88" w:rsidRPr="00EC5B88" w:rsidRDefault="00EC5B88" w:rsidP="00EC5B88">
      <w:pPr>
        <w:numPr>
          <w:ilvl w:val="1"/>
          <w:numId w:val="1"/>
        </w:numPr>
        <w:rPr>
          <w:rFonts w:ascii="Times New Roman" w:hAnsi="Times New Roman" w:cs="Times New Roman"/>
        </w:rPr>
      </w:pPr>
      <w:r w:rsidRPr="00EC5B88">
        <w:rPr>
          <w:rFonts w:ascii="Times New Roman" w:hAnsi="Times New Roman" w:cs="Times New Roman"/>
          <w:i/>
          <w:iCs/>
        </w:rPr>
        <w:t>Pros (Incentives &amp; Security):</w:t>
      </w:r>
      <w:r w:rsidRPr="00EC5B88">
        <w:rPr>
          <w:rFonts w:ascii="Times New Roman" w:hAnsi="Times New Roman" w:cs="Times New Roman"/>
        </w:rPr>
        <w:t xml:space="preserve"> Establishes a robust, rational fee market. Miners maximize utility and profitability, incentivizing the deployment of extensive computational resources to secure the network. It inherently deters network spam by imposing a dynamic financial cost on block space consumption. </w:t>
      </w:r>
    </w:p>
    <w:p w14:paraId="7E0D4E88" w14:textId="77777777" w:rsidR="00EC5B88" w:rsidRDefault="00EC5B88" w:rsidP="00EC5B88">
      <w:pPr>
        <w:numPr>
          <w:ilvl w:val="1"/>
          <w:numId w:val="1"/>
        </w:numPr>
        <w:rPr>
          <w:rFonts w:ascii="Times New Roman" w:hAnsi="Times New Roman" w:cs="Times New Roman"/>
        </w:rPr>
      </w:pPr>
      <w:r w:rsidRPr="00EC5B88">
        <w:rPr>
          <w:rFonts w:ascii="Times New Roman" w:hAnsi="Times New Roman" w:cs="Times New Roman"/>
          <w:i/>
          <w:iCs/>
        </w:rPr>
        <w:t>Cons (Fairness):</w:t>
      </w:r>
      <w:r w:rsidRPr="00EC5B88">
        <w:rPr>
          <w:rFonts w:ascii="Times New Roman" w:hAnsi="Times New Roman" w:cs="Times New Roman"/>
        </w:rPr>
        <w:t xml:space="preserve"> Introduces economic friction and marginalization. During transaction surges, network fees escalate dynamically, effectively pricing out lower-tier economic actors and inherently favoring institutional or high-net-worth capital transfers.</w:t>
      </w:r>
    </w:p>
    <w:p w14:paraId="5432D14D" w14:textId="51C5B8FA" w:rsidR="00417CCF" w:rsidRPr="00EC5B88" w:rsidRDefault="00417CCF" w:rsidP="00417CCF">
      <w:pPr>
        <w:rPr>
          <w:rFonts w:ascii="Times New Roman" w:hAnsi="Times New Roman" w:cs="Times New Roman"/>
        </w:rPr>
      </w:pPr>
      <w:r>
        <w:rPr>
          <w:rFonts w:ascii="Times New Roman" w:hAnsi="Times New Roman" w:cs="Times New Roman"/>
        </w:rPr>
        <w:t xml:space="preserve">To conclude, </w:t>
      </w:r>
      <w:r w:rsidRPr="00417CCF">
        <w:rPr>
          <w:rFonts w:ascii="Times New Roman" w:hAnsi="Times New Roman" w:cs="Times New Roman"/>
        </w:rPr>
        <w:t>FIFO provides greater fairness to users, while fee-priority ordering provides stronger incentives for miners to maximize transaction-fee revenue.</w:t>
      </w:r>
    </w:p>
    <w:p w14:paraId="32B6F241" w14:textId="114E44FE" w:rsidR="00417CCF" w:rsidRDefault="00417CCF" w:rsidP="00417CCF">
      <w:pPr>
        <w:pStyle w:val="Heading1"/>
      </w:pPr>
      <w:r w:rsidRPr="00EC5B88">
        <w:t xml:space="preserve">Task </w:t>
      </w:r>
      <w:r>
        <w:t>4</w:t>
      </w:r>
      <w:r w:rsidRPr="00EC5B88">
        <w:t xml:space="preserve">: </w:t>
      </w:r>
      <w:r>
        <w:t>A</w:t>
      </w:r>
      <w:r w:rsidRPr="00EC5B88">
        <w:t>.</w:t>
      </w:r>
    </w:p>
    <w:p w14:paraId="676DB085" w14:textId="0EFF864C" w:rsidR="00EC5B88" w:rsidRPr="00EC5B88" w:rsidRDefault="00EC5B88" w:rsidP="00EC5B88">
      <w:pPr>
        <w:rPr>
          <w:rFonts w:ascii="Times New Roman" w:hAnsi="Times New Roman" w:cs="Times New Roman"/>
        </w:rPr>
      </w:pPr>
      <w:r w:rsidRPr="00EC5B88">
        <w:rPr>
          <w:rFonts w:ascii="Times New Roman" w:hAnsi="Times New Roman" w:cs="Times New Roman"/>
        </w:rPr>
        <w:t xml:space="preserve">Simulating Bitcoin's disinflationary supply schedule requires dynamically adjusting the block reward based on the chain's accumulated depth. The programmatic integration necessitates an exponential decay function, which can be mathematically modeled as: </w:t>
      </w:r>
    </w:p>
    <w:p w14:paraId="7619D4DA" w14:textId="7F5A19C2" w:rsidR="00EC5B88" w:rsidRPr="00EC5B88" w:rsidRDefault="00000000" w:rsidP="00EC5B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current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base</m:t>
                  </m:r>
                </m:sub>
              </m:sSub>
            </m:num>
            <m:den>
              <m:sSup>
                <m:sSupPr>
                  <m:ctrlPr>
                    <w:rPr>
                      <w:rFonts w:ascii="Cambria Math" w:hAnsi="Cambria Math" w:cs="Times New Roman"/>
                    </w:rPr>
                  </m:ctrlPr>
                </m:sSupPr>
                <m:e>
                  <m:r>
                    <w:rPr>
                      <w:rFonts w:ascii="Cambria Math" w:hAnsi="Cambria Math" w:cs="Times New Roman"/>
                    </w:rPr>
                    <m:t>2</m:t>
                  </m:r>
                </m:e>
                <m:sup>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current</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halving</m:t>
                              </m:r>
                            </m:sub>
                          </m:sSub>
                        </m:den>
                      </m:f>
                    </m:e>
                  </m:d>
                </m:sup>
              </m:sSup>
            </m:den>
          </m:f>
        </m:oMath>
      </m:oMathPara>
    </w:p>
    <w:p w14:paraId="580796AC" w14:textId="7BD4BF69" w:rsidR="00EC5B88" w:rsidRPr="00EC5B88" w:rsidRDefault="00EC5B88" w:rsidP="00EC5B88">
      <w:pPr>
        <w:rPr>
          <w:rFonts w:ascii="Times New Roman" w:hAnsi="Times New Roman" w:cs="Times New Roman"/>
        </w:rPr>
      </w:pPr>
      <w:r w:rsidRPr="00EC5B8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base</m:t>
            </m:r>
          </m:sub>
        </m:sSub>
      </m:oMath>
      <w:r w:rsidRPr="00EC5B88">
        <w:rPr>
          <w:rFonts w:ascii="Times New Roman" w:hAnsi="Times New Roman" w:cs="Times New Roman"/>
        </w:rPr>
        <w:t xml:space="preserve"> is the initial block reward,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current</m:t>
            </m:r>
          </m:sub>
        </m:sSub>
      </m:oMath>
      <w:r w:rsidRPr="00EC5B88">
        <w:rPr>
          <w:rFonts w:ascii="Times New Roman" w:hAnsi="Times New Roman" w:cs="Times New Roman"/>
        </w:rPr>
        <w:t xml:space="preserve"> is the current block depth,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halving</m:t>
            </m:r>
          </m:sub>
        </m:sSub>
      </m:oMath>
      <w:r w:rsidRPr="00EC5B88">
        <w:rPr>
          <w:rFonts w:ascii="Times New Roman" w:hAnsi="Times New Roman" w:cs="Times New Roman"/>
        </w:rPr>
        <w:t xml:space="preserve"> represents the halving interval parameter</w:t>
      </w:r>
      <w:r w:rsidR="001A4D9E">
        <w:rPr>
          <w:rFonts w:ascii="Times New Roman" w:hAnsi="Times New Roman" w:cs="Times New Roman"/>
        </w:rPr>
        <w:t xml:space="preserve"> </w:t>
      </w:r>
      <w:r w:rsidR="001A4D9E" w:rsidRPr="001A4D9E">
        <w:rPr>
          <w:rFonts w:ascii="Times New Roman" w:hAnsi="Times New Roman" w:cs="Times New Roman"/>
        </w:rPr>
        <w:t xml:space="preserve">(“The Mathematics of Bitcoin </w:t>
      </w:r>
      <w:proofErr w:type="spellStart"/>
      <w:r w:rsidR="001A4D9E" w:rsidRPr="001A4D9E">
        <w:rPr>
          <w:rFonts w:ascii="Times New Roman" w:hAnsi="Times New Roman" w:cs="Times New Roman"/>
        </w:rPr>
        <w:t>Halvings</w:t>
      </w:r>
      <w:proofErr w:type="spellEnd"/>
      <w:r w:rsidR="001A4D9E" w:rsidRPr="001A4D9E">
        <w:rPr>
          <w:rFonts w:ascii="Times New Roman" w:hAnsi="Times New Roman" w:cs="Times New Roman"/>
        </w:rPr>
        <w:t>: Cracking the Equations and Formulas,” 2024)</w:t>
      </w:r>
      <w:r w:rsidRPr="00EC5B88">
        <w:rPr>
          <w:rFonts w:ascii="Times New Roman" w:hAnsi="Times New Roman" w:cs="Times New Roman"/>
        </w:rPr>
        <w:t>.</w:t>
      </w:r>
    </w:p>
    <w:p w14:paraId="37C1A4D3" w14:textId="77777777" w:rsidR="008C0781" w:rsidRDefault="008C0781" w:rsidP="001A4D9E">
      <w:pPr>
        <w:keepNext/>
        <w:spacing w:after="0"/>
        <w:jc w:val="center"/>
      </w:pPr>
      <w:r>
        <w:rPr>
          <w:noProof/>
        </w:rPr>
        <w:drawing>
          <wp:inline distT="0" distB="0" distL="0" distR="0" wp14:anchorId="7C343A7C" wp14:editId="2215C3A1">
            <wp:extent cx="8214970" cy="4578985"/>
            <wp:effectExtent l="0" t="0" r="15240" b="12065"/>
            <wp:docPr id="1196029551" name="Chart 1">
              <a:extLst xmlns:a="http://schemas.openxmlformats.org/drawingml/2006/main">
                <a:ext uri="{FF2B5EF4-FFF2-40B4-BE49-F238E27FC236}">
                  <a16:creationId xmlns:a16="http://schemas.microsoft.com/office/drawing/2014/main" id="{6217C0B7-EADF-4A03-2DA3-C2310DB2AA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6506C86" w14:textId="24286E24" w:rsidR="008C0781" w:rsidRDefault="008C0781" w:rsidP="008C0781">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Graph illustrating the relationship between Halving Interval and Profit of Miner 0 (in ETH)</w:t>
      </w:r>
    </w:p>
    <w:p w14:paraId="362C187B" w14:textId="2EC489B5" w:rsidR="00EC5B88" w:rsidRPr="00EC5B88" w:rsidRDefault="00EC5B88" w:rsidP="00EC5B88">
      <w:pPr>
        <w:rPr>
          <w:rFonts w:ascii="Times New Roman" w:hAnsi="Times New Roman" w:cs="Times New Roman"/>
        </w:rPr>
      </w:pPr>
      <w:r w:rsidRPr="00EC5B88">
        <w:rPr>
          <w:rFonts w:ascii="Times New Roman" w:hAnsi="Times New Roman" w:cs="Times New Roman"/>
        </w:rPr>
        <w:lastRenderedPageBreak/>
        <w:t xml:space="preserve">The simulation results </w:t>
      </w:r>
      <w:r w:rsidR="008C0781">
        <w:rPr>
          <w:rFonts w:ascii="Times New Roman" w:hAnsi="Times New Roman" w:cs="Times New Roman"/>
        </w:rPr>
        <w:t>in Figure 5</w:t>
      </w:r>
      <w:r w:rsidRPr="00EC5B88">
        <w:rPr>
          <w:rFonts w:ascii="Times New Roman" w:hAnsi="Times New Roman" w:cs="Times New Roman"/>
        </w:rPr>
        <w:t xml:space="preserve"> chart the total profit of Miner 0 across scaling halving intervals (20, 40, 60, and 80 blocks). The data indicates an overarching positive correlation: as the interval stretches (delaying the reward depreciation), Miner 0 accumulates a higher volume of the native asset (e.g., scaling from </w:t>
      </w:r>
      <w:r w:rsidR="008C0781" w:rsidRPr="008C0781">
        <w:rPr>
          <w:rFonts w:ascii="Times New Roman" w:hAnsi="Times New Roman" w:cs="Times New Roman"/>
        </w:rPr>
        <w:t>127.1222609</w:t>
      </w:r>
      <w:r w:rsidR="008C0781">
        <w:rPr>
          <w:rFonts w:ascii="Times New Roman" w:hAnsi="Times New Roman" w:cs="Times New Roman"/>
        </w:rPr>
        <w:t xml:space="preserve"> ETH </w:t>
      </w:r>
      <w:r w:rsidRPr="00EC5B88">
        <w:rPr>
          <w:rFonts w:ascii="Times New Roman" w:hAnsi="Times New Roman" w:cs="Times New Roman"/>
        </w:rPr>
        <w:t xml:space="preserve">at an interval of 20, up to </w:t>
      </w:r>
      <w:r w:rsidR="008C0781" w:rsidRPr="008C0781">
        <w:rPr>
          <w:rFonts w:ascii="Times New Roman" w:hAnsi="Times New Roman" w:cs="Times New Roman"/>
        </w:rPr>
        <w:t>215.5107271</w:t>
      </w:r>
      <w:r w:rsidR="008C0781">
        <w:rPr>
          <w:rFonts w:ascii="Times New Roman" w:hAnsi="Times New Roman" w:cs="Times New Roman"/>
        </w:rPr>
        <w:t xml:space="preserve"> ETH</w:t>
      </w:r>
      <w:r w:rsidRPr="00EC5B88">
        <w:rPr>
          <w:rFonts w:ascii="Times New Roman" w:hAnsi="Times New Roman" w:cs="Times New Roman"/>
        </w:rPr>
        <w:t xml:space="preserve"> at an interval of 80).</w:t>
      </w:r>
      <w:r w:rsidR="008C0781">
        <w:rPr>
          <w:rFonts w:ascii="Times New Roman" w:hAnsi="Times New Roman" w:cs="Times New Roman"/>
        </w:rPr>
        <w:t xml:space="preserve"> However, while moving from halving interval of 40 to 60, there was a slight decrease of the profit of Miner 0 from </w:t>
      </w:r>
      <w:r w:rsidR="008C0781" w:rsidRPr="008C0781">
        <w:rPr>
          <w:rFonts w:ascii="Times New Roman" w:hAnsi="Times New Roman" w:cs="Times New Roman"/>
        </w:rPr>
        <w:t>190.16676</w:t>
      </w:r>
      <w:r w:rsidR="008C0781">
        <w:rPr>
          <w:rFonts w:ascii="Times New Roman" w:hAnsi="Times New Roman" w:cs="Times New Roman"/>
        </w:rPr>
        <w:t xml:space="preserve"> ETH to </w:t>
      </w:r>
      <w:r w:rsidR="008C0781" w:rsidRPr="008C0781">
        <w:rPr>
          <w:rFonts w:ascii="Times New Roman" w:hAnsi="Times New Roman" w:cs="Times New Roman"/>
        </w:rPr>
        <w:t>177.4593537</w:t>
      </w:r>
      <w:r w:rsidR="008C0781">
        <w:rPr>
          <w:rFonts w:ascii="Times New Roman" w:hAnsi="Times New Roman" w:cs="Times New Roman"/>
        </w:rPr>
        <w:t xml:space="preserve"> ETH, but overall from 20 to 60, there was an increase as stated before.</w:t>
      </w:r>
    </w:p>
    <w:p w14:paraId="42A3902A" w14:textId="5905B8F0" w:rsidR="008C0781" w:rsidRDefault="008C0781" w:rsidP="008C0781">
      <w:pPr>
        <w:pStyle w:val="Heading1"/>
      </w:pPr>
      <w:r w:rsidRPr="00EC5B88">
        <w:t xml:space="preserve">Task </w:t>
      </w:r>
      <w:r>
        <w:t>4</w:t>
      </w:r>
      <w:r w:rsidRPr="00EC5B88">
        <w:t xml:space="preserve">: </w:t>
      </w:r>
      <w:r>
        <w:t>B</w:t>
      </w:r>
      <w:r w:rsidRPr="00EC5B88">
        <w:t>.</w:t>
      </w:r>
    </w:p>
    <w:p w14:paraId="1E8099FD" w14:textId="266D8D1E" w:rsidR="00770A72" w:rsidRDefault="00770A72" w:rsidP="001A4D9E">
      <w:pPr>
        <w:rPr>
          <w:rFonts w:ascii="Times New Roman" w:hAnsi="Times New Roman" w:cs="Times New Roman"/>
        </w:rPr>
      </w:pPr>
      <w:r>
        <w:rPr>
          <w:rFonts w:ascii="Times New Roman" w:hAnsi="Times New Roman" w:cs="Times New Roman"/>
        </w:rPr>
        <w:t>E</w:t>
      </w:r>
      <w:r w:rsidRPr="00770A72">
        <w:rPr>
          <w:rFonts w:ascii="Times New Roman" w:hAnsi="Times New Roman" w:cs="Times New Roman"/>
        </w:rPr>
        <w:t xml:space="preserve">xpanding the halving parameter sequentially delays the reward depreciation. At an interval of 40, Miner 0's profit recovers to </w:t>
      </w:r>
      <w:r w:rsidRPr="008C0781">
        <w:rPr>
          <w:rFonts w:ascii="Times New Roman" w:hAnsi="Times New Roman" w:cs="Times New Roman"/>
        </w:rPr>
        <w:t>190.16676</w:t>
      </w:r>
      <w:r>
        <w:rPr>
          <w:rFonts w:ascii="Times New Roman" w:hAnsi="Times New Roman" w:cs="Times New Roman"/>
        </w:rPr>
        <w:t xml:space="preserve"> </w:t>
      </w:r>
      <w:r w:rsidRPr="00770A72">
        <w:rPr>
          <w:rFonts w:ascii="Times New Roman" w:hAnsi="Times New Roman" w:cs="Times New Roman"/>
        </w:rPr>
        <w:t xml:space="preserve">ETH (with a minor variance at the 60 interval yielding </w:t>
      </w:r>
      <w:r w:rsidRPr="008C0781">
        <w:rPr>
          <w:rFonts w:ascii="Times New Roman" w:hAnsi="Times New Roman" w:cs="Times New Roman"/>
        </w:rPr>
        <w:t>177.4593537</w:t>
      </w:r>
      <w:r>
        <w:rPr>
          <w:rFonts w:ascii="Times New Roman" w:hAnsi="Times New Roman" w:cs="Times New Roman"/>
        </w:rPr>
        <w:t xml:space="preserve"> </w:t>
      </w:r>
      <w:r w:rsidRPr="00770A72">
        <w:rPr>
          <w:rFonts w:ascii="Times New Roman" w:hAnsi="Times New Roman" w:cs="Times New Roman"/>
        </w:rPr>
        <w:t xml:space="preserve">ETH, likely due to the stochastic nature of block discovery). Ultimately, extending the interval to the maximum tested threshold of 80 drastically reduces the total number of halving events. This allows the miner to capitalize on the higher base reward for a substantially prolonged duration, maximizing Miner 0's total yield to </w:t>
      </w:r>
      <w:r w:rsidRPr="008C0781">
        <w:rPr>
          <w:rFonts w:ascii="Times New Roman" w:hAnsi="Times New Roman" w:cs="Times New Roman"/>
        </w:rPr>
        <w:t>215.5107271</w:t>
      </w:r>
      <w:r>
        <w:rPr>
          <w:rFonts w:ascii="Times New Roman" w:hAnsi="Times New Roman" w:cs="Times New Roman"/>
        </w:rPr>
        <w:t xml:space="preserve"> </w:t>
      </w:r>
      <w:r w:rsidRPr="00770A72">
        <w:rPr>
          <w:rFonts w:ascii="Times New Roman" w:hAnsi="Times New Roman" w:cs="Times New Roman"/>
        </w:rPr>
        <w:t>ETH.</w:t>
      </w:r>
    </w:p>
    <w:p w14:paraId="3D414A52" w14:textId="0F2C2D20" w:rsidR="001A4D9E" w:rsidRPr="001A4D9E" w:rsidRDefault="001A4D9E" w:rsidP="001A4D9E">
      <w:pPr>
        <w:rPr>
          <w:rFonts w:ascii="Times New Roman" w:hAnsi="Times New Roman" w:cs="Times New Roman"/>
        </w:rPr>
      </w:pPr>
      <w:r w:rsidRPr="001A4D9E">
        <w:rPr>
          <w:rFonts w:ascii="Times New Roman" w:hAnsi="Times New Roman" w:cs="Times New Roman"/>
        </w:rPr>
        <w:t>As the number of halving epochs increases, the deterministic block reward awarded to a miner depreciates exponentially. The empirical data extracted from the simulation and illustrated in the halving interval graph (</w:t>
      </w:r>
      <w:r>
        <w:rPr>
          <w:rFonts w:ascii="Times New Roman" w:hAnsi="Times New Roman" w:cs="Times New Roman"/>
        </w:rPr>
        <w:t>Figure 5</w:t>
      </w:r>
      <w:r w:rsidRPr="001A4D9E">
        <w:rPr>
          <w:rFonts w:ascii="Times New Roman" w:hAnsi="Times New Roman" w:cs="Times New Roman"/>
        </w:rPr>
        <w:t xml:space="preserve">) explicitly corroborates this mathematical reality. Within the fixed temporal bounds of the simulation, a highly compressed halving interval of 20 induces a maximum frequency of halving events. Consequently, the block reward degrades rapidly, severely suppressing Miner 0's aggregate profit to a simulation low of </w:t>
      </w:r>
      <w:r w:rsidR="00770A72" w:rsidRPr="008C0781">
        <w:rPr>
          <w:rFonts w:ascii="Times New Roman" w:hAnsi="Times New Roman" w:cs="Times New Roman"/>
        </w:rPr>
        <w:t>127.1222609</w:t>
      </w:r>
      <w:r w:rsidR="00770A72">
        <w:rPr>
          <w:rFonts w:ascii="Times New Roman" w:hAnsi="Times New Roman" w:cs="Times New Roman"/>
        </w:rPr>
        <w:t xml:space="preserve"> </w:t>
      </w:r>
      <w:r w:rsidRPr="001A4D9E">
        <w:rPr>
          <w:rFonts w:ascii="Times New Roman" w:hAnsi="Times New Roman" w:cs="Times New Roman"/>
        </w:rPr>
        <w:t>ETH.</w:t>
      </w:r>
    </w:p>
    <w:p w14:paraId="2DA34296" w14:textId="398601DC" w:rsidR="001A4D9E" w:rsidRPr="001A4D9E" w:rsidRDefault="001A4D9E" w:rsidP="001A4D9E">
      <w:pPr>
        <w:rPr>
          <w:rFonts w:ascii="Times New Roman" w:hAnsi="Times New Roman" w:cs="Times New Roman"/>
        </w:rPr>
      </w:pPr>
      <w:r w:rsidRPr="001A4D9E">
        <w:rPr>
          <w:rFonts w:ascii="Times New Roman" w:hAnsi="Times New Roman" w:cs="Times New Roman"/>
        </w:rPr>
        <w:t xml:space="preserve">Dictated by the protocol's asymptotic monetary policy, the block subsidy will continuously halve until it diminishes to a fractional value that mathematically rounds down to zero. Once this terminal state is reached, the network entirely ceases the cryptographic minting of new assets. To sustain decentralized operations, subsidize computational overhead (e.g., hardware depreciation and electrical expenditure), and maintain network security, miner revenue must transition to being derived entirely from transaction fees. </w:t>
      </w:r>
    </w:p>
    <w:p w14:paraId="20096D91" w14:textId="77777777" w:rsidR="00770A72" w:rsidRDefault="001A4D9E" w:rsidP="001A4D9E">
      <w:pPr>
        <w:rPr>
          <w:rFonts w:ascii="Times New Roman" w:hAnsi="Times New Roman" w:cs="Times New Roman"/>
        </w:rPr>
      </w:pPr>
      <w:r w:rsidRPr="001A4D9E">
        <w:rPr>
          <w:rFonts w:ascii="Times New Roman" w:hAnsi="Times New Roman" w:cs="Times New Roman"/>
          <w:b/>
          <w:bCs/>
        </w:rPr>
        <w:t>The Necessity of Fee-Priority Ordering</w:t>
      </w:r>
      <w:r w:rsidRPr="001A4D9E">
        <w:rPr>
          <w:rFonts w:ascii="Times New Roman" w:hAnsi="Times New Roman" w:cs="Times New Roman"/>
        </w:rPr>
        <w:t xml:space="preserve"> </w:t>
      </w:r>
    </w:p>
    <w:p w14:paraId="6B3E51DA" w14:textId="65023072" w:rsidR="001A4D9E" w:rsidRPr="001A4D9E" w:rsidRDefault="001A4D9E" w:rsidP="001A4D9E">
      <w:pPr>
        <w:rPr>
          <w:rFonts w:ascii="Times New Roman" w:hAnsi="Times New Roman" w:cs="Times New Roman"/>
        </w:rPr>
      </w:pPr>
      <w:r w:rsidRPr="001A4D9E">
        <w:rPr>
          <w:rFonts w:ascii="Times New Roman" w:hAnsi="Times New Roman" w:cs="Times New Roman"/>
        </w:rPr>
        <w:t xml:space="preserve">In a zero-block-reward paradigm, a Fee-Priority transaction ordering model transcends being a mere optimization and becomes an absolute cryptographic and economic necessity. </w:t>
      </w:r>
    </w:p>
    <w:p w14:paraId="50D6FE79" w14:textId="2BBF92C3" w:rsidR="001A4D9E" w:rsidRPr="002C6FDE" w:rsidRDefault="001A4D9E" w:rsidP="002C6FDE">
      <w:pPr>
        <w:numPr>
          <w:ilvl w:val="0"/>
          <w:numId w:val="3"/>
        </w:numPr>
        <w:rPr>
          <w:rFonts w:ascii="Times New Roman" w:hAnsi="Times New Roman" w:cs="Times New Roman"/>
        </w:rPr>
      </w:pPr>
      <w:r w:rsidRPr="001A4D9E">
        <w:rPr>
          <w:rFonts w:ascii="Times New Roman" w:hAnsi="Times New Roman" w:cs="Times New Roman"/>
          <w:b/>
          <w:bCs/>
        </w:rPr>
        <w:t>The Failure of FIFO:</w:t>
      </w:r>
      <w:r w:rsidRPr="001A4D9E">
        <w:rPr>
          <w:rFonts w:ascii="Times New Roman" w:hAnsi="Times New Roman" w:cs="Times New Roman"/>
        </w:rPr>
        <w:t xml:space="preserve"> As observed in the Experiment 3 modifications, a First-In-First-Out (FIFO) architecture forces nodes to process </w:t>
      </w:r>
      <w:proofErr w:type="spellStart"/>
      <w:r w:rsidRPr="001A4D9E">
        <w:rPr>
          <w:rFonts w:ascii="Times New Roman" w:hAnsi="Times New Roman" w:cs="Times New Roman"/>
        </w:rPr>
        <w:t>mempool</w:t>
      </w:r>
      <w:proofErr w:type="spellEnd"/>
      <w:r w:rsidRPr="001A4D9E">
        <w:rPr>
          <w:rFonts w:ascii="Times New Roman" w:hAnsi="Times New Roman" w:cs="Times New Roman"/>
        </w:rPr>
        <w:t xml:space="preserve"> transactions strictly based on temporal arrival, completely disregarding the attached financial fee. If a </w:t>
      </w:r>
      <w:r w:rsidRPr="001A4D9E">
        <w:rPr>
          <w:rFonts w:ascii="Times New Roman" w:hAnsi="Times New Roman" w:cs="Times New Roman"/>
        </w:rPr>
        <w:lastRenderedPageBreak/>
        <w:t>blockchain were to operate on a FIFO model in the absence of a block subsidy, miners would be computationally compelled to process zero-fee or low-value transactions without any intrinsic financial yield. This structural flaw would obliterate the economic incentive to mine, triggering a catastrophic capitulation of the network hash rate and rendering the distributed ledger highly vulnerable to 51% attacks</w:t>
      </w:r>
      <w:r w:rsidR="002C6FDE">
        <w:rPr>
          <w:rFonts w:ascii="Times New Roman" w:hAnsi="Times New Roman" w:cs="Times New Roman"/>
        </w:rPr>
        <w:t xml:space="preserve"> </w:t>
      </w:r>
      <w:r w:rsidR="002C6FDE" w:rsidRPr="002C6FDE">
        <w:rPr>
          <w:rFonts w:ascii="Times New Roman" w:hAnsi="Times New Roman" w:cs="Times New Roman"/>
        </w:rPr>
        <w:t>(Team, 2025)</w:t>
      </w:r>
      <w:r w:rsidRPr="002C6FDE">
        <w:rPr>
          <w:rFonts w:ascii="Times New Roman" w:hAnsi="Times New Roman" w:cs="Times New Roman"/>
        </w:rPr>
        <w:t>.</w:t>
      </w:r>
    </w:p>
    <w:p w14:paraId="62ED3F8C" w14:textId="77777777" w:rsidR="001A4D9E" w:rsidRPr="001A4D9E" w:rsidRDefault="001A4D9E" w:rsidP="001A4D9E">
      <w:pPr>
        <w:numPr>
          <w:ilvl w:val="0"/>
          <w:numId w:val="3"/>
        </w:numPr>
        <w:rPr>
          <w:rFonts w:ascii="Times New Roman" w:hAnsi="Times New Roman" w:cs="Times New Roman"/>
        </w:rPr>
      </w:pPr>
      <w:r w:rsidRPr="001A4D9E">
        <w:rPr>
          <w:rFonts w:ascii="Times New Roman" w:hAnsi="Times New Roman" w:cs="Times New Roman"/>
          <w:b/>
          <w:bCs/>
        </w:rPr>
        <w:t>The Security of Fee-Priority:</w:t>
      </w:r>
      <w:r w:rsidRPr="001A4D9E">
        <w:rPr>
          <w:rFonts w:ascii="Times New Roman" w:hAnsi="Times New Roman" w:cs="Times New Roman"/>
        </w:rPr>
        <w:t xml:space="preserve"> Alternatively, the Fee-Priority framework empowers miners to systematically prioritize the highest-paying transactions. This inherently cultivates a dynamic, competitive fee market where network participants continuously bid for limited block space. This market-driven mechanism guarantees that, even in the permanent absence of a block reward, miners receive continuous and adequate financial compensation. This ensures the perpetual sustainability of the distributed consensus mechanism and overall network integrity. </w:t>
      </w:r>
    </w:p>
    <w:p w14:paraId="423BFD05" w14:textId="5F5E7C96" w:rsidR="001A4D9E" w:rsidRDefault="001A4D9E" w:rsidP="001A4D9E">
      <w:pPr>
        <w:pStyle w:val="Heading1"/>
      </w:pPr>
      <w:r>
        <w:t>References</w:t>
      </w:r>
    </w:p>
    <w:p w14:paraId="6B91B070" w14:textId="1C0EF154" w:rsidR="002C6FDE" w:rsidRDefault="002C6FDE" w:rsidP="002C6FDE">
      <w:pPr>
        <w:ind w:left="720" w:hanging="720"/>
        <w:rPr>
          <w:rFonts w:ascii="Times New Roman" w:hAnsi="Times New Roman" w:cs="Times New Roman"/>
        </w:rPr>
      </w:pPr>
      <w:r w:rsidRPr="002C6FDE">
        <w:rPr>
          <w:rFonts w:ascii="Times New Roman" w:hAnsi="Times New Roman" w:cs="Times New Roman"/>
        </w:rPr>
        <w:t xml:space="preserve">Team, I. (2025, August 21). </w:t>
      </w:r>
      <w:r w:rsidRPr="002C6FDE">
        <w:rPr>
          <w:rFonts w:ascii="Times New Roman" w:hAnsi="Times New Roman" w:cs="Times New Roman"/>
          <w:i/>
          <w:iCs/>
        </w:rPr>
        <w:t>What is a 51% Attack on Blockchain? Risks, Examples, and Costs Explained</w:t>
      </w:r>
      <w:r w:rsidRPr="002C6FDE">
        <w:rPr>
          <w:rFonts w:ascii="Times New Roman" w:hAnsi="Times New Roman" w:cs="Times New Roman"/>
        </w:rPr>
        <w:t xml:space="preserve">. Investopedia. </w:t>
      </w:r>
      <w:hyperlink r:id="rId10" w:history="1">
        <w:r w:rsidRPr="00C360DB">
          <w:rPr>
            <w:rStyle w:val="Hyperlink"/>
            <w:rFonts w:ascii="Times New Roman" w:hAnsi="Times New Roman" w:cs="Times New Roman"/>
          </w:rPr>
          <w:t>https://www.investopedia.com/terms/1/51-attack.asp</w:t>
        </w:r>
      </w:hyperlink>
      <w:r>
        <w:rPr>
          <w:rFonts w:ascii="Times New Roman" w:hAnsi="Times New Roman" w:cs="Times New Roman"/>
        </w:rPr>
        <w:t xml:space="preserve"> </w:t>
      </w:r>
    </w:p>
    <w:p w14:paraId="3F3F18A4" w14:textId="244C12E6" w:rsidR="001A4D9E" w:rsidRPr="001A4D9E" w:rsidRDefault="001A4D9E" w:rsidP="001A4D9E">
      <w:pPr>
        <w:ind w:left="720" w:hanging="720"/>
        <w:rPr>
          <w:rFonts w:ascii="Times New Roman" w:hAnsi="Times New Roman" w:cs="Times New Roman"/>
        </w:rPr>
      </w:pPr>
      <w:r w:rsidRPr="001A4D9E">
        <w:rPr>
          <w:rFonts w:ascii="Times New Roman" w:hAnsi="Times New Roman" w:cs="Times New Roman"/>
        </w:rPr>
        <w:t xml:space="preserve">The mathematics of Bitcoin </w:t>
      </w:r>
      <w:proofErr w:type="spellStart"/>
      <w:r w:rsidRPr="001A4D9E">
        <w:rPr>
          <w:rFonts w:ascii="Times New Roman" w:hAnsi="Times New Roman" w:cs="Times New Roman"/>
        </w:rPr>
        <w:t>halvings</w:t>
      </w:r>
      <w:proofErr w:type="spellEnd"/>
      <w:r w:rsidRPr="001A4D9E">
        <w:rPr>
          <w:rFonts w:ascii="Times New Roman" w:hAnsi="Times New Roman" w:cs="Times New Roman"/>
        </w:rPr>
        <w:t xml:space="preserve">: Cracking the equations and formulas. (2024, April 18). </w:t>
      </w:r>
      <w:proofErr w:type="spellStart"/>
      <w:r w:rsidRPr="001A4D9E">
        <w:rPr>
          <w:rFonts w:ascii="Times New Roman" w:hAnsi="Times New Roman" w:cs="Times New Roman"/>
          <w:i/>
          <w:iCs/>
        </w:rPr>
        <w:t>TradingView</w:t>
      </w:r>
      <w:proofErr w:type="spellEnd"/>
      <w:r w:rsidRPr="001A4D9E">
        <w:rPr>
          <w:rFonts w:ascii="Times New Roman" w:hAnsi="Times New Roman" w:cs="Times New Roman"/>
        </w:rPr>
        <w:t xml:space="preserve">. </w:t>
      </w:r>
      <w:hyperlink r:id="rId11" w:history="1">
        <w:r w:rsidR="002C6FDE" w:rsidRPr="00C360DB">
          <w:rPr>
            <w:rStyle w:val="Hyperlink"/>
            <w:rFonts w:ascii="Times New Roman" w:hAnsi="Times New Roman" w:cs="Times New Roman"/>
          </w:rPr>
          <w:t>https://www.tradingview.com/news/cointelegraph:8f5370910094b:0-the-mathematics-of-bitcoin-halvings-cracking-the-equations-and-formulas/</w:t>
        </w:r>
      </w:hyperlink>
      <w:r w:rsidR="002C6FDE">
        <w:rPr>
          <w:rFonts w:ascii="Times New Roman" w:hAnsi="Times New Roman" w:cs="Times New Roman"/>
        </w:rPr>
        <w:t xml:space="preserve"> </w:t>
      </w:r>
    </w:p>
    <w:p w14:paraId="021C73CB" w14:textId="77777777" w:rsidR="001A4D9E" w:rsidRPr="00EC5B88" w:rsidRDefault="001A4D9E" w:rsidP="00EC5B88">
      <w:pPr>
        <w:rPr>
          <w:rFonts w:ascii="Times New Roman" w:hAnsi="Times New Roman" w:cs="Times New Roman"/>
        </w:rPr>
      </w:pPr>
    </w:p>
    <w:p w14:paraId="76FB4374" w14:textId="2DD0A1C8" w:rsidR="00B85C21" w:rsidRPr="00EC5B88" w:rsidRDefault="00B85C21" w:rsidP="00EC5B88">
      <w:pPr>
        <w:rPr>
          <w:rFonts w:ascii="Times New Roman" w:hAnsi="Times New Roman" w:cs="Times New Roman"/>
        </w:rPr>
      </w:pPr>
    </w:p>
    <w:sectPr w:rsidR="00B85C21" w:rsidRPr="00EC5B88" w:rsidSect="00EC5B8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E35"/>
    <w:multiLevelType w:val="multilevel"/>
    <w:tmpl w:val="ADB2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508C5"/>
    <w:multiLevelType w:val="multilevel"/>
    <w:tmpl w:val="4EBE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7209B"/>
    <w:multiLevelType w:val="multilevel"/>
    <w:tmpl w:val="259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363719">
    <w:abstractNumId w:val="1"/>
  </w:num>
  <w:num w:numId="2" w16cid:durableId="749425307">
    <w:abstractNumId w:val="0"/>
  </w:num>
  <w:num w:numId="3" w16cid:durableId="1973512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CF"/>
    <w:rsid w:val="0008386A"/>
    <w:rsid w:val="001A4D9E"/>
    <w:rsid w:val="002C6FDE"/>
    <w:rsid w:val="00417CCF"/>
    <w:rsid w:val="0055215C"/>
    <w:rsid w:val="00575ECF"/>
    <w:rsid w:val="00635C46"/>
    <w:rsid w:val="00706851"/>
    <w:rsid w:val="00770A72"/>
    <w:rsid w:val="00832F9D"/>
    <w:rsid w:val="00860BE1"/>
    <w:rsid w:val="008C0781"/>
    <w:rsid w:val="00A634C4"/>
    <w:rsid w:val="00A75A8C"/>
    <w:rsid w:val="00AF66BD"/>
    <w:rsid w:val="00B85C21"/>
    <w:rsid w:val="00EC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E6556"/>
  <w15:chartTrackingRefBased/>
  <w15:docId w15:val="{6C7BDE9B-0184-4519-A1C0-EA0F88B9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B88"/>
    <w:pPr>
      <w:outlineLvl w:val="0"/>
    </w:pPr>
    <w:rPr>
      <w:rFonts w:ascii="Times New Roman" w:hAnsi="Times New Roman" w:cs="Times New Roman"/>
      <w:b/>
      <w:bCs/>
      <w:sz w:val="28"/>
      <w:szCs w:val="28"/>
      <w:u w:val="single"/>
    </w:rPr>
  </w:style>
  <w:style w:type="paragraph" w:styleId="Heading2">
    <w:name w:val="heading 2"/>
    <w:basedOn w:val="Normal"/>
    <w:next w:val="Normal"/>
    <w:link w:val="Heading2Char"/>
    <w:uiPriority w:val="9"/>
    <w:semiHidden/>
    <w:unhideWhenUsed/>
    <w:qFormat/>
    <w:rsid w:val="00575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B88"/>
    <w:rPr>
      <w:rFonts w:ascii="Times New Roman" w:hAnsi="Times New Roman" w:cs="Times New Roman"/>
      <w:b/>
      <w:bCs/>
      <w:sz w:val="28"/>
      <w:szCs w:val="28"/>
      <w:u w:val="single"/>
    </w:rPr>
  </w:style>
  <w:style w:type="character" w:customStyle="1" w:styleId="Heading2Char">
    <w:name w:val="Heading 2 Char"/>
    <w:basedOn w:val="DefaultParagraphFont"/>
    <w:link w:val="Heading2"/>
    <w:uiPriority w:val="9"/>
    <w:semiHidden/>
    <w:rsid w:val="00575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ECF"/>
    <w:rPr>
      <w:rFonts w:eastAsiaTheme="majorEastAsia" w:cstheme="majorBidi"/>
      <w:color w:val="272727" w:themeColor="text1" w:themeTint="D8"/>
    </w:rPr>
  </w:style>
  <w:style w:type="paragraph" w:styleId="Title">
    <w:name w:val="Title"/>
    <w:basedOn w:val="Normal"/>
    <w:next w:val="Normal"/>
    <w:link w:val="TitleChar"/>
    <w:uiPriority w:val="10"/>
    <w:qFormat/>
    <w:rsid w:val="00575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ECF"/>
    <w:pPr>
      <w:spacing w:before="160"/>
      <w:jc w:val="center"/>
    </w:pPr>
    <w:rPr>
      <w:i/>
      <w:iCs/>
      <w:color w:val="404040" w:themeColor="text1" w:themeTint="BF"/>
    </w:rPr>
  </w:style>
  <w:style w:type="character" w:customStyle="1" w:styleId="QuoteChar">
    <w:name w:val="Quote Char"/>
    <w:basedOn w:val="DefaultParagraphFont"/>
    <w:link w:val="Quote"/>
    <w:uiPriority w:val="29"/>
    <w:rsid w:val="00575ECF"/>
    <w:rPr>
      <w:i/>
      <w:iCs/>
      <w:color w:val="404040" w:themeColor="text1" w:themeTint="BF"/>
    </w:rPr>
  </w:style>
  <w:style w:type="paragraph" w:styleId="ListParagraph">
    <w:name w:val="List Paragraph"/>
    <w:basedOn w:val="Normal"/>
    <w:uiPriority w:val="34"/>
    <w:qFormat/>
    <w:rsid w:val="00575ECF"/>
    <w:pPr>
      <w:ind w:left="720"/>
      <w:contextualSpacing/>
    </w:pPr>
  </w:style>
  <w:style w:type="character" w:styleId="IntenseEmphasis">
    <w:name w:val="Intense Emphasis"/>
    <w:basedOn w:val="DefaultParagraphFont"/>
    <w:uiPriority w:val="21"/>
    <w:qFormat/>
    <w:rsid w:val="00575ECF"/>
    <w:rPr>
      <w:i/>
      <w:iCs/>
      <w:color w:val="2F5496" w:themeColor="accent1" w:themeShade="BF"/>
    </w:rPr>
  </w:style>
  <w:style w:type="paragraph" w:styleId="IntenseQuote">
    <w:name w:val="Intense Quote"/>
    <w:basedOn w:val="Normal"/>
    <w:next w:val="Normal"/>
    <w:link w:val="IntenseQuoteChar"/>
    <w:uiPriority w:val="30"/>
    <w:qFormat/>
    <w:rsid w:val="00575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ECF"/>
    <w:rPr>
      <w:i/>
      <w:iCs/>
      <w:color w:val="2F5496" w:themeColor="accent1" w:themeShade="BF"/>
    </w:rPr>
  </w:style>
  <w:style w:type="character" w:styleId="IntenseReference">
    <w:name w:val="Intense Reference"/>
    <w:basedOn w:val="DefaultParagraphFont"/>
    <w:uiPriority w:val="32"/>
    <w:qFormat/>
    <w:rsid w:val="00575ECF"/>
    <w:rPr>
      <w:b/>
      <w:bCs/>
      <w:smallCaps/>
      <w:color w:val="2F5496" w:themeColor="accent1" w:themeShade="BF"/>
      <w:spacing w:val="5"/>
    </w:rPr>
  </w:style>
  <w:style w:type="paragraph" w:styleId="Caption">
    <w:name w:val="caption"/>
    <w:basedOn w:val="Normal"/>
    <w:next w:val="Normal"/>
    <w:uiPriority w:val="35"/>
    <w:unhideWhenUsed/>
    <w:qFormat/>
    <w:rsid w:val="00EC5B88"/>
    <w:pPr>
      <w:spacing w:after="200" w:line="240" w:lineRule="auto"/>
      <w:jc w:val="center"/>
    </w:pPr>
    <w:rPr>
      <w:rFonts w:ascii="Times New Roman" w:hAnsi="Times New Roman" w:cs="Times New Roman"/>
      <w:color w:val="000000" w:themeColor="text1"/>
      <w:sz w:val="20"/>
      <w:szCs w:val="20"/>
    </w:rPr>
  </w:style>
  <w:style w:type="paragraph" w:styleId="NormalWeb">
    <w:name w:val="Normal (Web)"/>
    <w:basedOn w:val="Normal"/>
    <w:uiPriority w:val="99"/>
    <w:semiHidden/>
    <w:unhideWhenUsed/>
    <w:rsid w:val="00EC5B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A75A8C"/>
    <w:pPr>
      <w:spacing w:after="0" w:line="240" w:lineRule="auto"/>
    </w:pPr>
  </w:style>
  <w:style w:type="character" w:styleId="Hyperlink">
    <w:name w:val="Hyperlink"/>
    <w:basedOn w:val="DefaultParagraphFont"/>
    <w:uiPriority w:val="99"/>
    <w:unhideWhenUsed/>
    <w:rsid w:val="002C6FDE"/>
    <w:rPr>
      <w:color w:val="0563C1" w:themeColor="hyperlink"/>
      <w:u w:val="single"/>
    </w:rPr>
  </w:style>
  <w:style w:type="character" w:styleId="UnresolvedMention">
    <w:name w:val="Unresolved Mention"/>
    <w:basedOn w:val="DefaultParagraphFont"/>
    <w:uiPriority w:val="99"/>
    <w:semiHidden/>
    <w:unhideWhenUsed/>
    <w:rsid w:val="002C6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www.tradingview.com/news/cointelegraph:8f5370910094b:0-the-mathematics-of-bitcoin-halvings-cracking-the-equations-and-formulas/" TargetMode="External"/><Relationship Id="rId5" Type="http://schemas.openxmlformats.org/officeDocument/2006/relationships/chart" Target="charts/chart1.xml"/><Relationship Id="rId10" Type="http://schemas.openxmlformats.org/officeDocument/2006/relationships/hyperlink" Target="https://www.investopedia.com/terms/1/51-attack.asp" TargetMode="Externa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D:\BlockSim_Project1\Projec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D:\BlockSim_Project1\Project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BlockSim_Project1\Project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1" i="0" u="none" strike="noStrike" kern="1200" spc="0" normalizeH="0" baseline="0">
                <a:solidFill>
                  <a:sysClr val="windowText" lastClr="000000"/>
                </a:solidFill>
                <a:latin typeface="Cambria Math" panose="02040503050406030204" pitchFamily="18" charset="0"/>
                <a:ea typeface="Cambria Math" panose="02040503050406030204" pitchFamily="18" charset="0"/>
                <a:cs typeface="+mj-cs"/>
              </a:defRPr>
            </a:pPr>
            <a:r>
              <a:rPr lang="en-US" b="1"/>
              <a:t>Graph illustrating the relationship between </a:t>
            </a:r>
          </a:p>
          <a:p>
            <a:pPr>
              <a:defRPr b="1"/>
            </a:pPr>
            <a:r>
              <a:rPr lang="en-US" b="1"/>
              <a:t>Miner Count and % of Mined Blocks by Miner 0</a:t>
            </a:r>
          </a:p>
        </c:rich>
      </c:tx>
      <c:overlay val="0"/>
      <c:spPr>
        <a:noFill/>
        <a:ln>
          <a:noFill/>
        </a:ln>
        <a:effectLst/>
      </c:spPr>
      <c:txPr>
        <a:bodyPr rot="0" spcFirstLastPara="1" vertOverflow="ellipsis" vert="horz" wrap="square" anchor="ctr" anchorCtr="1"/>
        <a:lstStyle/>
        <a:p>
          <a:pPr>
            <a:defRPr sz="2000" b="1" i="0" u="none" strike="noStrike" kern="1200" spc="0" normalizeH="0" baseline="0">
              <a:solidFill>
                <a:sysClr val="windowText" lastClr="000000"/>
              </a:solidFill>
              <a:latin typeface="Cambria Math" panose="02040503050406030204" pitchFamily="18" charset="0"/>
              <a:ea typeface="Cambria Math" panose="02040503050406030204" pitchFamily="18" charset="0"/>
              <a:cs typeface="+mj-cs"/>
            </a:defRPr>
          </a:pPr>
          <a:endParaRPr lang="en-US"/>
        </a:p>
      </c:txPr>
    </c:title>
    <c:autoTitleDeleted val="0"/>
    <c:plotArea>
      <c:layout/>
      <c:scatterChart>
        <c:scatterStyle val="lineMarker"/>
        <c:varyColors val="0"/>
        <c:ser>
          <c:idx val="0"/>
          <c:order val="0"/>
          <c:spPr>
            <a:ln w="25400" cap="flat" cmpd="dbl" algn="ctr">
              <a:solidFill>
                <a:schemeClr val="accent1">
                  <a:alpha val="50000"/>
                </a:schemeClr>
              </a:solidFill>
              <a:round/>
            </a:ln>
            <a:effectLst/>
          </c:spPr>
          <c:marker>
            <c:symbol val="circle"/>
            <c:size val="6"/>
            <c:spPr>
              <a:noFill/>
              <a:ln w="34925" cap="flat" cmpd="dbl" algn="ctr">
                <a:solidFill>
                  <a:schemeClr val="accent1">
                    <a:lumMod val="75000"/>
                    <a:alpha val="70000"/>
                  </a:schemeClr>
                </a:solidFill>
                <a:round/>
              </a:ln>
              <a:effectLst/>
            </c:spPr>
          </c:marker>
          <c:dLbls>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Cambria Math" panose="02040503050406030204" pitchFamily="18" charset="0"/>
                    <a:ea typeface="Cambria Math" panose="02040503050406030204" pitchFamily="18" charset="0"/>
                    <a:cs typeface="+mn-cs"/>
                  </a:defRPr>
                </a:pPr>
                <a:endParaRPr lang="en-US"/>
              </a:p>
            </c:txPr>
            <c:dLblPos val="t"/>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'Task 1A'!$A$2:$A$8</c:f>
              <c:numCache>
                <c:formatCode>General</c:formatCode>
                <c:ptCount val="7"/>
                <c:pt idx="0">
                  <c:v>3</c:v>
                </c:pt>
                <c:pt idx="1">
                  <c:v>6</c:v>
                </c:pt>
                <c:pt idx="2">
                  <c:v>9</c:v>
                </c:pt>
                <c:pt idx="3">
                  <c:v>12</c:v>
                </c:pt>
                <c:pt idx="4">
                  <c:v>15</c:v>
                </c:pt>
                <c:pt idx="5">
                  <c:v>18</c:v>
                </c:pt>
                <c:pt idx="6">
                  <c:v>21</c:v>
                </c:pt>
              </c:numCache>
            </c:numRef>
          </c:xVal>
          <c:yVal>
            <c:numRef>
              <c:f>'Task 1A'!$B$2:$B$8</c:f>
              <c:numCache>
                <c:formatCode>General</c:formatCode>
                <c:ptCount val="7"/>
                <c:pt idx="0">
                  <c:v>40</c:v>
                </c:pt>
                <c:pt idx="1">
                  <c:v>18.18</c:v>
                </c:pt>
                <c:pt idx="2">
                  <c:v>23.81</c:v>
                </c:pt>
                <c:pt idx="3">
                  <c:v>20</c:v>
                </c:pt>
                <c:pt idx="4">
                  <c:v>17.649999999999999</c:v>
                </c:pt>
                <c:pt idx="5">
                  <c:v>8.33</c:v>
                </c:pt>
                <c:pt idx="6">
                  <c:v>4.3499999999999996</c:v>
                </c:pt>
              </c:numCache>
            </c:numRef>
          </c:yVal>
          <c:smooth val="0"/>
          <c:extLst>
            <c:ext xmlns:c16="http://schemas.microsoft.com/office/drawing/2014/chart" uri="{C3380CC4-5D6E-409C-BE32-E72D297353CC}">
              <c16:uniqueId val="{00000000-6D8E-4095-A69B-2CD55C531C33}"/>
            </c:ext>
          </c:extLst>
        </c:ser>
        <c:dLbls>
          <c:dLblPos val="t"/>
          <c:showLegendKey val="0"/>
          <c:showVal val="1"/>
          <c:showCatName val="0"/>
          <c:showSerName val="0"/>
          <c:showPercent val="0"/>
          <c:showBubbleSize val="0"/>
        </c:dLbls>
        <c:axId val="2055017008"/>
        <c:axId val="1919441936"/>
      </c:scatterChart>
      <c:valAx>
        <c:axId val="2055017008"/>
        <c:scaling>
          <c:orientation val="minMax"/>
        </c:scaling>
        <c:delete val="0"/>
        <c:axPos val="b"/>
        <c:majorGridlines>
          <c:spPr>
            <a:ln w="9525" cap="flat" cmpd="sng" algn="ctr">
              <a:solidFill>
                <a:schemeClr val="accent1"/>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1" i="0" u="none" strike="noStrike" kern="1200" cap="all" baseline="0">
                    <a:solidFill>
                      <a:sysClr val="windowText" lastClr="000000"/>
                    </a:solidFill>
                    <a:latin typeface="Cambria Math" panose="02040503050406030204" pitchFamily="18" charset="0"/>
                    <a:ea typeface="Cambria Math" panose="02040503050406030204" pitchFamily="18" charset="0"/>
                    <a:cs typeface="+mn-cs"/>
                  </a:defRPr>
                </a:pPr>
                <a:r>
                  <a:rPr lang="en-US" sz="1100" b="1"/>
                  <a:t>miner count</a:t>
                </a:r>
              </a:p>
            </c:rich>
          </c:tx>
          <c:overlay val="0"/>
          <c:spPr>
            <a:noFill/>
            <a:ln>
              <a:noFill/>
            </a:ln>
            <a:effectLst/>
          </c:spPr>
          <c:txPr>
            <a:bodyPr rot="0" spcFirstLastPara="1" vertOverflow="ellipsis" vert="horz" wrap="square" anchor="ctr" anchorCtr="1"/>
            <a:lstStyle/>
            <a:p>
              <a:pPr>
                <a:defRPr sz="1100" b="1" i="0" u="none" strike="noStrike" kern="1200" cap="all" baseline="0">
                  <a:solidFill>
                    <a:sysClr val="windowText" lastClr="000000"/>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cap="none" spc="0" normalizeH="0" baseline="0">
                <a:solidFill>
                  <a:sysClr val="windowText" lastClr="000000"/>
                </a:solidFill>
                <a:latin typeface="Cambria Math" panose="02040503050406030204" pitchFamily="18" charset="0"/>
                <a:ea typeface="Cambria Math" panose="02040503050406030204" pitchFamily="18" charset="0"/>
                <a:cs typeface="+mn-cs"/>
              </a:defRPr>
            </a:pPr>
            <a:endParaRPr lang="en-US"/>
          </a:p>
        </c:txPr>
        <c:crossAx val="1919441936"/>
        <c:crosses val="autoZero"/>
        <c:crossBetween val="midCat"/>
      </c:valAx>
      <c:valAx>
        <c:axId val="1919441936"/>
        <c:scaling>
          <c:orientation val="minMax"/>
        </c:scaling>
        <c:delete val="0"/>
        <c:axPos val="l"/>
        <c:majorGridlines>
          <c:spPr>
            <a:ln w="9525" cap="flat" cmpd="sng" algn="ctr">
              <a:solidFill>
                <a:schemeClr val="accent1"/>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1" i="0" u="none" strike="noStrike" kern="1200" cap="all" baseline="0">
                    <a:solidFill>
                      <a:sysClr val="windowText" lastClr="000000"/>
                    </a:solidFill>
                    <a:latin typeface="Cambria Math" panose="02040503050406030204" pitchFamily="18" charset="0"/>
                    <a:ea typeface="Cambria Math" panose="02040503050406030204" pitchFamily="18" charset="0"/>
                    <a:cs typeface="+mn-cs"/>
                  </a:defRPr>
                </a:pPr>
                <a:r>
                  <a:rPr lang="en-US" sz="1100" b="1"/>
                  <a:t>percentage of mined blocks by miner 0</a:t>
                </a:r>
              </a:p>
            </c:rich>
          </c:tx>
          <c:overlay val="0"/>
          <c:spPr>
            <a:noFill/>
            <a:ln>
              <a:noFill/>
            </a:ln>
            <a:effectLst/>
          </c:spPr>
          <c:txPr>
            <a:bodyPr rot="-5400000" spcFirstLastPara="1" vertOverflow="ellipsis" vert="horz" wrap="square" anchor="ctr" anchorCtr="1"/>
            <a:lstStyle/>
            <a:p>
              <a:pPr>
                <a:defRPr sz="1100" b="1" i="0" u="none" strike="noStrike" kern="1200" cap="all" baseline="0">
                  <a:solidFill>
                    <a:sysClr val="windowText" lastClr="000000"/>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Cambria Math" panose="02040503050406030204" pitchFamily="18" charset="0"/>
                <a:ea typeface="Cambria Math" panose="02040503050406030204" pitchFamily="18" charset="0"/>
                <a:cs typeface="+mn-cs"/>
              </a:defRPr>
            </a:pPr>
            <a:endParaRPr lang="en-US"/>
          </a:p>
        </c:txPr>
        <c:crossAx val="20550170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Cambria Math" panose="02040503050406030204" pitchFamily="18" charset="0"/>
          <a:ea typeface="Cambria Math" panose="020405030504060302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en-US"/>
              <a:t>Graph illustrating the relationship between </a:t>
            </a:r>
          </a:p>
          <a:p>
            <a:pPr>
              <a:defRPr/>
            </a:pPr>
            <a:r>
              <a:rPr lang="en-US"/>
              <a:t>Block Interval (Binterval) and Stale Rate</a:t>
            </a:r>
          </a:p>
        </c:rich>
      </c:tx>
      <c:overlay val="0"/>
      <c:spPr>
        <a:noFill/>
        <a:ln>
          <a:noFill/>
        </a:ln>
        <a:effectLst/>
      </c:spPr>
    </c:title>
    <c:autoTitleDeleted val="0"/>
    <c:plotArea>
      <c:layout/>
      <c:scatterChart>
        <c:scatterStyle val="lineMarker"/>
        <c:varyColors val="0"/>
        <c:ser>
          <c:idx val="0"/>
          <c:order val="0"/>
          <c:spPr>
            <a:ln w="25400" cap="flat" cmpd="dbl" algn="ctr">
              <a:solidFill>
                <a:schemeClr val="accent1">
                  <a:alpha val="50000"/>
                </a:schemeClr>
              </a:solidFill>
              <a:round/>
            </a:ln>
            <a:effectLst/>
          </c:spPr>
          <c:marker>
            <c:symbol val="circle"/>
            <c:size val="6"/>
            <c:spPr>
              <a:noFill/>
              <a:ln w="34925" cap="flat" cmpd="dbl" algn="ctr">
                <a:solidFill>
                  <a:schemeClr val="accent1">
                    <a:lumMod val="75000"/>
                    <a:alpha val="70000"/>
                  </a:schemeClr>
                </a:solidFill>
                <a:round/>
              </a:ln>
              <a:effectLst/>
            </c:spPr>
          </c:marker>
          <c:dLbls>
            <c:spPr>
              <a:noFill/>
              <a:ln>
                <a:noFill/>
              </a:ln>
              <a:effectLst/>
            </c:spPr>
            <c:txPr>
              <a:bodyPr rot="0" vert="horz"/>
              <a:lstStyle/>
              <a:p>
                <a:pPr>
                  <a:defRPr sz="1100" b="1"/>
                </a:pPr>
                <a:endParaRPr lang="en-US"/>
              </a:p>
            </c:txPr>
            <c:dLblPos val="t"/>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'Task 2A'!$A$2:$A$7</c:f>
              <c:numCache>
                <c:formatCode>General</c:formatCode>
                <c:ptCount val="6"/>
                <c:pt idx="0">
                  <c:v>10</c:v>
                </c:pt>
                <c:pt idx="1">
                  <c:v>20</c:v>
                </c:pt>
                <c:pt idx="2">
                  <c:v>40</c:v>
                </c:pt>
                <c:pt idx="3">
                  <c:v>80</c:v>
                </c:pt>
                <c:pt idx="4">
                  <c:v>160</c:v>
                </c:pt>
                <c:pt idx="5">
                  <c:v>320</c:v>
                </c:pt>
              </c:numCache>
            </c:numRef>
          </c:xVal>
          <c:yVal>
            <c:numRef>
              <c:f>'Task 2A'!$B$2:$B$7</c:f>
              <c:numCache>
                <c:formatCode>General</c:formatCode>
                <c:ptCount val="6"/>
                <c:pt idx="0">
                  <c:v>2.2200000000000002</c:v>
                </c:pt>
                <c:pt idx="1">
                  <c:v>1.03</c:v>
                </c:pt>
                <c:pt idx="2">
                  <c:v>0</c:v>
                </c:pt>
                <c:pt idx="3">
                  <c:v>0</c:v>
                </c:pt>
                <c:pt idx="4">
                  <c:v>0</c:v>
                </c:pt>
                <c:pt idx="5">
                  <c:v>0</c:v>
                </c:pt>
              </c:numCache>
            </c:numRef>
          </c:yVal>
          <c:smooth val="0"/>
          <c:extLst>
            <c:ext xmlns:c16="http://schemas.microsoft.com/office/drawing/2014/chart" uri="{C3380CC4-5D6E-409C-BE32-E72D297353CC}">
              <c16:uniqueId val="{00000000-64CA-48FF-9648-0CDCF8D3889E}"/>
            </c:ext>
          </c:extLst>
        </c:ser>
        <c:dLbls>
          <c:dLblPos val="t"/>
          <c:showLegendKey val="0"/>
          <c:showVal val="1"/>
          <c:showCatName val="0"/>
          <c:showSerName val="0"/>
          <c:showPercent val="0"/>
          <c:showBubbleSize val="0"/>
        </c:dLbls>
        <c:axId val="2055017008"/>
        <c:axId val="1919441936"/>
      </c:scatterChart>
      <c:valAx>
        <c:axId val="2055017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vert="horz"/>
              <a:lstStyle/>
              <a:p>
                <a:pPr>
                  <a:defRPr sz="1100"/>
                </a:pPr>
                <a:r>
                  <a:rPr lang="en-US" sz="1100"/>
                  <a:t>BLOCK INTERVAL (BINTERVAL) (SECONDS)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100" b="1"/>
            </a:pPr>
            <a:endParaRPr lang="en-US"/>
          </a:p>
        </c:txPr>
        <c:crossAx val="1919441936"/>
        <c:crosses val="autoZero"/>
        <c:crossBetween val="midCat"/>
      </c:valAx>
      <c:valAx>
        <c:axId val="191944193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vert="horz"/>
              <a:lstStyle/>
              <a:p>
                <a:pPr>
                  <a:defRPr sz="1100"/>
                </a:pPr>
                <a:r>
                  <a:rPr lang="en-US" sz="1100"/>
                  <a:t>STALE RATE</a:t>
                </a:r>
              </a:p>
            </c:rich>
          </c:tx>
          <c:overlay val="0"/>
          <c:spPr>
            <a:noFill/>
            <a:ln>
              <a:noFill/>
            </a:ln>
            <a:effectLst/>
          </c:spPr>
        </c:title>
        <c:numFmt formatCode="General" sourceLinked="1"/>
        <c:majorTickMark val="none"/>
        <c:minorTickMark val="none"/>
        <c:tickLblPos val="nextTo"/>
        <c:spPr>
          <a:noFill/>
          <a:ln>
            <a:noFill/>
          </a:ln>
          <a:effectLst/>
        </c:spPr>
        <c:txPr>
          <a:bodyPr rot="-60000000" vert="horz"/>
          <a:lstStyle/>
          <a:p>
            <a:pPr>
              <a:defRPr sz="1100" b="1"/>
            </a:pPr>
            <a:endParaRPr lang="en-US"/>
          </a:p>
        </c:txPr>
        <c:crossAx val="2055017008"/>
        <c:crosses val="autoZero"/>
        <c:crossBetween val="midCat"/>
      </c:valAx>
      <c:spPr>
        <a:ln>
          <a:solidFill>
            <a:schemeClr val="accent1"/>
          </a:solidFill>
        </a:ln>
      </c:spPr>
    </c:plotArea>
    <c:plotVisOnly val="1"/>
    <c:dispBlanksAs val="gap"/>
    <c:showDLblsOverMax val="0"/>
  </c:chart>
  <c:txPr>
    <a:bodyPr/>
    <a:lstStyle/>
    <a:p>
      <a:pPr>
        <a:defRPr>
          <a:solidFill>
            <a:sysClr val="windowText" lastClr="000000"/>
          </a:solidFill>
          <a:latin typeface="Cambria Math" panose="02040503050406030204" pitchFamily="18" charset="0"/>
          <a:ea typeface="Cambria Math" panose="020405030504060302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en-US"/>
              <a:t>Graph illustrating the relationship between </a:t>
            </a:r>
          </a:p>
          <a:p>
            <a:pPr>
              <a:defRPr/>
            </a:pPr>
            <a:r>
              <a:rPr lang="en-US"/>
              <a:t>Halving Interval and Profit of Miner 0 (in ETH) </a:t>
            </a:r>
          </a:p>
        </c:rich>
      </c:tx>
      <c:overlay val="0"/>
      <c:spPr>
        <a:noFill/>
        <a:ln>
          <a:noFill/>
        </a:ln>
        <a:effectLst/>
      </c:spPr>
    </c:title>
    <c:autoTitleDeleted val="0"/>
    <c:plotArea>
      <c:layout/>
      <c:scatterChart>
        <c:scatterStyle val="lineMarker"/>
        <c:varyColors val="0"/>
        <c:ser>
          <c:idx val="0"/>
          <c:order val="0"/>
          <c:spPr>
            <a:ln w="25400" cap="flat" cmpd="dbl" algn="ctr">
              <a:solidFill>
                <a:schemeClr val="accent1">
                  <a:alpha val="50000"/>
                </a:schemeClr>
              </a:solidFill>
              <a:round/>
            </a:ln>
            <a:effectLst/>
          </c:spPr>
          <c:marker>
            <c:symbol val="circle"/>
            <c:size val="6"/>
            <c:spPr>
              <a:noFill/>
              <a:ln w="34925" cap="flat" cmpd="dbl" algn="ctr">
                <a:solidFill>
                  <a:schemeClr val="accent1">
                    <a:lumMod val="75000"/>
                    <a:alpha val="70000"/>
                  </a:schemeClr>
                </a:solidFill>
                <a:round/>
              </a:ln>
              <a:effectLst/>
            </c:spPr>
          </c:marker>
          <c:dLbls>
            <c:spPr>
              <a:noFill/>
              <a:ln>
                <a:noFill/>
              </a:ln>
              <a:effectLst/>
            </c:spPr>
            <c:txPr>
              <a:bodyPr rot="0" vert="horz"/>
              <a:lstStyle/>
              <a:p>
                <a:pPr>
                  <a:defRPr sz="1100" b="1"/>
                </a:pPr>
                <a:endParaRPr lang="en-US"/>
              </a:p>
            </c:txPr>
            <c:dLblPos val="t"/>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'Task 4A'!$A$2:$A$5</c:f>
              <c:numCache>
                <c:formatCode>General</c:formatCode>
                <c:ptCount val="4"/>
                <c:pt idx="0">
                  <c:v>20</c:v>
                </c:pt>
                <c:pt idx="1">
                  <c:v>40</c:v>
                </c:pt>
                <c:pt idx="2">
                  <c:v>60</c:v>
                </c:pt>
                <c:pt idx="3">
                  <c:v>80</c:v>
                </c:pt>
              </c:numCache>
            </c:numRef>
          </c:xVal>
          <c:yVal>
            <c:numRef>
              <c:f>'Task 4A'!$B$2:$B$5</c:f>
              <c:numCache>
                <c:formatCode>General</c:formatCode>
                <c:ptCount val="4"/>
                <c:pt idx="0">
                  <c:v>127.1222609</c:v>
                </c:pt>
                <c:pt idx="1">
                  <c:v>190.16676000000001</c:v>
                </c:pt>
                <c:pt idx="2">
                  <c:v>177.45935370000001</c:v>
                </c:pt>
                <c:pt idx="3">
                  <c:v>215.5107271</c:v>
                </c:pt>
              </c:numCache>
            </c:numRef>
          </c:yVal>
          <c:smooth val="0"/>
          <c:extLst>
            <c:ext xmlns:c16="http://schemas.microsoft.com/office/drawing/2014/chart" uri="{C3380CC4-5D6E-409C-BE32-E72D297353CC}">
              <c16:uniqueId val="{00000000-F21E-4E6B-89B9-328DD62F8274}"/>
            </c:ext>
          </c:extLst>
        </c:ser>
        <c:dLbls>
          <c:dLblPos val="t"/>
          <c:showLegendKey val="0"/>
          <c:showVal val="1"/>
          <c:showCatName val="0"/>
          <c:showSerName val="0"/>
          <c:showPercent val="0"/>
          <c:showBubbleSize val="0"/>
        </c:dLbls>
        <c:axId val="2055017008"/>
        <c:axId val="1919441936"/>
      </c:scatterChart>
      <c:valAx>
        <c:axId val="2055017008"/>
        <c:scaling>
          <c:orientation val="minMax"/>
        </c:scaling>
        <c:delete val="0"/>
        <c:axPos val="b"/>
        <c:majorGridlines>
          <c:spPr>
            <a:ln w="9525" cap="flat" cmpd="sng" algn="ctr">
              <a:solidFill>
                <a:schemeClr val="accent5"/>
              </a:solidFill>
              <a:round/>
            </a:ln>
            <a:effectLst/>
          </c:spPr>
        </c:majorGridlines>
        <c:minorGridlines>
          <c:spPr>
            <a:ln w="9525" cap="flat" cmpd="sng" algn="ctr">
              <a:solidFill>
                <a:schemeClr val="tx1">
                  <a:lumMod val="5000"/>
                  <a:lumOff val="95000"/>
                </a:schemeClr>
              </a:solidFill>
              <a:round/>
            </a:ln>
            <a:effectLst/>
          </c:spPr>
        </c:minorGridlines>
        <c:title>
          <c:tx>
            <c:rich>
              <a:bodyPr rot="0" vert="horz"/>
              <a:lstStyle/>
              <a:p>
                <a:pPr>
                  <a:defRPr sz="1100"/>
                </a:pPr>
                <a:r>
                  <a:rPr lang="en-US" sz="1100"/>
                  <a:t>HALVING INTERVAL</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100" b="1"/>
            </a:pPr>
            <a:endParaRPr lang="en-US"/>
          </a:p>
        </c:txPr>
        <c:crossAx val="1919441936"/>
        <c:crosses val="autoZero"/>
        <c:crossBetween val="midCat"/>
      </c:valAx>
      <c:valAx>
        <c:axId val="1919441936"/>
        <c:scaling>
          <c:orientation val="minMax"/>
        </c:scaling>
        <c:delete val="0"/>
        <c:axPos val="l"/>
        <c:majorGridlines>
          <c:spPr>
            <a:ln w="9525" cap="flat" cmpd="sng" algn="ctr">
              <a:solidFill>
                <a:schemeClr val="accent5"/>
              </a:solidFill>
              <a:round/>
            </a:ln>
            <a:effectLst/>
          </c:spPr>
        </c:majorGridlines>
        <c:minorGridlines>
          <c:spPr>
            <a:ln w="9525" cap="flat" cmpd="sng" algn="ctr">
              <a:solidFill>
                <a:schemeClr val="tx1">
                  <a:lumMod val="5000"/>
                  <a:lumOff val="95000"/>
                </a:schemeClr>
              </a:solidFill>
              <a:round/>
            </a:ln>
            <a:effectLst/>
          </c:spPr>
        </c:minorGridlines>
        <c:title>
          <c:tx>
            <c:rich>
              <a:bodyPr rot="-5400000" vert="horz"/>
              <a:lstStyle/>
              <a:p>
                <a:pPr>
                  <a:defRPr sz="1100"/>
                </a:pPr>
                <a:r>
                  <a:rPr lang="en-US" sz="1100"/>
                  <a:t>PROFIT OF MINER 0 (in ETH)</a:t>
                </a:r>
              </a:p>
            </c:rich>
          </c:tx>
          <c:overlay val="0"/>
          <c:spPr>
            <a:noFill/>
            <a:ln>
              <a:noFill/>
            </a:ln>
            <a:effectLst/>
          </c:spPr>
        </c:title>
        <c:numFmt formatCode="General" sourceLinked="1"/>
        <c:majorTickMark val="none"/>
        <c:minorTickMark val="none"/>
        <c:tickLblPos val="nextTo"/>
        <c:spPr>
          <a:noFill/>
          <a:ln>
            <a:noFill/>
          </a:ln>
          <a:effectLst/>
        </c:spPr>
        <c:txPr>
          <a:bodyPr rot="-60000000" vert="horz"/>
          <a:lstStyle/>
          <a:p>
            <a:pPr>
              <a:defRPr sz="1100" b="1"/>
            </a:pPr>
            <a:endParaRPr lang="en-US"/>
          </a:p>
        </c:txPr>
        <c:crossAx val="2055017008"/>
        <c:crosses val="autoZero"/>
        <c:crossBetween val="midCat"/>
      </c:valAx>
      <c:spPr>
        <a:ln>
          <a:solidFill>
            <a:schemeClr val="accent5"/>
          </a:solidFill>
        </a:ln>
      </c:spPr>
    </c:plotArea>
    <c:plotVisOnly val="1"/>
    <c:dispBlanksAs val="gap"/>
    <c:showDLblsOverMax val="0"/>
  </c:chart>
  <c:txPr>
    <a:bodyPr/>
    <a:lstStyle/>
    <a:p>
      <a:pPr>
        <a:defRPr>
          <a:solidFill>
            <a:sysClr val="windowText" lastClr="000000"/>
          </a:solidFill>
          <a:latin typeface="Cambria Math" panose="02040503050406030204" pitchFamily="18" charset="0"/>
          <a:ea typeface="Cambria Math" panose="02040503050406030204" pitchFamily="18" charset="0"/>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tx1">
        <a:lumMod val="65000"/>
        <a:lumOff val="35000"/>
      </a:schemeClr>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5400" cap="flat" cmpd="dbl" algn="ctr">
        <a:solidFill>
          <a:schemeClr val="phClr">
            <a:alpha val="50000"/>
          </a:schemeClr>
        </a:solidFill>
        <a:round/>
      </a:ln>
    </cs:spPr>
  </cs:dataPointLine>
  <cs:dataPointMarker>
    <cs:lnRef idx="0">
      <cs:styleClr val="auto"/>
    </cs:lnRef>
    <cs:fillRef idx="0">
      <cs:styleClr val="auto"/>
    </cs:fillRef>
    <cs:effectRef idx="0"/>
    <cs:fontRef idx="minor">
      <a:schemeClr val="dk1"/>
    </cs:fontRef>
    <cs:spPr>
      <a:ln w="34925" cap="flat" cmpd="dbl" algn="ctr">
        <a:solidFill>
          <a:schemeClr val="phClr">
            <a:lumMod val="75000"/>
            <a:alpha val="70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kern="1200" spc="0" normalizeH="0" baseline="0"/>
  </cs:title>
  <cs:trendline>
    <cs:lnRef idx="0">
      <cs:styleClr val="0"/>
    </cs:lnRef>
    <cs:fillRef idx="0"/>
    <cs:effectRef idx="0"/>
    <cs:fontRef idx="minor">
      <a:schemeClr val="tx1"/>
    </cs:fontRef>
    <cs:spPr>
      <a:ln w="38100" cap="rnd" cmpd="sng" algn="ctr">
        <a:solidFill>
          <a:schemeClr val="phClr">
            <a:lumMod val="75000"/>
            <a:alpha val="25000"/>
          </a:scheme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b="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Sukumar Saha</dc:creator>
  <cp:keywords/>
  <dc:description/>
  <cp:lastModifiedBy>Sukumar Saha</cp:lastModifiedBy>
  <cp:revision>3</cp:revision>
  <dcterms:created xsi:type="dcterms:W3CDTF">2026-08-11T14:48:00Z</dcterms:created>
  <dcterms:modified xsi:type="dcterms:W3CDTF">2026-08-11T17:10:00Z</dcterms:modified>
</cp:coreProperties>
</file>