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微软雅黑" w:hAnsi="微软雅黑" w:eastAsia="微软雅黑" w:cs="微软雅黑"/>
          <w:b/>
          <w:i w:val="0"/>
          <w:color w:val="1F4E79"/>
          <w:sz w:val="44"/>
        </w:rPr>
        <w:t>美国车险剩余市场</w:t>
      </w:r>
    </w:p>
    <w:p>
      <w:pPr>
        <w:spacing w:before="0" w:after="120" w:line="252" w:lineRule="auto"/>
      </w:pPr>
      <w:r>
        <w:rPr>
          <w:rFonts w:ascii="微软雅黑" w:hAnsi="微软雅黑" w:eastAsia="微软雅黑" w:cs="微软雅黑"/>
          <w:b/>
          <w:i w:val="0"/>
          <w:color w:val="1F4E79"/>
          <w:sz w:val="44"/>
        </w:rPr>
        <w:t>车辆数量占比</w:t>
      </w:r>
    </w:p>
    <w:p>
      <w:pPr>
        <w:spacing w:before="40" w:after="40" w:line="264" w:lineRule="auto"/>
      </w:pPr>
      <w:r>
        <w:rPr>
          <w:rFonts w:ascii="微软雅黑" w:hAnsi="微软雅黑" w:eastAsia="微软雅黑" w:cs="微软雅黑"/>
          <w:b w:val="0"/>
          <w:i w:val="0"/>
          <w:color w:val="555E68"/>
          <w:sz w:val="24"/>
        </w:rPr>
        <w:t>公开来源对照说明</w:t>
      </w:r>
    </w:p>
    <w:p>
      <w:pPr>
        <w:spacing w:before="0" w:after="160" w:line="264" w:lineRule="auto"/>
      </w:pPr>
      <w:r>
        <w:rPr>
          <w:rFonts w:ascii="微软雅黑" w:hAnsi="微软雅黑" w:eastAsia="微软雅黑" w:cs="微软雅黑"/>
          <w:b w:val="0"/>
          <w:i w:val="0"/>
          <w:color w:val="555E68"/>
          <w:sz w:val="20"/>
        </w:rPr>
        <w:t>整理日期：2026年10月25日（北京时间）</w:t>
      </w:r>
    </w:p>
    <w:tbl>
      <w:tblPr>
        <w:tblW w:type="dxa" w:w="9355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7F4EC"/>
            <w:tcBorders>
              <w:top w:val="single" w:sz="4" w:space="0" w:color="E4D7B8"/>
              <w:left w:val="single" w:sz="4" w:space="0" w:color="E4D7B8"/>
              <w:bottom w:val="single" w:sz="4" w:space="0" w:color="E4D7B8"/>
              <w:right w:val="single" w:sz="4" w:space="0" w:color="E4D7B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5C4A2A"/>
                <w:sz w:val="20"/>
              </w:rPr>
              <w:t>结论先说：美国私家车进入剩余市场的车辆占比，全国大约是 1% 上下。最近一份直接按投保车辆数公布的全国数字是 2009 年的 0.93%。2023 年能公开核对的最新全国数字是保费占比 0.62%，不是车辆数。</w:t>
            </w:r>
          </w:p>
        </w:tc>
      </w:tr>
    </w:tbl>
    <w:p>
      <w:pPr>
        <w:spacing w:before="0" w:after="80" w:line="240" w:lineRule="auto"/>
      </w:pP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一、这里说的剩余市场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剩余市场指自愿市场不承接之后，由指定风险计划、再保险设施或州立最后承保人承保的业务。下文的“占比”是已经留在剩余市场里的存量份额，不是某一年新流入的比例。私家车和商业车要分开看：全国公开序列主要统计私家车；商业车、出租车的剩余市场占比通常高得多，但车辆绝对数小。</w:t>
      </w: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二、全国：车辆数曾经降到 1% 以内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Automobile Insurance Plans Service Office（AIPSO）是美国汽车剩余市场的行业统计机构。保险信息协会（III）和 Milliman 转述过它的车辆数或司机数占比。近十年公开更新更多的是保费占比。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1814"/>
        <w:gridCol w:w="3685"/>
      </w:tblGrid>
      <w:tr>
        <w:trPr>
          <w:cantSplit/>
        </w:trPr>
        <w:tc>
          <w:tcPr>
            <w:tcW w:type="dxa" w:w="1247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年份</w:t>
            </w:r>
          </w:p>
        </w:tc>
        <w:tc>
          <w:tcPr>
            <w:tcW w:type="dxa" w:w="2608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口径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占比</w:t>
            </w:r>
          </w:p>
        </w:tc>
        <w:tc>
          <w:tcPr>
            <w:tcW w:type="dxa" w:w="3685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来源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1990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剩余市场占全部市场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6.3%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AIPSO，经 III 转述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1994</w:t>
            </w:r>
          </w:p>
        </w:tc>
        <w:tc>
          <w:tcPr>
            <w:tcW w:type="dxa" w:w="260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剩余市场承保的司机</w:t>
            </w:r>
          </w:p>
        </w:tc>
        <w:tc>
          <w:tcPr>
            <w:tcW w:type="dxa" w:w="1814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约 4%</w:t>
            </w:r>
          </w:p>
        </w:tc>
        <w:tc>
          <w:tcPr>
            <w:tcW w:type="dxa" w:w="3685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Milliman 引 Cummins（2002）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2004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约 266 万辆车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约 1.5%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AIPSO，经 III 转述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2007</w:t>
            </w:r>
          </w:p>
        </w:tc>
        <w:tc>
          <w:tcPr>
            <w:tcW w:type="dxa" w:w="260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全部司机</w:t>
            </w:r>
          </w:p>
        </w:tc>
        <w:tc>
          <w:tcPr>
            <w:tcW w:type="dxa" w:w="1814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低于 1.6%</w:t>
            </w:r>
          </w:p>
        </w:tc>
        <w:tc>
          <w:tcPr>
            <w:tcW w:type="dxa" w:w="3685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Milliman 引 Gardner &amp;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Marlett（2007）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2009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非自愿市场占投保车辆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0.93%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AIPSO；III 2012 年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北卡说明会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2021</w:t>
            </w:r>
          </w:p>
        </w:tc>
        <w:tc>
          <w:tcPr>
            <w:tcW w:type="dxa" w:w="260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剩余市场保费 ÷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私家车总保费</w:t>
            </w:r>
          </w:p>
        </w:tc>
        <w:tc>
          <w:tcPr>
            <w:tcW w:type="dxa" w:w="1814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约 0.46%</w:t>
            </w:r>
          </w:p>
        </w:tc>
        <w:tc>
          <w:tcPr>
            <w:tcW w:type="dxa" w:w="3685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AIPSO 分州保费，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按 Milliman 表加总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2023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私人车险剩余市场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保费占比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0.62%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AIPSO；R Street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2024 年监管报告</w:t>
            </w:r>
          </w:p>
        </w:tc>
      </w:tr>
    </w:tbl>
    <w:p>
      <w:pPr>
        <w:spacing w:before="16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2009 年那张表的标题是 Share of Insured Vehicles（投保车辆份额）。当时北卡 19.80%，马萨诸塞 2.60%，马里兰 1.84%，罗德岛 1.20%，纽约 0.97%，全国 0.93%。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2023 年的 0.62% 是保费占比。剩余市场单车保费通常更高，所以车辆数占比一般会低于保费占比。北卡有大量清洁风险按与自愿市场相同的手册费率分出，这些车的车辆占比和保费占比比较接近。合在一起看，全国车辆占比目前仍是 1% 这一量级。</w:t>
      </w:r>
    </w:p>
    <w:tbl>
      <w:tblPr>
        <w:tblW w:type="dxa" w:w="9355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7F4EC"/>
            <w:tcBorders>
              <w:top w:val="single" w:sz="4" w:space="0" w:color="E4D7B8"/>
              <w:left w:val="single" w:sz="4" w:space="0" w:color="E4D7B8"/>
              <w:bottom w:val="single" w:sz="4" w:space="0" w:color="E4D7B8"/>
              <w:right w:val="single" w:sz="4" w:space="0" w:color="E4D7B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5C4A2A"/>
                <w:sz w:val="20"/>
              </w:rPr>
              <w:t>2021 年的 0.46% 是把 Milliman 报告中 AIPSO 分州剩余市场保费，除以该报告列出的各州私家车直接保费后加总。表内显示为 0.00% 的州按零计入，所以这是约数。分子大约 11.9 亿美元，分母大约 2,570 亿美元。</w:t>
            </w:r>
          </w:p>
        </w:tc>
      </w:tr>
    </w:tbl>
    <w:p>
      <w:pPr>
        <w:spacing w:before="0" w:after="80" w:line="240" w:lineRule="auto"/>
      </w:pP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三、车辆几乎集中在北卡罗来纳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按上面的 2021 年加总，全国剩余市场保费大约 11.9 亿美元，其中北卡 9.87 亿美元，约占 83%。北卡自己占该州私家车总保费的 13.92%（2021 年，Milliman / AIPSO）和 13.9%（2023 年，R Street / AIPSO）。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北卡再保险设施（North Carolina Reinsurance Facility，NCRF）公布的是责任险保费份额。设施只接受责任险分保，车损不能分出，所以“责任险保费大约四分之一”会高于“全部车险保费大约 14%”。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07"/>
      </w:tblGrid>
      <w:tr>
        <w:trPr>
          <w:cantSplit/>
        </w:trPr>
        <w:tc>
          <w:tcPr>
            <w:tcW w:type="dxa" w:w="2948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时点</w:t>
            </w:r>
          </w:p>
        </w:tc>
        <w:tc>
          <w:tcPr>
            <w:tcW w:type="dxa" w:w="6406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NCRF 公布的份额或规模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2023 年末</w:t>
            </w:r>
          </w:p>
        </w:tc>
        <w:tc>
          <w:tcPr>
            <w:tcW w:type="dxa" w:w="6406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分出的汽车责任险保费占全州 26.9%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2024 年</w:t>
            </w:r>
          </w:p>
        </w:tc>
        <w:tc>
          <w:tcPr>
            <w:tcW w:type="dxa" w:w="6406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责任险保费份额 28.6%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2025 年</w:t>
            </w:r>
          </w:p>
        </w:tc>
        <w:tc>
          <w:tcPr>
            <w:tcW w:type="dxa" w:w="6406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年报仍写“大约四分之一”，图上标注 26.0%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2023 财年末保单</w:t>
            </w:r>
          </w:p>
        </w:tc>
        <w:tc>
          <w:tcPr>
            <w:tcW w:type="dxa" w:w="6406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私家车约 135.1 万张，商业车约 2.5 万张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2024 年 11 月</w:t>
            </w:r>
          </w:p>
        </w:tc>
        <w:tc>
          <w:tcPr>
            <w:tcW w:type="dxa" w:w="6406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总保单超过 150 万张，其后下降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2026 年 6 月前后</w:t>
            </w:r>
          </w:p>
        </w:tc>
        <w:tc>
          <w:tcPr>
            <w:tcW w:type="dxa" w:w="6406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总保单大约 120 万张（2026 年年报）</w:t>
            </w:r>
          </w:p>
        </w:tc>
      </w:tr>
    </w:tbl>
    <w:p>
      <w:pPr>
        <w:spacing w:before="16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保单数不等于车辆数，一张保单可以有多辆车。NCRF 在州议会证词里说明，设施内部有分出车辆（exposures）数据，但年报对外公布的是保单数和保费份额。2023 年证词还写到：分出车辆里大约 78% 在清洁风险保单上，大约 22% 在其他风险保单上。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NAIC 的统计把北卡分保记在自愿市场里。因此不能用 NAIC 剩余市场车年直接当作全国车辆占比。北卡 2022 年人身伤害责任险已赚车年是 8,630,717，这些车年全部记在自愿市场表内。</w:t>
      </w: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四、其他州的车辆年占比很低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NAIC《2022/2023 Auto Insurance Database》用已赚车年统计 2022 年人身伤害责任险。一辆车保满一年计 1 个车年。全国合计 198,735,582 车年，其中单独记在剩余市场的只有 92,117 车年，占 0.046%。这个数不含北卡。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041"/>
        <w:gridCol w:w="2268"/>
        <w:gridCol w:w="1984"/>
      </w:tblGrid>
      <w:tr>
        <w:trPr>
          <w:cantSplit/>
        </w:trPr>
        <w:tc>
          <w:tcPr>
            <w:tcW w:type="dxa" w:w="3061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地区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剩余市场车年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全部车年</w:t>
            </w:r>
          </w:p>
        </w:tc>
        <w:tc>
          <w:tcPr>
            <w:tcW w:type="dxa" w:w="1984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全国（不含北卡分保）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92,117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198,735,582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0.046%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罗德岛</w:t>
            </w:r>
          </w:p>
        </w:tc>
        <w:tc>
          <w:tcPr>
            <w:tcW w:type="dxa" w:w="2041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5,417</w:t>
            </w:r>
          </w:p>
        </w:tc>
        <w:tc>
          <w:tcPr>
            <w:tcW w:type="dxa" w:w="226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648,409</w:t>
            </w:r>
          </w:p>
        </w:tc>
        <w:tc>
          <w:tcPr>
            <w:tcW w:type="dxa" w:w="1984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0.84%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马里兰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22,386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4,169,400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0.54%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马萨诸塞</w:t>
            </w:r>
          </w:p>
        </w:tc>
        <w:tc>
          <w:tcPr>
            <w:tcW w:type="dxa" w:w="2041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17,765</w:t>
            </w:r>
          </w:p>
        </w:tc>
        <w:tc>
          <w:tcPr>
            <w:tcW w:type="dxa" w:w="226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4,472,341</w:t>
            </w:r>
          </w:p>
        </w:tc>
        <w:tc>
          <w:tcPr>
            <w:tcW w:type="dxa" w:w="1984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0.40%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纽约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20,129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8,706,314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0.23%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加州</w:t>
            </w:r>
          </w:p>
        </w:tc>
        <w:tc>
          <w:tcPr>
            <w:tcW w:type="dxa" w:w="2041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22,014</w:t>
            </w:r>
          </w:p>
        </w:tc>
        <w:tc>
          <w:tcPr>
            <w:tcW w:type="dxa" w:w="226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28,111,392</w:t>
            </w:r>
          </w:p>
        </w:tc>
        <w:tc>
          <w:tcPr>
            <w:tcW w:type="dxa" w:w="1984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0.078%</w:t>
            </w:r>
          </w:p>
        </w:tc>
      </w:tr>
    </w:tbl>
    <w:p>
      <w:pPr>
        <w:spacing w:before="160" w:after="8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马萨诸塞州 CAR 有更新的市场份额。</w:t>
      </w:r>
      <w:r>
        <w:rPr>
          <w:rFonts w:ascii="微软雅黑" w:hAnsi="微软雅黑" w:eastAsia="微软雅黑" w:cs="微软雅黑"/>
          <w:b/>
          <w:i w:val="0"/>
          <w:color w:val="1A1A1A"/>
          <w:sz w:val="22"/>
        </w:rPr>
        <w:t>2023 年全年，私家车指定风险（MAIP）占 1.1%；商业车总分出率为 17.9%。</w:t>
      </w: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 xml:space="preserve"> 商业车、出租车进入剩余市场的比例远高于私家车，但绝对数量小，拉不高全国私家车的车辆占比。</w:t>
      </w: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五、保费占比超过 1% 的州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R Street 根据 AIPSO 2023 年保费报告，列出剩余市场保费占比。这是保费，不是车辆数。正文里出现过“保单超过 1%”的说法，同页表格标题写的是保费占全部汽车市场的百分比，阅读时以表格口径为准。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819"/>
      </w:tblGrid>
      <w:tr>
        <w:trPr>
          <w:cantSplit/>
        </w:trPr>
        <w:tc>
          <w:tcPr>
            <w:tcW w:type="dxa" w:w="4535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州</w:t>
            </w:r>
          </w:p>
        </w:tc>
        <w:tc>
          <w:tcPr>
            <w:tcW w:type="dxa" w:w="481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2023 年剩余市场保费占比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北卡罗来纳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13.9%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马萨诸塞</w:t>
            </w:r>
          </w:p>
        </w:tc>
        <w:tc>
          <w:tcPr>
            <w:tcW w:type="dxa" w:w="4819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4.4%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马里兰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1.5%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罗德岛</w:t>
            </w:r>
          </w:p>
        </w:tc>
        <w:tc>
          <w:tcPr>
            <w:tcW w:type="dxa" w:w="4819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1.3%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纽约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1.1%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新泽西</w:t>
            </w:r>
          </w:p>
        </w:tc>
        <w:tc>
          <w:tcPr>
            <w:tcW w:type="dxa" w:w="4819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0.8%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全国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0.62%</w:t>
            </w:r>
          </w:p>
        </w:tc>
      </w:tr>
    </w:tbl>
    <w:p>
      <w:pPr>
        <w:spacing w:before="16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马萨诸塞 2023 年保费占比 4.4%，同年 CAR 的私家车指定风险份额是 1.1%。两个数差在口径：一个是保费，一个是 CAR 的市场份额，年份和统计范围也不完全相同。单车保费更高时，保费占比会高于车辆占比。</w:t>
      </w: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六、来源</w:t>
      </w:r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1.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Insurance Information Institute，Private Passenger Auto Insurance in North Carolina（2012 年 3 月 23 日）。2009 年非自愿市场占投保车辆：全国 0.93%，北卡 19.80%。数据来自 AIPSO。</w:t>
      </w:r>
    </w:p>
    <w:p>
      <w:pPr>
        <w:spacing w:before="0" w:after="80" w:line="252" w:lineRule="auto"/>
        <w:ind w:left="425"/>
      </w:pPr>
      <w:hyperlink r:id="rId10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https://www.iii.org/sites/default/files/docs/pdf/NCAuto-0323121.pdf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2.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III 剩余市场说明，由康涅狄格州保险部存档。2004 年剩余市场约 266 万辆车、约占 1.5%；1990 年约占 6.3%。数据来自 AIPSO。</w:t>
      </w:r>
    </w:p>
    <w:p>
      <w:pPr>
        <w:spacing w:before="0" w:after="80" w:line="252" w:lineRule="auto"/>
        <w:ind w:left="425"/>
      </w:pPr>
      <w:hyperlink r:id="rId11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https://portal.ct.gov/-/media/CID/App12ITT2006pdf.pdf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3.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Milliman，Impact of rate regulation on the personal auto insurance market（2024 年 2 月）。1994 年约 4% 的司机、2007 年低于 1.6% 的司机，以及 2018–2021 年 AIPSO 分州剩余市场保费。</w:t>
      </w:r>
    </w:p>
    <w:p>
      <w:pPr>
        <w:spacing w:before="0" w:after="80" w:line="252" w:lineRule="auto"/>
        <w:ind w:left="425"/>
      </w:pPr>
      <w:hyperlink r:id="rId12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https://media.milliman.com/v1/media/edge/images/millimaninc5660-milliman6442-prod27d5-0001/media/Milliman/PDFs/2024-Articles/2-26-24_NAM03-Report-20240223.pdf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4.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R Street Institute，2024 Insurance Regulation Report Card。2023 年全国私人车险剩余市场保费占比 0.62%，分州表来自 AIPSO Written Premium Report。</w:t>
      </w:r>
    </w:p>
    <w:p>
      <w:pPr>
        <w:spacing w:before="0" w:after="80" w:line="252" w:lineRule="auto"/>
        <w:ind w:left="425"/>
      </w:pPr>
      <w:hyperlink r:id="rId13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https://www.rstreet.org/research/2024-insurance-regulation-report-card/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5.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NAIC，2022/2023 Auto Insurance Database Report。表 6A、表 7A 为 2022 年人身伤害责任险已赚车年；报告说明北卡自愿市场数据包含剩余市场。</w:t>
      </w:r>
    </w:p>
    <w:p>
      <w:pPr>
        <w:spacing w:before="0" w:after="80" w:line="252" w:lineRule="auto"/>
        <w:ind w:left="425"/>
      </w:pPr>
      <w:hyperlink r:id="rId14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https://content.naic.org/sites/default/files/publication-aut-pb-auto-insurance-database.pdf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6.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North Carolina Reinsurance Facility，2024 年报。2023 年末责任险保费份额 26.9%，2024 年 6 月保单超过 150 万张。</w:t>
      </w:r>
    </w:p>
    <w:p>
      <w:pPr>
        <w:spacing w:before="0" w:after="80" w:line="252" w:lineRule="auto"/>
        <w:ind w:left="425"/>
      </w:pPr>
      <w:hyperlink r:id="rId15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https://www.ncrb.org/Portals/5/ncrf/annual%20reports/Hi-Res%20NCRF%202024%20AR_Email.pdf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7.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North Carolina Reinsurance Facility，2025 年报。2024 年责任险保费份额 28.6%，2024 年 11 月总保单超过 150 万张。</w:t>
      </w:r>
    </w:p>
    <w:p>
      <w:pPr>
        <w:spacing w:before="0" w:after="80" w:line="252" w:lineRule="auto"/>
        <w:ind w:left="425"/>
      </w:pPr>
      <w:hyperlink r:id="rId16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https://ncrb.org/Portals/5/ncrf/annual%20reports/2025%20NCRF%20Annual%20Report_Web.pdf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8.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North Carolina Reinsurance Facility，2026 年报。2025 年责任险保费份额 26.0%，到 2026 年 6 月前后总保单约 120 万张。</w:t>
      </w:r>
    </w:p>
    <w:p>
      <w:pPr>
        <w:spacing w:before="0" w:after="80" w:line="252" w:lineRule="auto"/>
        <w:ind w:left="425"/>
      </w:pPr>
      <w:hyperlink r:id="rId17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https://www.ncrb.org/Portals/5/ncrf/annual%20reports/NCRF%202026%20AR_Web.pdf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9.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北卡再保险设施总经理 Joanna Biliouris 致州议会的证词（约 2023 年 11 月）。2023 财年末私家车保单约 135.1 万张、商业车约 2.5 万张；分出车辆中约 78% 为清洁风险。</w:t>
      </w:r>
    </w:p>
    <w:p>
      <w:pPr>
        <w:spacing w:before="0" w:after="80" w:line="252" w:lineRule="auto"/>
        <w:ind w:left="425"/>
      </w:pPr>
      <w:hyperlink r:id="rId18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https://webservices.ncleg.gov/ViewDocSiteFile/83336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10.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Massachusetts Commonwealth Automobile Reinsurers，2024 年 3 月分出量摘要。2023 年全年私家车 MAIP 指定风险 1.1%，商业车总分出率 17.9%。</w:t>
      </w:r>
    </w:p>
    <w:p>
      <w:pPr>
        <w:spacing w:before="0" w:after="80" w:line="252" w:lineRule="auto"/>
        <w:ind w:left="425"/>
      </w:pPr>
      <w:hyperlink r:id="rId19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https://www.commauto.com/reports/market/cession/summary/2024/cessionvolumesummarypage_03.pdf</w:t>
        </w:r>
      </w:hyperlink>
    </w:p>
    <w:p>
      <w:pPr>
        <w:spacing w:before="200" w:after="0" w:line="276" w:lineRule="auto"/>
      </w:pPr>
      <w:r>
        <w:rPr>
          <w:rFonts w:ascii="微软雅黑" w:hAnsi="微软雅黑" w:eastAsia="微软雅黑" w:cs="微软雅黑"/>
          <w:b w:val="0"/>
          <w:i/>
          <w:color w:val="555E68"/>
          <w:sz w:val="20"/>
        </w:rPr>
        <w:t>本文只整理公开统计，用来说明数量级。2021 年的全国 0.46% 是依据 Milliman 分州表加总，不是 AIPSO 另行发布的全国合计数。车辆数占比和保费占比不能直接互换。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6" w:space="6" w:color="D0D7DE"/>
      </w:pBdr>
    </w:pPr>
    <w:r>
      <w:rPr>
        <w:rFonts w:ascii="微软雅黑" w:hAnsi="微软雅黑" w:eastAsia="微软雅黑" w:cs="微软雅黑"/>
        <w:b w:val="0"/>
        <w:i w:val="0"/>
        <w:color w:val="555E68"/>
        <w:sz w:val="16"/>
      </w:rPr>
      <w:t xml:space="preserve">美国车险剩余市场车辆数量占比  ·  公开资料整理  ·  </w:t>
    </w:r>
    <w:r>
      <w:rPr>
        <w:rFonts w:ascii="微软雅黑" w:hAnsi="微软雅黑" w:eastAsia="微软雅黑" w:cs="微软雅黑"/>
        <w:b w:val="0"/>
        <w:i w:val="0"/>
        <w:color w:val="555E68"/>
        <w:sz w:val="16"/>
      </w:rPr>
      <w:fldChar w:fldCharType="begin"/>
    </w:r>
    <w:r>
      <w:rPr>
        <w:rFonts w:ascii="微软雅黑" w:hAnsi="微软雅黑" w:eastAsia="微软雅黑" w:cs="微软雅黑"/>
        <w:b w:val="0"/>
        <w:i w:val="0"/>
        <w:color w:val="555E68"/>
        <w:sz w:val="16"/>
      </w:rPr>
      <w:instrText xml:space="preserve"> PAGE </w:instrText>
    </w:r>
    <w:r>
      <w:rPr>
        <w:rFonts w:ascii="微软雅黑" w:hAnsi="微软雅黑" w:eastAsia="微软雅黑" w:cs="微软雅黑"/>
        <w:b w:val="0"/>
        <w:i w:val="0"/>
        <w:color w:val="555E6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i.org/sites/default/files/docs/pdf/NCAuto-0323121.pdf" TargetMode="External"/><Relationship Id="rId11" Type="http://schemas.openxmlformats.org/officeDocument/2006/relationships/hyperlink" Target="https://portal.ct.gov/-/media/CID/App12ITT2006pdf.pdf" TargetMode="External"/><Relationship Id="rId12" Type="http://schemas.openxmlformats.org/officeDocument/2006/relationships/hyperlink" Target="https://media.milliman.com/v1/media/edge/images/millimaninc5660-milliman6442-prod27d5-0001/media/Milliman/PDFs/2024-Articles/2-26-24_NAM03-Report-20240223.pdf" TargetMode="External"/><Relationship Id="rId13" Type="http://schemas.openxmlformats.org/officeDocument/2006/relationships/hyperlink" Target="https://www.rstreet.org/research/2024-insurance-regulation-report-card/" TargetMode="External"/><Relationship Id="rId14" Type="http://schemas.openxmlformats.org/officeDocument/2006/relationships/hyperlink" Target="https://content.naic.org/sites/default/files/publication-aut-pb-auto-insurance-database.pdf" TargetMode="External"/><Relationship Id="rId15" Type="http://schemas.openxmlformats.org/officeDocument/2006/relationships/hyperlink" Target="https://www.ncrb.org/Portals/5/ncrf/annual%20reports/Hi-Res%20NCRF%202024%20AR_Email.pdf" TargetMode="External"/><Relationship Id="rId16" Type="http://schemas.openxmlformats.org/officeDocument/2006/relationships/hyperlink" Target="https://ncrb.org/Portals/5/ncrf/annual%20reports/2025%20NCRF%20Annual%20Report_Web.pdf" TargetMode="External"/><Relationship Id="rId17" Type="http://schemas.openxmlformats.org/officeDocument/2006/relationships/hyperlink" Target="https://www.ncrb.org/Portals/5/ncrf/annual%20reports/NCRF%202026%20AR_Web.pdf" TargetMode="External"/><Relationship Id="rId18" Type="http://schemas.openxmlformats.org/officeDocument/2006/relationships/hyperlink" Target="https://webservices.ncleg.gov/ViewDocSiteFile/83336" TargetMode="External"/><Relationship Id="rId19" Type="http://schemas.openxmlformats.org/officeDocument/2006/relationships/hyperlink" Target="https://www.commauto.com/reports/market/cession/summary/2024/cessionvolumesummarypage_0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美国车险剩余市场车辆数量占比</dc:title>
  <dc:subject>美国汽车保险剩余市场的车辆数与保费占比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保险研究备忘</cp:category>
  <dc:language>zh-CN</dc:language>
</cp:coreProperties>
</file>