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8C151">
      <w:pPr>
        <w:bidi w:val="0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</w:t>
      </w:r>
      <w:r>
        <w:rPr>
          <w:b/>
          <w:bCs/>
          <w:sz w:val="28"/>
          <w:szCs w:val="36"/>
        </w:rPr>
        <w:t>回归方程公式(RegressionEquation)</w:t>
      </w:r>
    </w:p>
    <w:p w14:paraId="58A02CA1">
      <w:pPr>
        <w:ind w:firstLine="420" w:firstLineChars="0"/>
      </w:pPr>
      <w:r>
        <w:t>代码中使用的模型是经典的Fama-French三因子模型。对于每一只股票i，我们对其月度超额收益率进行了如下的时间序列回归：</w:t>
      </w:r>
    </w:p>
    <w:p w14:paraId="4496903F"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i,t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−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f,t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α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β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i,MKT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MKT,t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−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f,t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β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i,SMB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⋅SM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B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β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i,HML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⋅HM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L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ϵ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i,t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0DAD051A">
      <w:pPr>
        <w:ind w:firstLine="420" w:firstLineChars="0"/>
      </w:pPr>
      <w:r>
        <w:t>其中各项符号含义如下：</w:t>
      </w:r>
    </w:p>
    <w:p w14:paraId="1C6BD993"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i,t</m:t>
            </m:r>
            <m:ctrlPr>
              <w:rPr>
                <w:rFonts w:hint="default" w:ascii="Cambria Math"/>
              </w:rPr>
            </m:ctrlPr>
          </m:sub>
        </m:sSub>
      </m:oMath>
      <w:r>
        <w:t>：股票i在第t个月的收益率。</w:t>
      </w:r>
    </w:p>
    <w:p w14:paraId="594FEEB1"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f,t</m:t>
            </m:r>
            <m:ctrlPr>
              <w:rPr>
                <w:rFonts w:hint="default" w:ascii="Cambria Math"/>
              </w:rPr>
            </m:ctrlPr>
          </m:sub>
        </m:sSub>
      </m:oMath>
      <w:r>
        <w:t>：第t个月的无风险收益率（来自国债数据）。</w:t>
      </w:r>
    </w:p>
    <w:p w14:paraId="61DE3260"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i,t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−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f,t</m:t>
            </m:r>
            <m:ctrlPr>
              <w:rPr>
                <w:rFonts w:hint="default" w:ascii="Cambria Math"/>
              </w:rPr>
            </m:ctrlPr>
          </m:sub>
        </m:sSub>
      </m:oMath>
      <w:r>
        <w:t>：股票的超额收益（ExcessReturn），即因变量Y。</w:t>
      </w:r>
    </w:p>
    <w:p w14:paraId="01A16ADA"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MKT,t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−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f,t</m:t>
            </m:r>
            <m:ctrlPr>
              <w:rPr>
                <w:rFonts w:hint="default" w:ascii="Cambria Math"/>
              </w:rPr>
            </m:ctrlPr>
          </m:sub>
        </m:sSub>
      </m:oMath>
      <w:r>
        <w:t>：市场因子</w:t>
      </w:r>
      <m:oMath>
        <m:r>
          <m:rPr/>
          <w:rPr>
            <w:rFonts w:hint="default" w:ascii="Cambria Math"/>
          </w:rPr>
          <m:t>(MK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F)</m:t>
        </m:r>
      </m:oMath>
      <w:r>
        <w:t>。代表整个市场的超额回报（中证全指回报减去无风险利率）。</w:t>
      </w:r>
    </w:p>
    <w:p w14:paraId="512AA883">
      <m:oMath>
        <m:r>
          <m:rPr/>
          <w:rPr>
            <w:rFonts w:hint="default" w:ascii="Cambria Math"/>
          </w:rPr>
          <m:t>SM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b>
        </m:sSub>
      </m:oMath>
      <w:r>
        <w:t>：规模因子(SmallMinusBig)。代表小盘股相对于大盘股的超额收益（中证1000-沪深300）。</w:t>
      </w:r>
    </w:p>
    <w:p w14:paraId="2C92B5E8">
      <m:oMath>
        <m:r>
          <m:rPr/>
          <w:rPr>
            <w:rFonts w:hint="default" w:ascii="Cambria Math"/>
          </w:rPr>
          <m:t>HM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b>
        </m:sSub>
      </m:oMath>
      <w:r>
        <w:t>：价值因子(HighMinusLow)。代表价值股相对于成长股的超额收益（300价值-300成长）。</w:t>
      </w:r>
    </w:p>
    <w:p w14:paraId="6F1BD92D"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α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</m:oMath>
      <w:r>
        <w:t>(Alpha)：回归截距项。代表剔除市场、规模、风格风险后，该股票获得的异常超额收益。</w:t>
      </w:r>
    </w:p>
    <w:p w14:paraId="3718E63C">
      <m:oMath>
        <m:r>
          <m:rPr/>
          <w:rPr>
            <w:rFonts w:hint="default" w:ascii="Cambria Math"/>
          </w:rPr>
          <m:t>β</m:t>
        </m:r>
      </m:oMath>
      <w:r>
        <w:t>(Betas)：回归系数。代表该股票对各个风险因子的敏感度（暴露度）。</w:t>
      </w:r>
    </w:p>
    <w:p w14:paraId="12A7CE6B">
      <w:pPr>
        <w:rPr>
          <w:rFonts w:hint="default"/>
          <w:b/>
          <w:bCs/>
          <w:sz w:val="28"/>
          <w:szCs w:val="36"/>
          <w:lang w:val="en-US" w:eastAsia="zh-CN"/>
          <w:oMath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hint="default"/>
              <w:sz w:val="28"/>
              <w:szCs w:val="36"/>
              <w:lang w:val="en-US" w:eastAsia="zh-CN"/>
            </w:rPr>
            <m:t>2. CSV 输出列含义详解</m:t>
          </m:r>
        </m:oMath>
      </m:oMathPara>
    </w:p>
    <w:p w14:paraId="34333889">
      <w:pPr>
        <w:rPr>
          <w:rFonts w:hint="default"/>
          <w:lang w:val="en-US" w:eastAsia="zh-CN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/>
              <w:lang w:val="en-US" w:eastAsia="zh-CN"/>
            </w:rPr>
            <m:t>生成的 csi300_fama_french_exposures.csv 文件中，每一行代表一只股票在 2022−2025 期间的整体风格属性。各列具体含义如下：</m:t>
          </m:r>
        </m:oMath>
      </m:oMathPara>
    </w:p>
    <w:p w14:paraId="1FE944F4"/>
    <w:tbl>
      <w:tblPr>
        <w:tblStyle w:val="5"/>
        <w:tblW w:w="852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8"/>
        <w:gridCol w:w="1797"/>
        <w:gridCol w:w="4867"/>
      </w:tblGrid>
      <w:tr w14:paraId="7DCFF1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76E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列名</w:t>
            </w:r>
          </w:p>
          <w:p w14:paraId="0DCF7E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(Column)</w:t>
            </w:r>
          </w:p>
        </w:tc>
        <w:tc>
          <w:tcPr>
            <w:tcW w:w="17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D4954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中文含义</w:t>
            </w:r>
          </w:p>
        </w:tc>
        <w:tc>
          <w:tcPr>
            <w:tcW w:w="48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71D53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详细解释与解读</w:t>
            </w:r>
          </w:p>
        </w:tc>
      </w:tr>
      <w:tr w14:paraId="76A5C6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684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1BB7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股票代码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14A6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6位数字代码（如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000001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）。</w:t>
            </w:r>
          </w:p>
        </w:tc>
      </w:tr>
      <w:tr w14:paraId="0FD0F5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A773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7E50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BF71C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对应的中文简称（如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平安银行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）。</w:t>
            </w:r>
          </w:p>
        </w:tc>
      </w:tr>
      <w:tr w14:paraId="064210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DF2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9C3C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阿尔法 (截距)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D771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最关键的指标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。表示股票跑赢（正值）或跑输（负值）其理论风险收益的能力。</w:t>
            </w:r>
          </w:p>
          <w:p w14:paraId="26F9FD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&gt;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具有超额收益能力（投资者最想要的）。</w:t>
            </w:r>
          </w:p>
          <w:p w14:paraId="32B30A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&lt;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表现不如其承担的风险所应有的回报。</w:t>
            </w:r>
          </w:p>
        </w:tc>
      </w:tr>
      <w:tr w14:paraId="1430CB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3596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beta_mkt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0E47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市场贝塔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92B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衡量股票随大盘波动的程度。</w:t>
            </w:r>
          </w:p>
          <w:p w14:paraId="17FF94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= 1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波动与大盘同步。</w:t>
            </w:r>
          </w:p>
          <w:p w14:paraId="6EEBBB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&gt; 1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进攻型（大盘涨1%，它可能涨1.5%）。</w:t>
            </w:r>
          </w:p>
          <w:p w14:paraId="2DDDCB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&lt; 1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防御型（大盘跌，它跌得少）。</w:t>
            </w:r>
          </w:p>
        </w:tc>
      </w:tr>
      <w:tr w14:paraId="7812CF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656C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beta_smb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61E9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规模因子暴露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78FD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衡量股票是偏向“小盘”还是“大盘”。</w:t>
            </w:r>
          </w:p>
          <w:p w14:paraId="30936D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&gt;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偏向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小盘股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风格。</w:t>
            </w:r>
          </w:p>
          <w:p w14:paraId="5956AE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&lt;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偏向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大盘股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风格（沪深300成分股通常此处为负值）。</w:t>
            </w:r>
          </w:p>
        </w:tc>
      </w:tr>
      <w:tr w14:paraId="2D47A9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B0B9F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beta_hml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DCA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价值因子暴露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2A13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衡量股票是偏向“价值”还是“成长”。</w:t>
            </w:r>
          </w:p>
          <w:p w14:paraId="6F3A1E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&gt;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偏向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价值股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（如银行、地产、高分红）。</w:t>
            </w:r>
          </w:p>
          <w:p w14:paraId="706C36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&lt; 0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偏向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成长股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（如科技、医药、新能源）。</w:t>
            </w:r>
          </w:p>
        </w:tc>
      </w:tr>
      <w:tr w14:paraId="7CF213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F293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t_alpha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E8E8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Alpha 的 T统计量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CE9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衡量计算出的 Alpha 是否具有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统计显著性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。</w:t>
            </w:r>
          </w:p>
          <w:p w14:paraId="060826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绝对值 &gt; 2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说明 Alpha 显著不为0（不是运气好，是真的有超额能力）。</w:t>
            </w:r>
          </w:p>
          <w:p w14:paraId="06323A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绝对值 &lt; 2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说明 Alpha 可能是噪音。</w:t>
            </w:r>
          </w:p>
        </w:tc>
      </w:tr>
      <w:tr w14:paraId="392DD9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534B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r_squared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A521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拟合优度 ($R^2$)</w:t>
            </w:r>
          </w:p>
        </w:tc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548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模型解释力，范围 0~1。</w:t>
            </w:r>
          </w:p>
          <w:p w14:paraId="612BCB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接近 1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说明股票的涨跌几乎完全由市场、规模、风格这三个因素决定。</w:t>
            </w:r>
          </w:p>
          <w:p w14:paraId="6C231D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 xml:space="preserve">•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较低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: 说明股票有很多特质性波动（个股独立行情）没被模型解释。</w:t>
            </w:r>
          </w:p>
        </w:tc>
      </w:tr>
      <w:tr w14:paraId="52B76D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93DB7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observations</w:t>
            </w:r>
          </w:p>
        </w:tc>
        <w:tc>
          <w:tcPr>
            <w:tcW w:w="17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38F5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观测样本数</w:t>
            </w:r>
          </w:p>
        </w:tc>
        <w:tc>
          <w:tcPr>
            <w:tcW w:w="48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9EEF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参与回归计算的月份数量（如 36 表示用了 3 年的月度数据）。</w:t>
            </w:r>
          </w:p>
        </w:tc>
      </w:tr>
    </w:tbl>
    <w:p w14:paraId="2909EEAA">
      <w:pPr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5013" w:type="pct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2469"/>
        <w:gridCol w:w="1490"/>
        <w:gridCol w:w="4583"/>
        <w:gridCol w:w="23"/>
      </w:tblGrid>
      <w:tr w14:paraId="5DC350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Header/>
          <w:tblCellSpacing w:w="15" w:type="dxa"/>
          <w:jc w:val="center"/>
        </w:trPr>
        <w:tc>
          <w:tcPr>
            <w:tcW w:w="1396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812C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列名</w:t>
            </w:r>
          </w:p>
        </w:tc>
        <w:tc>
          <w:tcPr>
            <w:tcW w:w="84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7565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2614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2B7A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1F1F1F"/>
                <w:sz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解释</w:t>
            </w:r>
          </w:p>
        </w:tc>
      </w:tr>
      <w:tr w14:paraId="0A7737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80DBC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73BF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股票代码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D0E85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如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000001.SZ</w:t>
            </w:r>
          </w:p>
        </w:tc>
      </w:tr>
      <w:tr w14:paraId="045CE6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F4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3EF4A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51B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如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CSI300成分股_000001</w:t>
            </w:r>
          </w:p>
        </w:tc>
      </w:tr>
      <w:tr w14:paraId="639889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FF4A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AA9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Alpha收益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C743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回归方程的截距项，代表剔除五因子风险后的超额收益。</w:t>
            </w:r>
          </w:p>
        </w:tc>
      </w:tr>
      <w:tr w14:paraId="7F96A2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9902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beta_mkt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184D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MKT暴露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CC65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市场风险敏感度（接近1代表随大盘波动）。</w:t>
            </w:r>
          </w:p>
        </w:tc>
      </w:tr>
      <w:tr w14:paraId="1CE2D5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460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beta_smb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E5A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SMB暴露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0CCA3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正值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代表偏小盘风格，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负值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代表偏大盘风格。</w:t>
            </w:r>
          </w:p>
        </w:tc>
      </w:tr>
      <w:tr w14:paraId="2C6625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DE36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beta_hml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3E5A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HML暴露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2929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正值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代表偏价值风格，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负值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代表偏成长风格。</w:t>
            </w:r>
          </w:p>
        </w:tc>
      </w:tr>
      <w:tr w14:paraId="00AB2C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D76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alpha_t_stat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95062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Alpha T值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08B9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用于检验Alpha是否显著不为0。通常绝对值 &gt; 1.96 代表95%置信度下显著。</w:t>
            </w:r>
          </w:p>
        </w:tc>
      </w:tr>
      <w:tr w14:paraId="76F1D5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8" w:type="pct"/>
          <w:wAfter w:w="0" w:type="pct"/>
          <w:trHeight w:val="0" w:hRule="atLeast"/>
          <w:tblCellSpacing w:w="15" w:type="dxa"/>
          <w:jc w:val="center"/>
        </w:trPr>
        <w:tc>
          <w:tcPr>
            <w:tcW w:w="1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BA219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r_squared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8928F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$R^2$</w:t>
            </w:r>
          </w:p>
        </w:tc>
        <w:tc>
          <w:tcPr>
            <w:tcW w:w="2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2495A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拟合优度。表示五因子模型解释了该股票多少比例的波动。</w:t>
            </w:r>
          </w:p>
        </w:tc>
      </w:tr>
      <w:tr w14:paraId="09C324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0" w:hRule="atLeast"/>
          <w:tblCellSpacing w:w="15" w:type="dxa"/>
          <w:jc w:val="center"/>
        </w:trPr>
        <w:tc>
          <w:tcPr>
            <w:tcW w:w="14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34725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beta_rmw</w:t>
            </w:r>
          </w:p>
        </w:tc>
        <w:tc>
          <w:tcPr>
            <w:tcW w:w="8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59CF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RMW</w:t>
            </w:r>
          </w:p>
          <w:p w14:paraId="63C810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(Robust Minus Weak)</w:t>
            </w:r>
          </w:p>
          <w:p w14:paraId="6F60E0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盈利因子</w:t>
            </w:r>
          </w:p>
        </w:tc>
        <w:tc>
          <w:tcPr>
            <w:tcW w:w="26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B69F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正值 (+)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：代表该股票具有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高盈利能力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（High Profitability）。这类公司通常ROE高、现金流好，属于“高质量”风格（Quality）。</w:t>
            </w:r>
          </w:p>
          <w:p w14:paraId="1516BC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负值 (-)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：代表该股票盈利能力相对较弱。在CSI300中，负值可能出现在一些处于转型期或业绩波动大的企业中。</w:t>
            </w:r>
          </w:p>
          <w:p w14:paraId="4B9D0F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/>
                <w:iCs/>
                <w:color w:val="1F1F1F"/>
                <w:sz w:val="24"/>
              </w:rPr>
              <w:t>注：在A股，RMW常被视为“质量因子”的代理。</w:t>
            </w:r>
          </w:p>
        </w:tc>
      </w:tr>
      <w:tr w14:paraId="2BDF41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0" w:hRule="atLeast"/>
          <w:tblCellSpacing w:w="15" w:type="dxa"/>
          <w:jc w:val="center"/>
        </w:trPr>
        <w:tc>
          <w:tcPr>
            <w:tcW w:w="1461" w:type="pct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6FF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beta_cma</w:t>
            </w:r>
          </w:p>
        </w:tc>
        <w:tc>
          <w:tcPr>
            <w:tcW w:w="84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B127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CMA</w:t>
            </w:r>
          </w:p>
          <w:p w14:paraId="20843A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(Conservative Minus Aggressive)</w:t>
            </w:r>
          </w:p>
          <w:p w14:paraId="4CC2D2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投资因子</w:t>
            </w:r>
          </w:p>
        </w:tc>
        <w:tc>
          <w:tcPr>
            <w:tcW w:w="2628" w:type="pct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0412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正值 (+)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：代表该股票投资风格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保守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（Conservative）。即公司资产扩张速度慢，不盲目并购或扩大产能。通常出现在成熟期企业。</w:t>
            </w:r>
          </w:p>
          <w:p w14:paraId="2C885D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负值 (-)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：代表该股票投资风格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sz w:val="24"/>
              </w:rPr>
              <w:t>激进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sz w:val="24"/>
              </w:rPr>
              <w:t>（Aggressive）。即公司正在快速扩张资产（如建厂、并购）。通常出现在高成长行业，但也伴随较高的经营风险。</w:t>
            </w:r>
          </w:p>
          <w:p w14:paraId="086A02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/>
                <w:iCs/>
                <w:color w:val="1F1F1F"/>
                <w:sz w:val="24"/>
              </w:rPr>
              <w:t>注：A股市场中有时激进扩张（负CMA）反而会带来短期超额收</w:t>
            </w:r>
            <w:r>
              <w:rPr>
                <w:rFonts w:hint="default" w:ascii="sans-serif" w:hAnsi="sans-serif" w:eastAsia="sans-serif" w:cs="sans-serif"/>
                <w:i/>
                <w:iCs/>
                <w:color w:val="1F1F1F"/>
                <w:sz w:val="24"/>
              </w:rPr>
              <w:t>益。</w:t>
            </w:r>
          </w:p>
        </w:tc>
      </w:tr>
    </w:tbl>
    <w:p w14:paraId="2CFEAC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765D7"/>
    <w:rsid w:val="179B630C"/>
    <w:rsid w:val="1F44687A"/>
    <w:rsid w:val="61724CDC"/>
    <w:rsid w:val="621E4B15"/>
    <w:rsid w:val="69E441CA"/>
    <w:rsid w:val="6AE91C21"/>
    <w:rsid w:val="6B7B7D47"/>
    <w:rsid w:val="77CB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1428</Words>
  <Characters>1888</Characters>
  <Lines>0</Lines>
  <Paragraphs>0</Paragraphs>
  <TotalTime>22</TotalTime>
  <ScaleCrop>false</ScaleCrop>
  <LinksUpToDate>false</LinksUpToDate>
  <CharactersWithSpaces>1966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2025-12-29T12:24:00Z</dcterms:created>
  <dc:creator>Lenovo</dc:creator>
  <cp:lastModifiedBy>Morning</cp:lastModifiedBy>
  <dcterms:modified xsi:type="dcterms:W3CDTF">2025-12-30T02:43:20Z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eyJoZGlkIjoiYjA2YzUxY2U4NWI3NGI1Y2RhMDVhMjliN2JhM2JiMDMiLCJ1c2VySWQiOiI2NjE2MTExMDQifQ==</vt:lpwstr>
  </property>
  <property fmtid="{D5CDD505-2E9C-101B-9397-08002B2CF9AE}" pid="4" name="ICV">
    <vt:lpwstr>917EDF6C246D4AB6B86CAC66E7E8B7AD_12</vt:lpwstr>
  </property>
</Properties>
</file>