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DC552" w14:textId="77777777" w:rsidR="00986023" w:rsidRPr="00986023" w:rsidRDefault="00986023" w:rsidP="00986023">
      <w:pPr>
        <w:jc w:val="center"/>
        <w:rPr>
          <w:b/>
          <w:bCs/>
          <w:sz w:val="24"/>
          <w:szCs w:val="24"/>
        </w:rPr>
      </w:pPr>
      <w:r w:rsidRPr="00986023">
        <w:rPr>
          <w:b/>
          <w:bCs/>
          <w:sz w:val="24"/>
          <w:szCs w:val="24"/>
        </w:rPr>
        <w:t>Key Insights – Retail Trend Analysis Dashboard</w:t>
      </w:r>
    </w:p>
    <w:p w14:paraId="7E57E062" w14:textId="77777777" w:rsidR="00986023" w:rsidRPr="00986023" w:rsidRDefault="00986023" w:rsidP="00986023">
      <w:pPr>
        <w:numPr>
          <w:ilvl w:val="0"/>
          <w:numId w:val="1"/>
        </w:numPr>
      </w:pPr>
      <w:r w:rsidRPr="00986023">
        <w:rPr>
          <w:b/>
          <w:bCs/>
        </w:rPr>
        <w:t>Overall business is profitable</w:t>
      </w:r>
      <w:r w:rsidRPr="00986023">
        <w:t xml:space="preserve">, with </w:t>
      </w:r>
      <w:r w:rsidRPr="00986023">
        <w:rPr>
          <w:b/>
          <w:bCs/>
        </w:rPr>
        <w:t>Total Sales of ~3M</w:t>
      </w:r>
      <w:r w:rsidRPr="00986023">
        <w:t xml:space="preserve"> and </w:t>
      </w:r>
      <w:r w:rsidRPr="00986023">
        <w:rPr>
          <w:b/>
          <w:bCs/>
        </w:rPr>
        <w:t>Total Profit of ~251K</w:t>
      </w:r>
      <w:r w:rsidRPr="00986023">
        <w:t xml:space="preserve">, resulting in a healthy </w:t>
      </w:r>
      <w:r w:rsidRPr="00986023">
        <w:rPr>
          <w:b/>
          <w:bCs/>
        </w:rPr>
        <w:t>profit margin of ~10%</w:t>
      </w:r>
      <w:r w:rsidRPr="00986023">
        <w:t>, indicating stable operational performance.</w:t>
      </w:r>
    </w:p>
    <w:p w14:paraId="0C480AB6" w14:textId="77777777" w:rsidR="00986023" w:rsidRPr="00986023" w:rsidRDefault="00986023" w:rsidP="00986023">
      <w:pPr>
        <w:numPr>
          <w:ilvl w:val="0"/>
          <w:numId w:val="1"/>
        </w:numPr>
      </w:pPr>
      <w:r w:rsidRPr="00986023">
        <w:rPr>
          <w:b/>
          <w:bCs/>
        </w:rPr>
        <w:t>South region is the top-performing region</w:t>
      </w:r>
      <w:r w:rsidRPr="00986023">
        <w:t>, generating the highest sales (~0.71M), while Central and West regions lag slightly, suggesting opportunities for targeted regional growth strategies.</w:t>
      </w:r>
    </w:p>
    <w:p w14:paraId="42CFAC61" w14:textId="77777777" w:rsidR="00986023" w:rsidRPr="00986023" w:rsidRDefault="00986023" w:rsidP="00986023">
      <w:pPr>
        <w:numPr>
          <w:ilvl w:val="0"/>
          <w:numId w:val="1"/>
        </w:numPr>
      </w:pPr>
      <w:r w:rsidRPr="00986023">
        <w:rPr>
          <w:b/>
          <w:bCs/>
        </w:rPr>
        <w:t>Furniture category leads in sales</w:t>
      </w:r>
      <w:r w:rsidRPr="00986023">
        <w:t xml:space="preserve">, contributing around </w:t>
      </w:r>
      <w:r w:rsidRPr="00986023">
        <w:rPr>
          <w:b/>
          <w:bCs/>
        </w:rPr>
        <w:t>0.93M</w:t>
      </w:r>
      <w:r w:rsidRPr="00986023">
        <w:t>, followed by Technology (~0.87M). Office Supplies generate the lowest sales, indicating comparatively lower demand or pricing.</w:t>
      </w:r>
    </w:p>
    <w:p w14:paraId="3414CAEC" w14:textId="77777777" w:rsidR="00986023" w:rsidRPr="00986023" w:rsidRDefault="00986023" w:rsidP="00986023">
      <w:pPr>
        <w:numPr>
          <w:ilvl w:val="0"/>
          <w:numId w:val="1"/>
        </w:numPr>
      </w:pPr>
      <w:r w:rsidRPr="00986023">
        <w:rPr>
          <w:b/>
          <w:bCs/>
        </w:rPr>
        <w:t>Sales show seasonality over time</w:t>
      </w:r>
      <w:r w:rsidRPr="00986023">
        <w:t xml:space="preserve">, peaking around </w:t>
      </w:r>
      <w:r w:rsidRPr="00986023">
        <w:rPr>
          <w:b/>
          <w:bCs/>
        </w:rPr>
        <w:t>March–June (~0.26M)</w:t>
      </w:r>
      <w:r w:rsidRPr="00986023">
        <w:t xml:space="preserve"> and declining sharply in </w:t>
      </w:r>
      <w:r w:rsidRPr="00986023">
        <w:rPr>
          <w:b/>
          <w:bCs/>
        </w:rPr>
        <w:t>October (~0.14M)</w:t>
      </w:r>
      <w:r w:rsidRPr="00986023">
        <w:t>, highlighting a clear slowdown period where promotions or discounts could improve performance.</w:t>
      </w:r>
    </w:p>
    <w:p w14:paraId="69D231EB" w14:textId="77777777" w:rsidR="003B3754" w:rsidRDefault="003B3754" w:rsidP="00986023"/>
    <w:sectPr w:rsidR="003B3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7A91"/>
    <w:multiLevelType w:val="multilevel"/>
    <w:tmpl w:val="997CD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434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023"/>
    <w:rsid w:val="003115FF"/>
    <w:rsid w:val="003B3754"/>
    <w:rsid w:val="00986023"/>
    <w:rsid w:val="009976B6"/>
    <w:rsid w:val="00E3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40E1B"/>
  <w15:chartTrackingRefBased/>
  <w15:docId w15:val="{E1C0A2A6-03DD-4BF8-B763-D4B6FAF8E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lokhande</dc:creator>
  <cp:keywords/>
  <dc:description/>
  <cp:lastModifiedBy>supriya lokhande</cp:lastModifiedBy>
  <cp:revision>1</cp:revision>
  <dcterms:created xsi:type="dcterms:W3CDTF">2026-02-06T17:11:00Z</dcterms:created>
  <dcterms:modified xsi:type="dcterms:W3CDTF">2026-02-06T17:13:00Z</dcterms:modified>
</cp:coreProperties>
</file>