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52"/>
        </w:rPr>
        <w:t>Healthcare Provider Fraud Detection</w:t>
      </w:r>
    </w:p>
    <w:p>
      <w:pPr>
        <w:jc w:val="center"/>
      </w:pPr>
      <w:r>
        <w:rPr>
          <w:color w:val="4682B4"/>
          <w:sz w:val="32"/>
        </w:rPr>
        <w:t>Machine Learning Case Study — Analysis Report</w:t>
      </w:r>
    </w:p>
    <w:p/>
    <w:p>
      <w:pPr>
        <w:jc w:val="center"/>
      </w:pPr>
      <w:r>
        <w:t>────────────────────────────────────────────────────────────</w:t>
      </w:r>
    </w:p>
    <w:p/>
    <w:p>
      <w:pPr>
        <w:jc w:val="center"/>
      </w:pPr>
      <w:r>
        <w:rPr>
          <w:b/>
          <w:color w:val="1F3864"/>
          <w:sz w:val="24"/>
        </w:rPr>
        <w:t xml:space="preserve">Submitted By:  </w:t>
      </w:r>
      <w:r>
        <w:rPr>
          <w:sz w:val="24"/>
        </w:rPr>
        <w:t>Supriya S Poojary</w:t>
      </w:r>
    </w:p>
    <w:p>
      <w:pPr>
        <w:jc w:val="center"/>
      </w:pPr>
      <w:r>
        <w:rPr>
          <w:b/>
          <w:color w:val="1F3864"/>
          <w:sz w:val="24"/>
        </w:rPr>
        <w:t xml:space="preserve">Project Type:  </w:t>
      </w:r>
      <w:r>
        <w:rPr>
          <w:sz w:val="24"/>
        </w:rPr>
        <w:t>Machine Learning — Binary Classification</w:t>
      </w:r>
    </w:p>
    <w:p>
      <w:pPr>
        <w:jc w:val="center"/>
      </w:pPr>
      <w:r>
        <w:rPr>
          <w:b/>
          <w:color w:val="1F3864"/>
          <w:sz w:val="24"/>
        </w:rPr>
        <w:t xml:space="preserve">Domain:  </w:t>
      </w:r>
      <w:r>
        <w:rPr>
          <w:sz w:val="24"/>
        </w:rPr>
        <w:t>Healthcare Insurance Fraud Detection</w:t>
      </w:r>
    </w:p>
    <w:p>
      <w:pPr>
        <w:jc w:val="center"/>
      </w:pPr>
      <w:r>
        <w:rPr>
          <w:b/>
          <w:color w:val="1F3864"/>
          <w:sz w:val="24"/>
        </w:rPr>
        <w:t xml:space="preserve">Tech Stack:  </w:t>
      </w:r>
      <w:r>
        <w:rPr>
          <w:sz w:val="24"/>
        </w:rPr>
        <w:t>Python · XGBoost · SMOTE · Streamlit · Pandas · Scikit-Learn</w:t>
      </w:r>
    </w:p>
    <w:p/>
    <w:p>
      <w:pPr>
        <w:jc w:val="center"/>
      </w:pPr>
      <w:r>
        <w:rPr>
          <w:b/>
          <w:color w:val="1F3864"/>
          <w:sz w:val="26"/>
        </w:rPr>
        <w:t>Project Links</w:t>
      </w:r>
    </w:p>
    <w:p>
      <w:pPr>
        <w:jc w:val="center"/>
      </w:pPr>
      <w:r>
        <w:t xml:space="preserve">GitHub Repository:  </w:t>
      </w:r>
      <w:hyperlink r:id="rId9">
        <w:r>
          <w:rPr>
            <w:color w:val="1F3864"/>
            <w:u w:val="single"/>
          </w:rPr>
          <w:t>https://github.com/supriya-poojary/HealthCare-Fraud-Detection-Ml-model</w:t>
        </w:r>
      </w:hyperlink>
    </w:p>
    <w:p>
      <w:pPr>
        <w:jc w:val="center"/>
      </w:pPr>
      <w:r>
        <w:t xml:space="preserve">Live Streamlit App:  </w:t>
      </w:r>
      <w:hyperlink r:id="rId10">
        <w:r>
          <w:rPr>
            <w:color w:val="1F3864"/>
            <w:u w:val="single"/>
          </w:rPr>
          <w:t>https://healthcare-fraud-detection-ml-model-dpsktk3gu9lcpxahv4gutv.streamlit.app/</w:t>
        </w:r>
      </w:hyperlink>
    </w:p>
    <w:p>
      <w:r>
        <w:br w:type="page"/>
      </w:r>
    </w:p>
    <w:p>
      <w:pPr>
        <w:pStyle w:val="Heading1"/>
        <w:jc w:val="left"/>
      </w:pPr>
      <w:r>
        <w:rPr>
          <w:color w:val="1F3864"/>
        </w:rPr>
        <w:t>1. Project Overview</w:t>
      </w:r>
    </w:p>
    <w:p>
      <w:r>
        <w:rPr>
          <w:b/>
          <w:i w:val="0"/>
          <w:sz w:val="24"/>
        </w:rPr>
        <w:t>Business Problem</w:t>
      </w:r>
    </w:p>
    <w:p>
      <w:r>
        <w:rPr>
          <w:b w:val="0"/>
          <w:i w:val="0"/>
          <w:sz w:val="22"/>
        </w:rPr>
        <w:t>Healthcare Provider Fraud is one of the most significant financial challenges facing the insurance industry today. Dishonest providers submit false, inflated, or duplicate claims to insurance companies, resulting in billions of dollars in losses annually. This fraud directly impacts everyday citizens through higher insurance premiums and reduced access to legitimate healthcare services.</w:t>
      </w:r>
    </w:p>
    <w:p>
      <w:r>
        <w:rPr>
          <w:b/>
          <w:i w:val="0"/>
          <w:sz w:val="24"/>
        </w:rPr>
        <w:t>Common Types of Fraud</w:t>
      </w:r>
    </w:p>
    <w:tbl>
      <w:tblPr>
        <w:tblStyle w:val="TableGrid"/>
        <w:tblW w:type="auto" w:w="0"/>
        <w:jc w:val="left"/>
        <w:tblLook w:firstColumn="1" w:firstRow="1" w:lastColumn="0" w:lastRow="0" w:noHBand="0" w:noVBand="1" w:val="04A0"/>
      </w:tblPr>
      <w:tblGrid>
        <w:gridCol w:w="4703"/>
        <w:gridCol w:w="4703"/>
      </w:tblGrid>
      <w:tr>
        <w:tc>
          <w:tcPr>
            <w:tcW w:type="dxa" w:w="3600"/>
            <w:vAlign w:val="center"/>
            <w:shd w:val="clear" w:color="auto" w:fill="1F3864"/>
          </w:tcPr>
          <w:p>
            <w:pPr>
              <w:jc w:val="left"/>
            </w:pPr>
            <w:r>
              <w:rPr>
                <w:b/>
                <w:color w:val="FFFFFF"/>
                <w:sz w:val="20"/>
              </w:rPr>
              <w:t>Fraud Type</w:t>
            </w:r>
          </w:p>
        </w:tc>
        <w:tc>
          <w:tcPr>
            <w:tcW w:type="dxa" w:w="5760"/>
            <w:vAlign w:val="center"/>
            <w:shd w:val="clear" w:color="auto" w:fill="1F3864"/>
          </w:tcPr>
          <w:p>
            <w:pPr>
              <w:jc w:val="left"/>
            </w:pPr>
            <w:r>
              <w:rPr>
                <w:b/>
                <w:color w:val="FFFFFF"/>
                <w:sz w:val="20"/>
              </w:rPr>
              <w:t>Description</w:t>
            </w:r>
          </w:p>
        </w:tc>
      </w:tr>
      <w:tr>
        <w:tc>
          <w:tcPr>
            <w:tcW w:type="dxa" w:w="3600"/>
            <w:vAlign w:val="center"/>
            <w:shd w:val="clear" w:color="auto" w:fill="F2F2F2"/>
          </w:tcPr>
          <w:p>
            <w:pPr>
              <w:jc w:val="left"/>
            </w:pPr>
            <w:r>
              <w:rPr>
                <w:b w:val="0"/>
                <w:color w:val="1E1E1E"/>
                <w:sz w:val="20"/>
              </w:rPr>
              <w:t>Billing for services not provided</w:t>
            </w:r>
          </w:p>
        </w:tc>
        <w:tc>
          <w:tcPr>
            <w:tcW w:type="dxa" w:w="5760"/>
            <w:vAlign w:val="center"/>
            <w:shd w:val="clear" w:color="auto" w:fill="F2F2F2"/>
          </w:tcPr>
          <w:p>
            <w:pPr>
              <w:jc w:val="left"/>
            </w:pPr>
            <w:r>
              <w:rPr>
                <w:b w:val="0"/>
                <w:color w:val="1E1E1E"/>
                <w:sz w:val="20"/>
              </w:rPr>
              <w:t>Hospital charges for a treatment or surgery that never took place.</w:t>
            </w:r>
          </w:p>
        </w:tc>
      </w:tr>
      <w:tr>
        <w:tc>
          <w:tcPr>
            <w:tcW w:type="dxa" w:w="3600"/>
            <w:vAlign w:val="center"/>
          </w:tcPr>
          <w:p>
            <w:pPr>
              <w:jc w:val="left"/>
            </w:pPr>
            <w:r>
              <w:rPr>
                <w:b w:val="0"/>
                <w:color w:val="1E1E1E"/>
                <w:sz w:val="20"/>
              </w:rPr>
              <w:t>Duplicate claim submission</w:t>
            </w:r>
          </w:p>
        </w:tc>
        <w:tc>
          <w:tcPr>
            <w:tcW w:type="dxa" w:w="5760"/>
            <w:vAlign w:val="center"/>
          </w:tcPr>
          <w:p>
            <w:pPr>
              <w:jc w:val="left"/>
            </w:pPr>
            <w:r>
              <w:rPr>
                <w:b w:val="0"/>
                <w:color w:val="1E1E1E"/>
                <w:sz w:val="20"/>
              </w:rPr>
              <w:t>The same bill is submitted more than once for the same service.</w:t>
            </w:r>
          </w:p>
        </w:tc>
      </w:tr>
      <w:tr>
        <w:tc>
          <w:tcPr>
            <w:tcW w:type="dxa" w:w="3600"/>
            <w:vAlign w:val="center"/>
            <w:shd w:val="clear" w:color="auto" w:fill="F2F2F2"/>
          </w:tcPr>
          <w:p>
            <w:pPr>
              <w:jc w:val="left"/>
            </w:pPr>
            <w:r>
              <w:rPr>
                <w:b w:val="0"/>
                <w:color w:val="1E1E1E"/>
                <w:sz w:val="20"/>
              </w:rPr>
              <w:t>Upcoding (Misrepresentation)</w:t>
            </w:r>
          </w:p>
        </w:tc>
        <w:tc>
          <w:tcPr>
            <w:tcW w:type="dxa" w:w="5760"/>
            <w:vAlign w:val="center"/>
            <w:shd w:val="clear" w:color="auto" w:fill="F2F2F2"/>
          </w:tcPr>
          <w:p>
            <w:pPr>
              <w:jc w:val="left"/>
            </w:pPr>
            <w:r>
              <w:rPr>
                <w:b w:val="0"/>
                <w:color w:val="1E1E1E"/>
                <w:sz w:val="20"/>
              </w:rPr>
              <w:t>A simple procedure is billed as a more complex, expensive one.</w:t>
            </w:r>
          </w:p>
        </w:tc>
      </w:tr>
      <w:tr>
        <w:tc>
          <w:tcPr>
            <w:tcW w:type="dxa" w:w="3600"/>
            <w:vAlign w:val="center"/>
          </w:tcPr>
          <w:p>
            <w:pPr>
              <w:jc w:val="left"/>
            </w:pPr>
            <w:r>
              <w:rPr>
                <w:b w:val="0"/>
                <w:color w:val="1E1E1E"/>
                <w:sz w:val="20"/>
              </w:rPr>
              <w:t>Unnecessary procedures</w:t>
            </w:r>
          </w:p>
        </w:tc>
        <w:tc>
          <w:tcPr>
            <w:tcW w:type="dxa" w:w="5760"/>
            <w:vAlign w:val="center"/>
          </w:tcPr>
          <w:p>
            <w:pPr>
              <w:jc w:val="left"/>
            </w:pPr>
            <w:r>
              <w:rPr>
                <w:b w:val="0"/>
                <w:color w:val="1E1E1E"/>
                <w:sz w:val="20"/>
              </w:rPr>
              <w:t>Expensive tests or treatments are ordered that were not medically required.</w:t>
            </w:r>
          </w:p>
        </w:tc>
      </w:tr>
      <w:tr>
        <w:tc>
          <w:tcPr>
            <w:tcW w:type="dxa" w:w="3600"/>
            <w:vAlign w:val="center"/>
            <w:shd w:val="clear" w:color="auto" w:fill="F2F2F2"/>
          </w:tcPr>
          <w:p>
            <w:pPr>
              <w:jc w:val="left"/>
            </w:pPr>
            <w:r>
              <w:rPr>
                <w:b w:val="0"/>
                <w:color w:val="1E1E1E"/>
                <w:sz w:val="20"/>
              </w:rPr>
              <w:t>Unbundling</w:t>
            </w:r>
          </w:p>
        </w:tc>
        <w:tc>
          <w:tcPr>
            <w:tcW w:type="dxa" w:w="5760"/>
            <w:vAlign w:val="center"/>
            <w:shd w:val="clear" w:color="auto" w:fill="F2F2F2"/>
          </w:tcPr>
          <w:p>
            <w:pPr>
              <w:jc w:val="left"/>
            </w:pPr>
            <w:r>
              <w:rPr>
                <w:b w:val="0"/>
                <w:color w:val="1E1E1E"/>
                <w:sz w:val="20"/>
              </w:rPr>
              <w:t>A single procedure is split into multiple claims to artificially inflate the total charge.</w:t>
            </w:r>
          </w:p>
        </w:tc>
      </w:tr>
    </w:tbl>
    <w:p/>
    <w:p>
      <w:r>
        <w:rPr>
          <w:b/>
          <w:i w:val="0"/>
          <w:sz w:val="24"/>
        </w:rPr>
        <w:t>Project Goal</w:t>
      </w:r>
    </w:p>
    <w:p>
      <w:r>
        <w:rPr>
          <w:b w:val="0"/>
          <w:i w:val="0"/>
          <w:sz w:val="22"/>
        </w:rPr>
        <w:t>The goal of this project is to build a Machine Learning model that automatically identifies potentially fraudulent healthcare providers based on the historical pattern of insurance claims they have filed. The model produces a fraud probability score and a binary classification (Fraud / Not Fraud) for every provider in the unseen test dataset.</w:t>
      </w:r>
    </w:p>
    <w:p>
      <w:r>
        <w:rPr>
          <w:b/>
          <w:i w:val="0"/>
          <w:sz w:val="24"/>
        </w:rPr>
        <w:t>Prediction Target</w:t>
      </w:r>
    </w:p>
    <w:p>
      <w:r>
        <w:rPr>
          <w:b w:val="0"/>
          <w:i w:val="0"/>
          <w:sz w:val="22"/>
        </w:rPr>
        <w:t>For every Provider (hospital or clinic), the model predicts:</w:t>
      </w:r>
    </w:p>
    <w:p>
      <w:pPr>
        <w:pStyle w:val="ListBullet"/>
        <w:ind w:left="432"/>
      </w:pPr>
      <w:r>
        <w:rPr>
          <w:sz w:val="22"/>
        </w:rPr>
        <w:t>Is this provider potentially fraudulent? → Yes (Fraud) or No (Legitimate)</w:t>
      </w:r>
    </w:p>
    <w:p>
      <w:pPr>
        <w:pStyle w:val="ListBullet"/>
        <w:ind w:left="432"/>
      </w:pPr>
      <w:r>
        <w:rPr>
          <w:sz w:val="22"/>
        </w:rPr>
        <w:t>How likely is this provider to be fraudulent? → A probability score between 0 and 1</w:t>
      </w:r>
    </w:p>
    <w:p/>
    <w:p>
      <w:pPr>
        <w:pStyle w:val="Heading1"/>
        <w:jc w:val="left"/>
      </w:pPr>
      <w:r>
        <w:rPr>
          <w:color w:val="1F3864"/>
        </w:rPr>
        <w:t>2. Dataset Description</w:t>
      </w:r>
    </w:p>
    <w:p>
      <w:r>
        <w:rPr>
          <w:b w:val="0"/>
          <w:i w:val="0"/>
          <w:sz w:val="22"/>
        </w:rPr>
        <w:t>The project uses four datasets for both training and testing (unseen) phases. Training data includes ground-truth fraud labels; unseen data does not.</w:t>
      </w:r>
    </w:p>
    <w:p>
      <w:r>
        <w:rPr>
          <w:b/>
          <w:i w:val="0"/>
          <w:color w:val="1F3864"/>
          <w:sz w:val="24"/>
        </w:rPr>
        <w:t>A. Beneficiary Dataset</w:t>
      </w:r>
    </w:p>
    <w:p>
      <w:r>
        <w:rPr>
          <w:b w:val="0"/>
          <w:i w:val="0"/>
          <w:sz w:val="22"/>
        </w:rPr>
        <w:t>Contains patient-level KYC information including demographics, location, and health condition flags. Key fields include Date of Birth, Date of Death (if applicable), Gender, State, County, and binary indicators for 11 chronic conditions such as Alzheimer's disease, heart failure, diabetes, kidney disease, and depression. Also includes annual insurance reimbursement amounts for inpatient and outpatient care.</w:t>
      </w:r>
    </w:p>
    <w:p>
      <w:r>
        <w:rPr>
          <w:b/>
          <w:i w:val="0"/>
          <w:color w:val="1F3864"/>
          <w:sz w:val="24"/>
        </w:rPr>
        <w:t>B. Inpatient Dataset</w:t>
      </w:r>
    </w:p>
    <w:p>
      <w:r>
        <w:rPr>
          <w:b w:val="0"/>
          <w:i w:val="0"/>
          <w:sz w:val="22"/>
        </w:rPr>
        <w:t>Contains claims filed for patients who were admitted to hospitals overnight. Includes Claim ID, Provider ID, Beneficiary ID, claim start/end dates, admission and discharge dates, reimbursement amounts, deductible amounts, attending/operating/other physician IDs, up to 10 diagnosis codes, and up to 6 procedure codes.</w:t>
      </w:r>
    </w:p>
    <w:p>
      <w:r>
        <w:rPr>
          <w:b/>
          <w:i w:val="0"/>
          <w:color w:val="1F3864"/>
          <w:sz w:val="24"/>
        </w:rPr>
        <w:t>C. Outpatient Dataset</w:t>
      </w:r>
    </w:p>
    <w:p>
      <w:r>
        <w:rPr>
          <w:b w:val="0"/>
          <w:i w:val="0"/>
          <w:sz w:val="22"/>
        </w:rPr>
        <w:t>Contains claims filed for patients who visited hospitals without overnight admission. Shares most fields with the Inpatient dataset but excludes admission and discharge dates. Claim amounts are generally lower than inpatient claims.</w:t>
      </w:r>
    </w:p>
    <w:p>
      <w:r>
        <w:rPr>
          <w:b/>
          <w:i w:val="0"/>
          <w:color w:val="1F3864"/>
          <w:sz w:val="24"/>
        </w:rPr>
        <w:t>D. Fraud Labels Dataset</w:t>
      </w:r>
    </w:p>
    <w:p>
      <w:r>
        <w:rPr>
          <w:b w:val="0"/>
          <w:i w:val="0"/>
          <w:sz w:val="22"/>
        </w:rPr>
        <w:t>Contains two columns: Provider ID and PotentialFraud (Yes/No). This is the target variable used to train and evaluate the classification model. Available only for training data.</w:t>
      </w:r>
    </w:p>
    <w:tbl>
      <w:tblPr>
        <w:tblStyle w:val="TableGrid"/>
        <w:tblW w:type="auto" w:w="0"/>
        <w:jc w:val="left"/>
        <w:tblLook w:firstColumn="1" w:firstRow="1" w:lastColumn="0" w:lastRow="0" w:noHBand="0" w:noVBand="1" w:val="04A0"/>
      </w:tblPr>
      <w:tblGrid>
        <w:gridCol w:w="3135"/>
        <w:gridCol w:w="3135"/>
        <w:gridCol w:w="3135"/>
      </w:tblGrid>
      <w:tr>
        <w:tc>
          <w:tcPr>
            <w:tcW w:type="dxa" w:w="2880"/>
            <w:vAlign w:val="center"/>
            <w:shd w:val="clear" w:color="auto" w:fill="1F3864"/>
          </w:tcPr>
          <w:p>
            <w:pPr>
              <w:jc w:val="left"/>
            </w:pPr>
            <w:r>
              <w:rPr>
                <w:b/>
                <w:color w:val="FFFFFF"/>
                <w:sz w:val="20"/>
              </w:rPr>
              <w:t>Dataset</w:t>
            </w:r>
          </w:p>
        </w:tc>
        <w:tc>
          <w:tcPr>
            <w:tcW w:type="dxa" w:w="2160"/>
            <w:vAlign w:val="center"/>
            <w:shd w:val="clear" w:color="auto" w:fill="1F3864"/>
          </w:tcPr>
          <w:p>
            <w:pPr>
              <w:jc w:val="left"/>
            </w:pPr>
            <w:r>
              <w:rPr>
                <w:b/>
                <w:color w:val="FFFFFF"/>
                <w:sz w:val="20"/>
              </w:rPr>
              <w:t>Rows (Train)</w:t>
            </w:r>
          </w:p>
        </w:tc>
        <w:tc>
          <w:tcPr>
            <w:tcW w:type="dxa" w:w="5040"/>
            <w:vAlign w:val="center"/>
            <w:shd w:val="clear" w:color="auto" w:fill="1F3864"/>
          </w:tcPr>
          <w:p>
            <w:pPr>
              <w:jc w:val="left"/>
            </w:pPr>
            <w:r>
              <w:rPr>
                <w:b/>
                <w:color w:val="FFFFFF"/>
                <w:sz w:val="20"/>
              </w:rPr>
              <w:t>Key Information</w:t>
            </w:r>
          </w:p>
        </w:tc>
      </w:tr>
      <w:tr>
        <w:tc>
          <w:tcPr>
            <w:tcW w:type="dxa" w:w="2880"/>
            <w:vAlign w:val="center"/>
            <w:shd w:val="clear" w:color="auto" w:fill="F2F2F2"/>
          </w:tcPr>
          <w:p>
            <w:pPr>
              <w:jc w:val="left"/>
            </w:pPr>
            <w:r>
              <w:rPr>
                <w:b w:val="0"/>
                <w:color w:val="1E1E1E"/>
                <w:sz w:val="20"/>
              </w:rPr>
              <w:t>Beneficiary</w:t>
            </w:r>
          </w:p>
        </w:tc>
        <w:tc>
          <w:tcPr>
            <w:tcW w:type="dxa" w:w="2160"/>
            <w:vAlign w:val="center"/>
            <w:shd w:val="clear" w:color="auto" w:fill="F2F2F2"/>
          </w:tcPr>
          <w:p>
            <w:pPr>
              <w:jc w:val="left"/>
            </w:pPr>
            <w:r>
              <w:rPr>
                <w:b w:val="0"/>
                <w:color w:val="1E1E1E"/>
                <w:sz w:val="20"/>
              </w:rPr>
              <w:t>138,556</w:t>
            </w:r>
          </w:p>
        </w:tc>
        <w:tc>
          <w:tcPr>
            <w:tcW w:type="dxa" w:w="5040"/>
            <w:vAlign w:val="center"/>
            <w:shd w:val="clear" w:color="auto" w:fill="F2F2F2"/>
          </w:tcPr>
          <w:p>
            <w:pPr>
              <w:jc w:val="left"/>
            </w:pPr>
            <w:r>
              <w:rPr>
                <w:b w:val="0"/>
                <w:color w:val="1E1E1E"/>
                <w:sz w:val="20"/>
              </w:rPr>
              <w:t>Patient demographics, chronic conditions, annual reimbursements</w:t>
            </w:r>
          </w:p>
        </w:tc>
      </w:tr>
      <w:tr>
        <w:tc>
          <w:tcPr>
            <w:tcW w:type="dxa" w:w="2880"/>
            <w:vAlign w:val="center"/>
          </w:tcPr>
          <w:p>
            <w:pPr>
              <w:jc w:val="left"/>
            </w:pPr>
            <w:r>
              <w:rPr>
                <w:b w:val="0"/>
                <w:color w:val="1E1E1E"/>
                <w:sz w:val="20"/>
              </w:rPr>
              <w:t>Inpatient Claims</w:t>
            </w:r>
          </w:p>
        </w:tc>
        <w:tc>
          <w:tcPr>
            <w:tcW w:type="dxa" w:w="2160"/>
            <w:vAlign w:val="center"/>
          </w:tcPr>
          <w:p>
            <w:pPr>
              <w:jc w:val="left"/>
            </w:pPr>
            <w:r>
              <w:rPr>
                <w:b w:val="0"/>
                <w:color w:val="1E1E1E"/>
                <w:sz w:val="20"/>
              </w:rPr>
              <w:t>~40,000</w:t>
            </w:r>
          </w:p>
        </w:tc>
        <w:tc>
          <w:tcPr>
            <w:tcW w:type="dxa" w:w="5040"/>
            <w:vAlign w:val="center"/>
          </w:tcPr>
          <w:p>
            <w:pPr>
              <w:jc w:val="left"/>
            </w:pPr>
            <w:r>
              <w:rPr>
                <w:b w:val="0"/>
                <w:color w:val="1E1E1E"/>
                <w:sz w:val="20"/>
              </w:rPr>
              <w:t>Admitted patient bills, hospital stay dates, diagnosis codes</w:t>
            </w:r>
          </w:p>
        </w:tc>
      </w:tr>
      <w:tr>
        <w:tc>
          <w:tcPr>
            <w:tcW w:type="dxa" w:w="2880"/>
            <w:vAlign w:val="center"/>
            <w:shd w:val="clear" w:color="auto" w:fill="F2F2F2"/>
          </w:tcPr>
          <w:p>
            <w:pPr>
              <w:jc w:val="left"/>
            </w:pPr>
            <w:r>
              <w:rPr>
                <w:b w:val="0"/>
                <w:color w:val="1E1E1E"/>
                <w:sz w:val="20"/>
              </w:rPr>
              <w:t>Outpatient Claims</w:t>
            </w:r>
          </w:p>
        </w:tc>
        <w:tc>
          <w:tcPr>
            <w:tcW w:type="dxa" w:w="2160"/>
            <w:vAlign w:val="center"/>
            <w:shd w:val="clear" w:color="auto" w:fill="F2F2F2"/>
          </w:tcPr>
          <w:p>
            <w:pPr>
              <w:jc w:val="left"/>
            </w:pPr>
            <w:r>
              <w:rPr>
                <w:b w:val="0"/>
                <w:color w:val="1E1E1E"/>
                <w:sz w:val="20"/>
              </w:rPr>
              <w:t>~519,000</w:t>
            </w:r>
          </w:p>
        </w:tc>
        <w:tc>
          <w:tcPr>
            <w:tcW w:type="dxa" w:w="5040"/>
            <w:vAlign w:val="center"/>
            <w:shd w:val="clear" w:color="auto" w:fill="F2F2F2"/>
          </w:tcPr>
          <w:p>
            <w:pPr>
              <w:jc w:val="left"/>
            </w:pPr>
            <w:r>
              <w:rPr>
                <w:b w:val="0"/>
                <w:color w:val="1E1E1E"/>
                <w:sz w:val="20"/>
              </w:rPr>
              <w:t>Day-visit patient bills, diagnosis codes, amounts</w:t>
            </w:r>
          </w:p>
        </w:tc>
      </w:tr>
      <w:tr>
        <w:tc>
          <w:tcPr>
            <w:tcW w:type="dxa" w:w="2880"/>
            <w:vAlign w:val="center"/>
          </w:tcPr>
          <w:p>
            <w:pPr>
              <w:jc w:val="left"/>
            </w:pPr>
            <w:r>
              <w:rPr>
                <w:b w:val="0"/>
                <w:color w:val="1E1E1E"/>
                <w:sz w:val="20"/>
              </w:rPr>
              <w:t>Fraud Labels</w:t>
            </w:r>
          </w:p>
        </w:tc>
        <w:tc>
          <w:tcPr>
            <w:tcW w:type="dxa" w:w="2160"/>
            <w:vAlign w:val="center"/>
          </w:tcPr>
          <w:p>
            <w:pPr>
              <w:jc w:val="left"/>
            </w:pPr>
            <w:r>
              <w:rPr>
                <w:b w:val="0"/>
                <w:color w:val="1E1E1E"/>
                <w:sz w:val="20"/>
              </w:rPr>
              <w:t>5,410</w:t>
            </w:r>
          </w:p>
        </w:tc>
        <w:tc>
          <w:tcPr>
            <w:tcW w:type="dxa" w:w="5040"/>
            <w:vAlign w:val="center"/>
          </w:tcPr>
          <w:p>
            <w:pPr>
              <w:jc w:val="left"/>
            </w:pPr>
            <w:r>
              <w:rPr>
                <w:b w:val="0"/>
                <w:color w:val="1E1E1E"/>
                <w:sz w:val="20"/>
              </w:rPr>
              <w:t>Provider ID + Fraud label (Yes/No) — target variable</w:t>
            </w:r>
          </w:p>
        </w:tc>
      </w:tr>
    </w:tbl>
    <w:p/>
    <w:p>
      <w:r>
        <w:br w:type="page"/>
      </w:r>
    </w:p>
    <w:p>
      <w:pPr>
        <w:pStyle w:val="Heading1"/>
        <w:jc w:val="left"/>
      </w:pPr>
      <w:r>
        <w:rPr>
          <w:color w:val="1F3864"/>
        </w:rPr>
        <w:t>3. Data Management</w:t>
      </w:r>
    </w:p>
    <w:p>
      <w:r>
        <w:rPr>
          <w:b/>
          <w:i w:val="0"/>
          <w:sz w:val="24"/>
        </w:rPr>
        <w:t>Step 1 — Loading All Datasets</w:t>
      </w:r>
    </w:p>
    <w:p>
      <w:r>
        <w:rPr>
          <w:b w:val="0"/>
          <w:i w:val="0"/>
          <w:sz w:val="22"/>
        </w:rPr>
        <w:t>All four CSV files for training and unseen data were loaded using pandas. File paths were validated programmatically before loading to ensure no missing files.</w:t>
      </w:r>
    </w:p>
    <w:p>
      <w:r>
        <w:rPr>
          <w:b/>
          <w:i w:val="0"/>
          <w:sz w:val="24"/>
        </w:rPr>
        <w:t>Step 2 — Date Column Conversion</w:t>
      </w:r>
    </w:p>
    <w:p>
      <w:r>
        <w:rPr>
          <w:b w:val="0"/>
          <w:i w:val="0"/>
          <w:sz w:val="22"/>
        </w:rPr>
        <w:t>All date columns (ClaimStartDt, ClaimEndDt, AdmissionDt, DischargeDt, DOB, DOD) were stored as text strings in the original data. These were converted to Python datetime objects using pd.to_datetime() to enable date arithmetic.</w:t>
      </w:r>
    </w:p>
    <w:p>
      <w:r>
        <w:rPr>
          <w:b/>
          <w:i w:val="0"/>
          <w:sz w:val="24"/>
        </w:rPr>
        <w:t>Step 3 — Patient Age Calculation</w:t>
      </w:r>
    </w:p>
    <w:p>
      <w:r>
        <w:rPr>
          <w:b w:val="0"/>
          <w:i w:val="0"/>
          <w:sz w:val="22"/>
        </w:rPr>
        <w:t>Patient age was not directly provided. It was calculated by subtracting the Date of Birth from a reference date of December 1, 2009, which corresponds to the end of the data collection period. Age was expressed in years.</w:t>
      </w:r>
    </w:p>
    <w:p>
      <w:r>
        <w:rPr>
          <w:b/>
          <w:i w:val="0"/>
          <w:sz w:val="24"/>
        </w:rPr>
        <w:t>Step 4 — Deceased Patient Flag</w:t>
      </w:r>
    </w:p>
    <w:p>
      <w:r>
        <w:rPr>
          <w:b w:val="0"/>
          <w:i w:val="0"/>
          <w:sz w:val="22"/>
        </w:rPr>
        <w:t>A binary IsDead flag was created for each beneficiary. If a Date of Death (DOD) value was present, IsDead = 1; otherwise IsDead = 0. This flag captures whether a provider's patient base includes a disproportionate number of deceased patients — a key fraud indicator.</w:t>
      </w:r>
    </w:p>
    <w:p>
      <w:r>
        <w:rPr>
          <w:b/>
          <w:i w:val="0"/>
          <w:sz w:val="24"/>
        </w:rPr>
        <w:t>Step 5 — Chronic Condition Re-encoding</w:t>
      </w:r>
    </w:p>
    <w:p>
      <w:r>
        <w:rPr>
          <w:b w:val="0"/>
          <w:i w:val="0"/>
          <w:sz w:val="22"/>
        </w:rPr>
        <w:t>The original dataset encoded chronic conditions as 1 = Yes and 2 = No, which is counterintuitive for machine learning. All 11 chronic condition columns were re-mapped to the standard binary encoding: 1 = Yes, 0 = No.</w:t>
      </w:r>
    </w:p>
    <w:p>
      <w:r>
        <w:rPr>
          <w:b/>
          <w:i w:val="0"/>
          <w:sz w:val="24"/>
        </w:rPr>
        <w:t>Step 6 — Missing Value Treatment</w:t>
      </w:r>
    </w:p>
    <w:tbl>
      <w:tblPr>
        <w:tblStyle w:val="TableGrid"/>
        <w:tblW w:type="auto" w:w="0"/>
        <w:jc w:val="left"/>
        <w:tblLook w:firstColumn="1" w:firstRow="1" w:lastColumn="0" w:lastRow="0" w:noHBand="0" w:noVBand="1" w:val="04A0"/>
      </w:tblPr>
      <w:tblGrid>
        <w:gridCol w:w="3135"/>
        <w:gridCol w:w="3135"/>
        <w:gridCol w:w="3135"/>
      </w:tblGrid>
      <w:tr>
        <w:tc>
          <w:tcPr>
            <w:tcW w:type="dxa" w:w="3168"/>
            <w:vAlign w:val="center"/>
            <w:shd w:val="clear" w:color="auto" w:fill="1F3864"/>
          </w:tcPr>
          <w:p>
            <w:pPr>
              <w:jc w:val="left"/>
            </w:pPr>
            <w:r>
              <w:rPr>
                <w:b/>
                <w:color w:val="FFFFFF"/>
                <w:sz w:val="20"/>
              </w:rPr>
              <w:t>Column Type</w:t>
            </w:r>
          </w:p>
        </w:tc>
        <w:tc>
          <w:tcPr>
            <w:tcW w:type="dxa" w:w="2592"/>
            <w:vAlign w:val="center"/>
            <w:shd w:val="clear" w:color="auto" w:fill="1F3864"/>
          </w:tcPr>
          <w:p>
            <w:pPr>
              <w:jc w:val="left"/>
            </w:pPr>
            <w:r>
              <w:rPr>
                <w:b/>
                <w:color w:val="FFFFFF"/>
                <w:sz w:val="20"/>
              </w:rPr>
              <w:t>Missing Value Treatment</w:t>
            </w:r>
          </w:p>
        </w:tc>
        <w:tc>
          <w:tcPr>
            <w:tcW w:type="dxa" w:w="4320"/>
            <w:vAlign w:val="center"/>
            <w:shd w:val="clear" w:color="auto" w:fill="1F3864"/>
          </w:tcPr>
          <w:p>
            <w:pPr>
              <w:jc w:val="left"/>
            </w:pPr>
            <w:r>
              <w:rPr>
                <w:b/>
                <w:color w:val="FFFFFF"/>
                <w:sz w:val="20"/>
              </w:rPr>
              <w:t>Justification</w:t>
            </w:r>
          </w:p>
        </w:tc>
      </w:tr>
      <w:tr>
        <w:tc>
          <w:tcPr>
            <w:tcW w:type="dxa" w:w="3168"/>
            <w:vAlign w:val="center"/>
            <w:shd w:val="clear" w:color="auto" w:fill="F2F2F2"/>
          </w:tcPr>
          <w:p>
            <w:pPr>
              <w:jc w:val="left"/>
            </w:pPr>
            <w:r>
              <w:rPr>
                <w:b w:val="0"/>
                <w:color w:val="1E1E1E"/>
                <w:sz w:val="20"/>
              </w:rPr>
              <w:t>Diagnosis code columns (up to 10)</w:t>
            </w:r>
          </w:p>
        </w:tc>
        <w:tc>
          <w:tcPr>
            <w:tcW w:type="dxa" w:w="2592"/>
            <w:vAlign w:val="center"/>
            <w:shd w:val="clear" w:color="auto" w:fill="F2F2F2"/>
          </w:tcPr>
          <w:p>
            <w:pPr>
              <w:jc w:val="left"/>
            </w:pPr>
            <w:r>
              <w:rPr>
                <w:b w:val="0"/>
                <w:color w:val="1E1E1E"/>
                <w:sz w:val="20"/>
              </w:rPr>
              <w:t>Filled with 0</w:t>
            </w:r>
          </w:p>
        </w:tc>
        <w:tc>
          <w:tcPr>
            <w:tcW w:type="dxa" w:w="4320"/>
            <w:vAlign w:val="center"/>
            <w:shd w:val="clear" w:color="auto" w:fill="F2F2F2"/>
          </w:tcPr>
          <w:p>
            <w:pPr>
              <w:jc w:val="left"/>
            </w:pPr>
            <w:r>
              <w:rPr>
                <w:b w:val="0"/>
                <w:color w:val="1E1E1E"/>
                <w:sz w:val="20"/>
              </w:rPr>
              <w:t>Absence of a code is meaningful — not all slots are used</w:t>
            </w:r>
          </w:p>
        </w:tc>
      </w:tr>
      <w:tr>
        <w:tc>
          <w:tcPr>
            <w:tcW w:type="dxa" w:w="3168"/>
            <w:vAlign w:val="center"/>
          </w:tcPr>
          <w:p>
            <w:pPr>
              <w:jc w:val="left"/>
            </w:pPr>
            <w:r>
              <w:rPr>
                <w:b w:val="0"/>
                <w:color w:val="1E1E1E"/>
                <w:sz w:val="20"/>
              </w:rPr>
              <w:t>Procedure code columns (up to 6)</w:t>
            </w:r>
          </w:p>
        </w:tc>
        <w:tc>
          <w:tcPr>
            <w:tcW w:type="dxa" w:w="2592"/>
            <w:vAlign w:val="center"/>
          </w:tcPr>
          <w:p>
            <w:pPr>
              <w:jc w:val="left"/>
            </w:pPr>
            <w:r>
              <w:rPr>
                <w:b w:val="0"/>
                <w:color w:val="1E1E1E"/>
                <w:sz w:val="20"/>
              </w:rPr>
              <w:t>Filled with 0</w:t>
            </w:r>
          </w:p>
        </w:tc>
        <w:tc>
          <w:tcPr>
            <w:tcW w:type="dxa" w:w="4320"/>
            <w:vAlign w:val="center"/>
          </w:tcPr>
          <w:p>
            <w:pPr>
              <w:jc w:val="left"/>
            </w:pPr>
            <w:r>
              <w:rPr>
                <w:b w:val="0"/>
                <w:color w:val="1E1E1E"/>
                <w:sz w:val="20"/>
              </w:rPr>
              <w:t>Same rationale as diagnosis codes</w:t>
            </w:r>
          </w:p>
        </w:tc>
      </w:tr>
      <w:tr>
        <w:tc>
          <w:tcPr>
            <w:tcW w:type="dxa" w:w="3168"/>
            <w:vAlign w:val="center"/>
            <w:shd w:val="clear" w:color="auto" w:fill="F2F2F2"/>
          </w:tcPr>
          <w:p>
            <w:pPr>
              <w:jc w:val="left"/>
            </w:pPr>
            <w:r>
              <w:rPr>
                <w:b w:val="0"/>
                <w:color w:val="1E1E1E"/>
                <w:sz w:val="20"/>
              </w:rPr>
              <w:t>Physician ID columns</w:t>
            </w:r>
          </w:p>
        </w:tc>
        <w:tc>
          <w:tcPr>
            <w:tcW w:type="dxa" w:w="2592"/>
            <w:vAlign w:val="center"/>
            <w:shd w:val="clear" w:color="auto" w:fill="F2F2F2"/>
          </w:tcPr>
          <w:p>
            <w:pPr>
              <w:jc w:val="left"/>
            </w:pPr>
            <w:r>
              <w:rPr>
                <w:b w:val="0"/>
                <w:color w:val="1E1E1E"/>
                <w:sz w:val="20"/>
              </w:rPr>
              <w:t>Filled with 0</w:t>
            </w:r>
          </w:p>
        </w:tc>
        <w:tc>
          <w:tcPr>
            <w:tcW w:type="dxa" w:w="4320"/>
            <w:vAlign w:val="center"/>
            <w:shd w:val="clear" w:color="auto" w:fill="F2F2F2"/>
          </w:tcPr>
          <w:p>
            <w:pPr>
              <w:jc w:val="left"/>
            </w:pPr>
            <w:r>
              <w:rPr>
                <w:b w:val="0"/>
                <w:color w:val="1E1E1E"/>
                <w:sz w:val="20"/>
              </w:rPr>
              <w:t>No physician assigned to the slot</w:t>
            </w:r>
          </w:p>
        </w:tc>
      </w:tr>
      <w:tr>
        <w:tc>
          <w:tcPr>
            <w:tcW w:type="dxa" w:w="3168"/>
            <w:vAlign w:val="center"/>
          </w:tcPr>
          <w:p>
            <w:pPr>
              <w:jc w:val="left"/>
            </w:pPr>
            <w:r>
              <w:rPr>
                <w:b w:val="0"/>
                <w:color w:val="1E1E1E"/>
                <w:sz w:val="20"/>
              </w:rPr>
              <w:t>Monetary amount columns</w:t>
            </w:r>
          </w:p>
        </w:tc>
        <w:tc>
          <w:tcPr>
            <w:tcW w:type="dxa" w:w="2592"/>
            <w:vAlign w:val="center"/>
          </w:tcPr>
          <w:p>
            <w:pPr>
              <w:jc w:val="left"/>
            </w:pPr>
            <w:r>
              <w:rPr>
                <w:b w:val="0"/>
                <w:color w:val="1E1E1E"/>
                <w:sz w:val="20"/>
              </w:rPr>
              <w:t>Filled with 0</w:t>
            </w:r>
          </w:p>
        </w:tc>
        <w:tc>
          <w:tcPr>
            <w:tcW w:type="dxa" w:w="4320"/>
            <w:vAlign w:val="center"/>
          </w:tcPr>
          <w:p>
            <w:pPr>
              <w:jc w:val="left"/>
            </w:pPr>
            <w:r>
              <w:rPr>
                <w:b w:val="0"/>
                <w:color w:val="1E1E1E"/>
                <w:sz w:val="20"/>
              </w:rPr>
              <w:t>No amount means zero charge</w:t>
            </w:r>
          </w:p>
        </w:tc>
      </w:tr>
      <w:tr>
        <w:tc>
          <w:tcPr>
            <w:tcW w:type="dxa" w:w="3168"/>
            <w:vAlign w:val="center"/>
            <w:shd w:val="clear" w:color="auto" w:fill="F2F2F2"/>
          </w:tcPr>
          <w:p>
            <w:pPr>
              <w:jc w:val="left"/>
            </w:pPr>
            <w:r>
              <w:rPr>
                <w:b w:val="0"/>
                <w:color w:val="1E1E1E"/>
                <w:sz w:val="20"/>
              </w:rPr>
              <w:t>Date of Death (DOD)</w:t>
            </w:r>
          </w:p>
        </w:tc>
        <w:tc>
          <w:tcPr>
            <w:tcW w:type="dxa" w:w="2592"/>
            <w:vAlign w:val="center"/>
            <w:shd w:val="clear" w:color="auto" w:fill="F2F2F2"/>
          </w:tcPr>
          <w:p>
            <w:pPr>
              <w:jc w:val="left"/>
            </w:pPr>
            <w:r>
              <w:rPr>
                <w:b w:val="0"/>
                <w:color w:val="1E1E1E"/>
                <w:sz w:val="20"/>
              </w:rPr>
              <w:t>Left as NaT; used for IsDead flag</w:t>
            </w:r>
          </w:p>
        </w:tc>
        <w:tc>
          <w:tcPr>
            <w:tcW w:type="dxa" w:w="4320"/>
            <w:vAlign w:val="center"/>
            <w:shd w:val="clear" w:color="auto" w:fill="F2F2F2"/>
          </w:tcPr>
          <w:p>
            <w:pPr>
              <w:jc w:val="left"/>
            </w:pPr>
            <w:r>
              <w:rPr>
                <w:b w:val="0"/>
                <w:color w:val="1E1E1E"/>
                <w:sz w:val="20"/>
              </w:rPr>
              <w:t>Missing DOD means the patient is alive</w:t>
            </w:r>
          </w:p>
        </w:tc>
      </w:tr>
    </w:tbl>
    <w:p/>
    <w:p>
      <w:r>
        <w:rPr>
          <w:b/>
          <w:i w:val="0"/>
          <w:sz w:val="24"/>
        </w:rPr>
        <w:t>Step 7 — Duration Feature Calculation</w:t>
      </w:r>
    </w:p>
    <w:p>
      <w:r>
        <w:rPr>
          <w:b w:val="0"/>
          <w:i w:val="0"/>
          <w:sz w:val="22"/>
        </w:rPr>
        <w:t>Two duration features were computed from date differences. Claim Duration was computed as ClaimEndDt minus ClaimStartDt in days, capturing the billing period length. Hospital Stay Duration (Inpatient only) was computed as DischargeDt minus AdmissionDt in days, capturing how long a patient was physically admitted.</w:t>
      </w:r>
    </w:p>
    <w:p>
      <w:r>
        <w:rPr>
          <w:b/>
          <w:i w:val="0"/>
          <w:sz w:val="24"/>
        </w:rPr>
        <w:t>Step 8 — Duplicate and Consistency Checks</w:t>
      </w:r>
    </w:p>
    <w:p>
      <w:r>
        <w:rPr>
          <w:b w:val="0"/>
          <w:i w:val="0"/>
          <w:sz w:val="22"/>
        </w:rPr>
        <w:t>Duplicate records were checked using df.duplicated(). Each ClaimID was unique so no claim-level duplicates were found. Provider IDs were verified to be consistent across all datasets.</w:t>
      </w:r>
    </w:p>
    <w:p/>
    <w:p>
      <w:pPr>
        <w:pStyle w:val="Heading1"/>
        <w:jc w:val="left"/>
      </w:pPr>
      <w:r>
        <w:rPr>
          <w:color w:val="1F3864"/>
        </w:rPr>
        <w:t>4. Exploratory Data Analysis (EDA)</w:t>
      </w:r>
    </w:p>
    <w:p>
      <w:r>
        <w:rPr>
          <w:b w:val="0"/>
          <w:i w:val="0"/>
          <w:sz w:val="22"/>
        </w:rPr>
        <w:t>EDA was performed to understand the data distribution, identify patterns that distinguish fraudulent from legitimate providers, and inform feature engineering decisions. The following visualizations were created:</w:t>
      </w:r>
    </w:p>
    <w:tbl>
      <w:tblPr>
        <w:tblStyle w:val="TableGrid"/>
        <w:tblW w:type="auto" w:w="0"/>
        <w:jc w:val="left"/>
        <w:tblLook w:firstColumn="1" w:firstRow="1" w:lastColumn="0" w:lastRow="0" w:noHBand="0" w:noVBand="1" w:val="04A0"/>
      </w:tblPr>
      <w:tblGrid>
        <w:gridCol w:w="3135"/>
        <w:gridCol w:w="3135"/>
        <w:gridCol w:w="3135"/>
      </w:tblGrid>
      <w:tr>
        <w:tc>
          <w:tcPr>
            <w:tcW w:type="dxa" w:w="2880"/>
            <w:vAlign w:val="center"/>
            <w:shd w:val="clear" w:color="auto" w:fill="1F3864"/>
          </w:tcPr>
          <w:p>
            <w:pPr>
              <w:jc w:val="left"/>
            </w:pPr>
            <w:r>
              <w:rPr>
                <w:b/>
                <w:color w:val="FFFFFF"/>
                <w:sz w:val="20"/>
              </w:rPr>
              <w:t>Visualization</w:t>
            </w:r>
          </w:p>
        </w:tc>
        <w:tc>
          <w:tcPr>
            <w:tcW w:type="dxa" w:w="3600"/>
            <w:vAlign w:val="center"/>
            <w:shd w:val="clear" w:color="auto" w:fill="1F3864"/>
          </w:tcPr>
          <w:p>
            <w:pPr>
              <w:jc w:val="left"/>
            </w:pPr>
            <w:r>
              <w:rPr>
                <w:b/>
                <w:color w:val="FFFFFF"/>
                <w:sz w:val="20"/>
              </w:rPr>
              <w:t>What It Shows</w:t>
            </w:r>
          </w:p>
        </w:tc>
        <w:tc>
          <w:tcPr>
            <w:tcW w:type="dxa" w:w="3600"/>
            <w:vAlign w:val="center"/>
            <w:shd w:val="clear" w:color="auto" w:fill="1F3864"/>
          </w:tcPr>
          <w:p>
            <w:pPr>
              <w:jc w:val="left"/>
            </w:pPr>
            <w:r>
              <w:rPr>
                <w:b/>
                <w:color w:val="FFFFFF"/>
                <w:sz w:val="20"/>
              </w:rPr>
              <w:t>Key Insight</w:t>
            </w:r>
          </w:p>
        </w:tc>
      </w:tr>
      <w:tr>
        <w:tc>
          <w:tcPr>
            <w:tcW w:type="dxa" w:w="2880"/>
            <w:vAlign w:val="center"/>
            <w:shd w:val="clear" w:color="auto" w:fill="F2F2F2"/>
          </w:tcPr>
          <w:p>
            <w:pPr>
              <w:jc w:val="left"/>
            </w:pPr>
            <w:r>
              <w:rPr>
                <w:b w:val="0"/>
                <w:color w:val="1E1E1E"/>
                <w:sz w:val="20"/>
              </w:rPr>
              <w:t>Fraud vs Non-Fraud Distribution</w:t>
            </w:r>
          </w:p>
        </w:tc>
        <w:tc>
          <w:tcPr>
            <w:tcW w:type="dxa" w:w="3600"/>
            <w:vAlign w:val="center"/>
            <w:shd w:val="clear" w:color="auto" w:fill="F2F2F2"/>
          </w:tcPr>
          <w:p>
            <w:pPr>
              <w:jc w:val="left"/>
            </w:pPr>
            <w:r>
              <w:rPr>
                <w:b w:val="0"/>
                <w:color w:val="1E1E1E"/>
                <w:sz w:val="20"/>
              </w:rPr>
              <w:t>Proportion of fraudulent vs legitimate providers</w:t>
            </w:r>
          </w:p>
        </w:tc>
        <w:tc>
          <w:tcPr>
            <w:tcW w:type="dxa" w:w="3600"/>
            <w:vAlign w:val="center"/>
            <w:shd w:val="clear" w:color="auto" w:fill="F2F2F2"/>
          </w:tcPr>
          <w:p>
            <w:pPr>
              <w:jc w:val="left"/>
            </w:pPr>
            <w:r>
              <w:rPr>
                <w:b w:val="0"/>
                <w:color w:val="1E1E1E"/>
                <w:sz w:val="20"/>
              </w:rPr>
              <w:t>Only ~9% of providers are fraudulent — severe class imbalance requiring SMOTE</w:t>
            </w:r>
          </w:p>
        </w:tc>
      </w:tr>
      <w:tr>
        <w:tc>
          <w:tcPr>
            <w:tcW w:type="dxa" w:w="2880"/>
            <w:vAlign w:val="center"/>
          </w:tcPr>
          <w:p>
            <w:pPr>
              <w:jc w:val="left"/>
            </w:pPr>
            <w:r>
              <w:rPr>
                <w:b w:val="0"/>
                <w:color w:val="1E1E1E"/>
                <w:sz w:val="20"/>
              </w:rPr>
              <w:t>EDA Overview Chart</w:t>
            </w:r>
          </w:p>
        </w:tc>
        <w:tc>
          <w:tcPr>
            <w:tcW w:type="dxa" w:w="3600"/>
            <w:vAlign w:val="center"/>
          </w:tcPr>
          <w:p>
            <w:pPr>
              <w:jc w:val="left"/>
            </w:pPr>
            <w:r>
              <w:rPr>
                <w:b w:val="0"/>
                <w:color w:val="1E1E1E"/>
                <w:sz w:val="20"/>
              </w:rPr>
              <w:t>Claim count distributions, box plots of reimbursement by fraud class</w:t>
            </w:r>
          </w:p>
        </w:tc>
        <w:tc>
          <w:tcPr>
            <w:tcW w:type="dxa" w:w="3600"/>
            <w:vAlign w:val="center"/>
          </w:tcPr>
          <w:p>
            <w:pPr>
              <w:jc w:val="left"/>
            </w:pPr>
            <w:r>
              <w:rPr>
                <w:b w:val="0"/>
                <w:color w:val="1E1E1E"/>
                <w:sz w:val="20"/>
              </w:rPr>
              <w:t>Fraudulent providers show significantly higher claim volumes and reimbursement amounts</w:t>
            </w:r>
          </w:p>
        </w:tc>
      </w:tr>
      <w:tr>
        <w:tc>
          <w:tcPr>
            <w:tcW w:type="dxa" w:w="2880"/>
            <w:vAlign w:val="center"/>
            <w:shd w:val="clear" w:color="auto" w:fill="F2F2F2"/>
          </w:tcPr>
          <w:p>
            <w:pPr>
              <w:jc w:val="left"/>
            </w:pPr>
            <w:r>
              <w:rPr>
                <w:b w:val="0"/>
                <w:color w:val="1E1E1E"/>
                <w:sz w:val="20"/>
              </w:rPr>
              <w:t>Correlation Heatmap</w:t>
            </w:r>
          </w:p>
        </w:tc>
        <w:tc>
          <w:tcPr>
            <w:tcW w:type="dxa" w:w="3600"/>
            <w:vAlign w:val="center"/>
            <w:shd w:val="clear" w:color="auto" w:fill="F2F2F2"/>
          </w:tcPr>
          <w:p>
            <w:pPr>
              <w:jc w:val="left"/>
            </w:pPr>
            <w:r>
              <w:rPr>
                <w:b w:val="0"/>
                <w:color w:val="1E1E1E"/>
                <w:sz w:val="20"/>
              </w:rPr>
              <w:t>Top 20 feature correlations with each other and with the fraud label</w:t>
            </w:r>
          </w:p>
        </w:tc>
        <w:tc>
          <w:tcPr>
            <w:tcW w:type="dxa" w:w="3600"/>
            <w:vAlign w:val="center"/>
            <w:shd w:val="clear" w:color="auto" w:fill="F2F2F2"/>
          </w:tcPr>
          <w:p>
            <w:pPr>
              <w:jc w:val="left"/>
            </w:pPr>
            <w:r>
              <w:rPr>
                <w:b w:val="0"/>
                <w:color w:val="1E1E1E"/>
                <w:sz w:val="20"/>
              </w:rPr>
              <w:t>Total reimbursed amount and inpatient claim count are most correlated with fraud</w:t>
            </w:r>
          </w:p>
        </w:tc>
      </w:tr>
      <w:tr>
        <w:tc>
          <w:tcPr>
            <w:tcW w:type="dxa" w:w="2880"/>
            <w:vAlign w:val="center"/>
          </w:tcPr>
          <w:p>
            <w:pPr>
              <w:jc w:val="left"/>
            </w:pPr>
            <w:r>
              <w:rPr>
                <w:b w:val="0"/>
                <w:color w:val="1E1E1E"/>
                <w:sz w:val="20"/>
              </w:rPr>
              <w:t>Feature Importance Chart</w:t>
            </w:r>
          </w:p>
        </w:tc>
        <w:tc>
          <w:tcPr>
            <w:tcW w:type="dxa" w:w="3600"/>
            <w:vAlign w:val="center"/>
          </w:tcPr>
          <w:p>
            <w:pPr>
              <w:jc w:val="left"/>
            </w:pPr>
            <w:r>
              <w:rPr>
                <w:b w:val="0"/>
                <w:color w:val="1E1E1E"/>
                <w:sz w:val="20"/>
              </w:rPr>
              <w:t>Random Forest importance scores for all 56 features</w:t>
            </w:r>
          </w:p>
        </w:tc>
        <w:tc>
          <w:tcPr>
            <w:tcW w:type="dxa" w:w="3600"/>
            <w:vAlign w:val="center"/>
          </w:tcPr>
          <w:p>
            <w:pPr>
              <w:jc w:val="left"/>
            </w:pPr>
            <w:r>
              <w:rPr>
                <w:b w:val="0"/>
                <w:color w:val="1E1E1E"/>
                <w:sz w:val="20"/>
              </w:rPr>
              <w:t>Financial and volume features dominate; chronic condition rates are secondary signals</w:t>
            </w:r>
          </w:p>
        </w:tc>
      </w:tr>
      <w:tr>
        <w:tc>
          <w:tcPr>
            <w:tcW w:type="dxa" w:w="2880"/>
            <w:vAlign w:val="center"/>
            <w:shd w:val="clear" w:color="auto" w:fill="F2F2F2"/>
          </w:tcPr>
          <w:p>
            <w:pPr>
              <w:jc w:val="left"/>
            </w:pPr>
            <w:r>
              <w:rPr>
                <w:b w:val="0"/>
                <w:color w:val="1E1E1E"/>
                <w:sz w:val="20"/>
              </w:rPr>
              <w:t>Model Comparison Chart</w:t>
            </w:r>
          </w:p>
        </w:tc>
        <w:tc>
          <w:tcPr>
            <w:tcW w:type="dxa" w:w="3600"/>
            <w:vAlign w:val="center"/>
            <w:shd w:val="clear" w:color="auto" w:fill="F2F2F2"/>
          </w:tcPr>
          <w:p>
            <w:pPr>
              <w:jc w:val="left"/>
            </w:pPr>
            <w:r>
              <w:rPr>
                <w:b w:val="0"/>
                <w:color w:val="1E1E1E"/>
                <w:sz w:val="20"/>
              </w:rPr>
              <w:t>5-Fold CV ROC-AUC scores for all 4 models</w:t>
            </w:r>
          </w:p>
        </w:tc>
        <w:tc>
          <w:tcPr>
            <w:tcW w:type="dxa" w:w="3600"/>
            <w:vAlign w:val="center"/>
            <w:shd w:val="clear" w:color="auto" w:fill="F2F2F2"/>
          </w:tcPr>
          <w:p>
            <w:pPr>
              <w:jc w:val="left"/>
            </w:pPr>
            <w:r>
              <w:rPr>
                <w:b w:val="0"/>
                <w:color w:val="1E1E1E"/>
                <w:sz w:val="20"/>
              </w:rPr>
              <w:t>XGBoost and LightGBM significantly outperform Logistic Regression</w:t>
            </w:r>
          </w:p>
        </w:tc>
      </w:tr>
      <w:tr>
        <w:tc>
          <w:tcPr>
            <w:tcW w:type="dxa" w:w="2880"/>
            <w:vAlign w:val="center"/>
          </w:tcPr>
          <w:p>
            <w:pPr>
              <w:jc w:val="left"/>
            </w:pPr>
            <w:r>
              <w:rPr>
                <w:b w:val="0"/>
                <w:color w:val="1E1E1E"/>
                <w:sz w:val="20"/>
              </w:rPr>
              <w:t>XGBoost Evaluation Chart</w:t>
            </w:r>
          </w:p>
        </w:tc>
        <w:tc>
          <w:tcPr>
            <w:tcW w:type="dxa" w:w="3600"/>
            <w:vAlign w:val="center"/>
          </w:tcPr>
          <w:p>
            <w:pPr>
              <w:jc w:val="left"/>
            </w:pPr>
            <w:r>
              <w:rPr>
                <w:b w:val="0"/>
                <w:color w:val="1E1E1E"/>
                <w:sz w:val="20"/>
              </w:rPr>
              <w:t>Confusion Matrix, ROC Curve, Precision-Recall Curve</w:t>
            </w:r>
          </w:p>
        </w:tc>
        <w:tc>
          <w:tcPr>
            <w:tcW w:type="dxa" w:w="3600"/>
            <w:vAlign w:val="center"/>
          </w:tcPr>
          <w:p>
            <w:pPr>
              <w:jc w:val="left"/>
            </w:pPr>
            <w:r>
              <w:rPr>
                <w:b w:val="0"/>
                <w:color w:val="1E1E1E"/>
                <w:sz w:val="20"/>
              </w:rPr>
              <w:t>ROC-AUC 0.9615; model achieves 81% recall on fraud class</w:t>
            </w:r>
          </w:p>
        </w:tc>
      </w:tr>
    </w:tbl>
    <w:p/>
    <w:p>
      <w:r>
        <w:rPr>
          <w:b/>
          <w:i w:val="0"/>
          <w:sz w:val="24"/>
        </w:rPr>
        <w:t>Key Business Findings from EDA</w:t>
      </w:r>
    </w:p>
    <w:p>
      <w:pPr>
        <w:pStyle w:val="ListBullet"/>
        <w:ind w:left="432"/>
      </w:pPr>
      <w:r>
        <w:rPr>
          <w:sz w:val="22"/>
        </w:rPr>
        <w:t>Fraudulent providers file on average 3.2x more claims than legitimate providers.</w:t>
      </w:r>
    </w:p>
    <w:p>
      <w:pPr>
        <w:pStyle w:val="ListBullet"/>
        <w:ind w:left="432"/>
      </w:pPr>
      <w:r>
        <w:rPr>
          <w:sz w:val="22"/>
        </w:rPr>
        <w:t>The average total reimbursement claimed by fraudulent providers is 4.8x higher.</w:t>
      </w:r>
    </w:p>
    <w:p>
      <w:pPr>
        <w:pStyle w:val="ListBullet"/>
        <w:ind w:left="432"/>
      </w:pPr>
      <w:r>
        <w:rPr>
          <w:sz w:val="22"/>
        </w:rPr>
        <w:t>Fraudulent providers have significantly longer average hospital stay durations.</w:t>
      </w:r>
    </w:p>
    <w:p>
      <w:pPr>
        <w:pStyle w:val="ListBullet"/>
        <w:ind w:left="432"/>
      </w:pPr>
      <w:r>
        <w:rPr>
          <w:sz w:val="22"/>
        </w:rPr>
        <w:t>Fraudulent providers serve a higher proportion of elderly patients with multiple chronic conditions.</w:t>
      </w:r>
    </w:p>
    <w:p>
      <w:pPr>
        <w:pStyle w:val="ListBullet"/>
        <w:ind w:left="432"/>
      </w:pPr>
      <w:r>
        <w:rPr>
          <w:sz w:val="22"/>
        </w:rPr>
        <w:t>Fraudulent providers use a wider variety of diagnosis codes, suggesting ambiguous or fictitious diagnoses.</w:t>
      </w:r>
    </w:p>
    <w:p>
      <w:pPr>
        <w:pStyle w:val="ListBullet"/>
        <w:ind w:left="432"/>
      </w:pPr>
      <w:r>
        <w:rPr>
          <w:sz w:val="22"/>
        </w:rPr>
        <w:t>The number of unique physician IDs associated with a provider is higher for fraud cases, suggesting billing under multiple physician identities.</w:t>
      </w:r>
    </w:p>
    <w:p>
      <w:r>
        <w:br w:type="page"/>
      </w:r>
    </w:p>
    <w:p>
      <w:pPr>
        <w:pStyle w:val="Heading1"/>
        <w:jc w:val="left"/>
      </w:pPr>
      <w:r>
        <w:rPr>
          <w:color w:val="1F3864"/>
        </w:rPr>
        <w:t>5. Feature Extraction and Engineering</w:t>
      </w:r>
    </w:p>
    <w:p>
      <w:r>
        <w:rPr>
          <w:b w:val="0"/>
          <w:i w:val="0"/>
          <w:sz w:val="22"/>
        </w:rPr>
        <w:t>Since the prediction target is at the provider level but the raw data is at the claim level, all data was aggregated per Provider to create 56 behavioral features. These features capture claim volumes, financial patterns, clinical diversity, physician network size, and patient demographics.</w:t>
      </w:r>
    </w:p>
    <w:p>
      <w:r>
        <w:rPr>
          <w:b/>
          <w:i w:val="0"/>
          <w:color w:val="1F3864"/>
          <w:sz w:val="24"/>
        </w:rPr>
        <w:t>Volume Features</w:t>
      </w:r>
    </w:p>
    <w:tbl>
      <w:tblPr>
        <w:tblStyle w:val="TableGrid"/>
        <w:tblW w:type="auto" w:w="0"/>
        <w:jc w:val="left"/>
        <w:tblLook w:firstColumn="1" w:firstRow="1" w:lastColumn="0" w:lastRow="0" w:noHBand="0" w:noVBand="1" w:val="04A0"/>
      </w:tblPr>
      <w:tblGrid>
        <w:gridCol w:w="3135"/>
        <w:gridCol w:w="3135"/>
        <w:gridCol w:w="3135"/>
      </w:tblGrid>
      <w:tr>
        <w:tc>
          <w:tcPr>
            <w:tcW w:type="dxa" w:w="2880"/>
            <w:vAlign w:val="center"/>
            <w:shd w:val="clear" w:color="auto" w:fill="1F3864"/>
          </w:tcPr>
          <w:p>
            <w:pPr>
              <w:jc w:val="left"/>
            </w:pPr>
            <w:r>
              <w:rPr>
                <w:b/>
                <w:color w:val="FFFFFF"/>
                <w:sz w:val="20"/>
              </w:rPr>
              <w:t>Feature</w:t>
            </w:r>
          </w:p>
        </w:tc>
        <w:tc>
          <w:tcPr>
            <w:tcW w:type="dxa" w:w="3600"/>
            <w:vAlign w:val="center"/>
            <w:shd w:val="clear" w:color="auto" w:fill="1F3864"/>
          </w:tcPr>
          <w:p>
            <w:pPr>
              <w:jc w:val="left"/>
            </w:pPr>
            <w:r>
              <w:rPr>
                <w:b/>
                <w:color w:val="FFFFFF"/>
                <w:sz w:val="20"/>
              </w:rPr>
              <w:t>Description</w:t>
            </w:r>
          </w:p>
        </w:tc>
        <w:tc>
          <w:tcPr>
            <w:tcW w:type="dxa" w:w="3600"/>
            <w:vAlign w:val="center"/>
            <w:shd w:val="clear" w:color="auto" w:fill="1F3864"/>
          </w:tcPr>
          <w:p>
            <w:pPr>
              <w:jc w:val="left"/>
            </w:pPr>
            <w:r>
              <w:rPr>
                <w:b/>
                <w:color w:val="FFFFFF"/>
                <w:sz w:val="20"/>
              </w:rPr>
              <w:t>Fraud Signal</w:t>
            </w:r>
          </w:p>
        </w:tc>
      </w:tr>
      <w:tr>
        <w:tc>
          <w:tcPr>
            <w:tcW w:type="dxa" w:w="2880"/>
            <w:vAlign w:val="center"/>
            <w:shd w:val="clear" w:color="auto" w:fill="F2F2F2"/>
          </w:tcPr>
          <w:p>
            <w:pPr>
              <w:jc w:val="left"/>
            </w:pPr>
            <w:r>
              <w:rPr>
                <w:b w:val="0"/>
                <w:color w:val="1E1E1E"/>
                <w:sz w:val="20"/>
              </w:rPr>
              <w:t>Total_Claims</w:t>
            </w:r>
          </w:p>
        </w:tc>
        <w:tc>
          <w:tcPr>
            <w:tcW w:type="dxa" w:w="3600"/>
            <w:vAlign w:val="center"/>
            <w:shd w:val="clear" w:color="auto" w:fill="F2F2F2"/>
          </w:tcPr>
          <w:p>
            <w:pPr>
              <w:jc w:val="left"/>
            </w:pPr>
            <w:r>
              <w:rPr>
                <w:b w:val="0"/>
                <w:color w:val="1E1E1E"/>
                <w:sz w:val="20"/>
              </w:rPr>
              <w:t>Total inpatient + outpatient claims filed</w:t>
            </w:r>
          </w:p>
        </w:tc>
        <w:tc>
          <w:tcPr>
            <w:tcW w:type="dxa" w:w="3600"/>
            <w:vAlign w:val="center"/>
            <w:shd w:val="clear" w:color="auto" w:fill="F2F2F2"/>
          </w:tcPr>
          <w:p>
            <w:pPr>
              <w:jc w:val="left"/>
            </w:pPr>
            <w:r>
              <w:rPr>
                <w:b w:val="0"/>
                <w:color w:val="1E1E1E"/>
                <w:sz w:val="20"/>
              </w:rPr>
              <w:t>Fraudsters file abnormally high claim volumes</w:t>
            </w:r>
          </w:p>
        </w:tc>
      </w:tr>
      <w:tr>
        <w:tc>
          <w:tcPr>
            <w:tcW w:type="dxa" w:w="2880"/>
            <w:vAlign w:val="center"/>
          </w:tcPr>
          <w:p>
            <w:pPr>
              <w:jc w:val="left"/>
            </w:pPr>
            <w:r>
              <w:rPr>
                <w:b w:val="0"/>
                <w:color w:val="1E1E1E"/>
                <w:sz w:val="20"/>
              </w:rPr>
              <w:t>IP_TotalClaims</w:t>
            </w:r>
          </w:p>
        </w:tc>
        <w:tc>
          <w:tcPr>
            <w:tcW w:type="dxa" w:w="3600"/>
            <w:vAlign w:val="center"/>
          </w:tcPr>
          <w:p>
            <w:pPr>
              <w:jc w:val="left"/>
            </w:pPr>
            <w:r>
              <w:rPr>
                <w:b w:val="0"/>
                <w:color w:val="1E1E1E"/>
                <w:sz w:val="20"/>
              </w:rPr>
              <w:t>Inpatient claim count</w:t>
            </w:r>
          </w:p>
        </w:tc>
        <w:tc>
          <w:tcPr>
            <w:tcW w:type="dxa" w:w="3600"/>
            <w:vAlign w:val="center"/>
          </w:tcPr>
          <w:p>
            <w:pPr>
              <w:jc w:val="left"/>
            </w:pPr>
            <w:r>
              <w:rPr>
                <w:b w:val="0"/>
                <w:color w:val="1E1E1E"/>
                <w:sz w:val="20"/>
              </w:rPr>
              <w:t>High inpatient volume indicates inflated admissions</w:t>
            </w:r>
          </w:p>
        </w:tc>
      </w:tr>
      <w:tr>
        <w:tc>
          <w:tcPr>
            <w:tcW w:type="dxa" w:w="2880"/>
            <w:vAlign w:val="center"/>
            <w:shd w:val="clear" w:color="auto" w:fill="F2F2F2"/>
          </w:tcPr>
          <w:p>
            <w:pPr>
              <w:jc w:val="left"/>
            </w:pPr>
            <w:r>
              <w:rPr>
                <w:b w:val="0"/>
                <w:color w:val="1E1E1E"/>
                <w:sz w:val="20"/>
              </w:rPr>
              <w:t>OP_TotalClaims</w:t>
            </w:r>
          </w:p>
        </w:tc>
        <w:tc>
          <w:tcPr>
            <w:tcW w:type="dxa" w:w="3600"/>
            <w:vAlign w:val="center"/>
            <w:shd w:val="clear" w:color="auto" w:fill="F2F2F2"/>
          </w:tcPr>
          <w:p>
            <w:pPr>
              <w:jc w:val="left"/>
            </w:pPr>
            <w:r>
              <w:rPr>
                <w:b w:val="0"/>
                <w:color w:val="1E1E1E"/>
                <w:sz w:val="20"/>
              </w:rPr>
              <w:t>Outpatient claim count</w:t>
            </w:r>
          </w:p>
        </w:tc>
        <w:tc>
          <w:tcPr>
            <w:tcW w:type="dxa" w:w="3600"/>
            <w:vAlign w:val="center"/>
            <w:shd w:val="clear" w:color="auto" w:fill="F2F2F2"/>
          </w:tcPr>
          <w:p>
            <w:pPr>
              <w:jc w:val="left"/>
            </w:pPr>
            <w:r>
              <w:rPr>
                <w:b w:val="0"/>
                <w:color w:val="1E1E1E"/>
                <w:sz w:val="20"/>
              </w:rPr>
              <w:t>High outpatient volume suggests phantom visits</w:t>
            </w:r>
          </w:p>
        </w:tc>
      </w:tr>
      <w:tr>
        <w:tc>
          <w:tcPr>
            <w:tcW w:type="dxa" w:w="2880"/>
            <w:vAlign w:val="center"/>
          </w:tcPr>
          <w:p>
            <w:pPr>
              <w:jc w:val="left"/>
            </w:pPr>
            <w:r>
              <w:rPr>
                <w:b w:val="0"/>
                <w:color w:val="1E1E1E"/>
                <w:sz w:val="20"/>
              </w:rPr>
              <w:t>IP_UniquePatients</w:t>
            </w:r>
          </w:p>
        </w:tc>
        <w:tc>
          <w:tcPr>
            <w:tcW w:type="dxa" w:w="3600"/>
            <w:vAlign w:val="center"/>
          </w:tcPr>
          <w:p>
            <w:pPr>
              <w:jc w:val="left"/>
            </w:pPr>
            <w:r>
              <w:rPr>
                <w:b w:val="0"/>
                <w:color w:val="1E1E1E"/>
                <w:sz w:val="20"/>
              </w:rPr>
              <w:t>Distinct patients in inpatient claims</w:t>
            </w:r>
          </w:p>
        </w:tc>
        <w:tc>
          <w:tcPr>
            <w:tcW w:type="dxa" w:w="3600"/>
            <w:vAlign w:val="center"/>
          </w:tcPr>
          <w:p>
            <w:pPr>
              <w:jc w:val="left"/>
            </w:pPr>
            <w:r>
              <w:rPr>
                <w:b w:val="0"/>
                <w:color w:val="1E1E1E"/>
                <w:sz w:val="20"/>
              </w:rPr>
              <w:t>Low unique patients with high claims = reusing patient IDs</w:t>
            </w:r>
          </w:p>
        </w:tc>
      </w:tr>
      <w:tr>
        <w:tc>
          <w:tcPr>
            <w:tcW w:type="dxa" w:w="2880"/>
            <w:vAlign w:val="center"/>
            <w:shd w:val="clear" w:color="auto" w:fill="F2F2F2"/>
          </w:tcPr>
          <w:p>
            <w:pPr>
              <w:jc w:val="left"/>
            </w:pPr>
            <w:r>
              <w:rPr>
                <w:b w:val="0"/>
                <w:color w:val="1E1E1E"/>
                <w:sz w:val="20"/>
              </w:rPr>
              <w:t>IP_ClaimsPerPatient</w:t>
            </w:r>
          </w:p>
        </w:tc>
        <w:tc>
          <w:tcPr>
            <w:tcW w:type="dxa" w:w="3600"/>
            <w:vAlign w:val="center"/>
            <w:shd w:val="clear" w:color="auto" w:fill="F2F2F2"/>
          </w:tcPr>
          <w:p>
            <w:pPr>
              <w:jc w:val="left"/>
            </w:pPr>
            <w:r>
              <w:rPr>
                <w:b w:val="0"/>
                <w:color w:val="1E1E1E"/>
                <w:sz w:val="20"/>
              </w:rPr>
              <w:t>Average IP claims per unique patient</w:t>
            </w:r>
          </w:p>
        </w:tc>
        <w:tc>
          <w:tcPr>
            <w:tcW w:type="dxa" w:w="3600"/>
            <w:vAlign w:val="center"/>
            <w:shd w:val="clear" w:color="auto" w:fill="F2F2F2"/>
          </w:tcPr>
          <w:p>
            <w:pPr>
              <w:jc w:val="left"/>
            </w:pPr>
            <w:r>
              <w:rPr>
                <w:b w:val="0"/>
                <w:color w:val="1E1E1E"/>
                <w:sz w:val="20"/>
              </w:rPr>
              <w:t>Multiple claims per patient is suspicious</w:t>
            </w:r>
          </w:p>
        </w:tc>
      </w:tr>
    </w:tbl>
    <w:p/>
    <w:p>
      <w:r>
        <w:rPr>
          <w:b/>
          <w:i w:val="0"/>
          <w:color w:val="1F3864"/>
          <w:sz w:val="24"/>
        </w:rPr>
        <w:t>Financial Features</w:t>
      </w:r>
    </w:p>
    <w:tbl>
      <w:tblPr>
        <w:tblStyle w:val="TableGrid"/>
        <w:tblW w:type="auto" w:w="0"/>
        <w:jc w:val="left"/>
        <w:tblLook w:firstColumn="1" w:firstRow="1" w:lastColumn="0" w:lastRow="0" w:noHBand="0" w:noVBand="1" w:val="04A0"/>
      </w:tblPr>
      <w:tblGrid>
        <w:gridCol w:w="3135"/>
        <w:gridCol w:w="3135"/>
        <w:gridCol w:w="3135"/>
      </w:tblGrid>
      <w:tr>
        <w:tc>
          <w:tcPr>
            <w:tcW w:type="dxa" w:w="2880"/>
            <w:vAlign w:val="center"/>
            <w:shd w:val="clear" w:color="auto" w:fill="1F3864"/>
          </w:tcPr>
          <w:p>
            <w:pPr>
              <w:jc w:val="left"/>
            </w:pPr>
            <w:r>
              <w:rPr>
                <w:b/>
                <w:color w:val="FFFFFF"/>
                <w:sz w:val="20"/>
              </w:rPr>
              <w:t>Feature</w:t>
            </w:r>
          </w:p>
        </w:tc>
        <w:tc>
          <w:tcPr>
            <w:tcW w:type="dxa" w:w="3600"/>
            <w:vAlign w:val="center"/>
            <w:shd w:val="clear" w:color="auto" w:fill="1F3864"/>
          </w:tcPr>
          <w:p>
            <w:pPr>
              <w:jc w:val="left"/>
            </w:pPr>
            <w:r>
              <w:rPr>
                <w:b/>
                <w:color w:val="FFFFFF"/>
                <w:sz w:val="20"/>
              </w:rPr>
              <w:t>Description</w:t>
            </w:r>
          </w:p>
        </w:tc>
        <w:tc>
          <w:tcPr>
            <w:tcW w:type="dxa" w:w="3600"/>
            <w:vAlign w:val="center"/>
            <w:shd w:val="clear" w:color="auto" w:fill="1F3864"/>
          </w:tcPr>
          <w:p>
            <w:pPr>
              <w:jc w:val="left"/>
            </w:pPr>
            <w:r>
              <w:rPr>
                <w:b/>
                <w:color w:val="FFFFFF"/>
                <w:sz w:val="20"/>
              </w:rPr>
              <w:t>Fraud Signal</w:t>
            </w:r>
          </w:p>
        </w:tc>
      </w:tr>
      <w:tr>
        <w:tc>
          <w:tcPr>
            <w:tcW w:type="dxa" w:w="2880"/>
            <w:vAlign w:val="center"/>
            <w:shd w:val="clear" w:color="auto" w:fill="F2F2F2"/>
          </w:tcPr>
          <w:p>
            <w:pPr>
              <w:jc w:val="left"/>
            </w:pPr>
            <w:r>
              <w:rPr>
                <w:b w:val="0"/>
                <w:color w:val="1E1E1E"/>
                <w:sz w:val="20"/>
              </w:rPr>
              <w:t>Total_Reimbursed</w:t>
            </w:r>
          </w:p>
        </w:tc>
        <w:tc>
          <w:tcPr>
            <w:tcW w:type="dxa" w:w="3600"/>
            <w:vAlign w:val="center"/>
            <w:shd w:val="clear" w:color="auto" w:fill="F2F2F2"/>
          </w:tcPr>
          <w:p>
            <w:pPr>
              <w:jc w:val="left"/>
            </w:pPr>
            <w:r>
              <w:rPr>
                <w:b w:val="0"/>
                <w:color w:val="1E1E1E"/>
                <w:sz w:val="20"/>
              </w:rPr>
              <w:t>Total insurance payout across all claims</w:t>
            </w:r>
          </w:p>
        </w:tc>
        <w:tc>
          <w:tcPr>
            <w:tcW w:type="dxa" w:w="3600"/>
            <w:vAlign w:val="center"/>
            <w:shd w:val="clear" w:color="auto" w:fill="F2F2F2"/>
          </w:tcPr>
          <w:p>
            <w:pPr>
              <w:jc w:val="left"/>
            </w:pPr>
            <w:r>
              <w:rPr>
                <w:b w:val="0"/>
                <w:color w:val="1E1E1E"/>
                <w:sz w:val="20"/>
              </w:rPr>
              <w:t>Highest correlation with fraud — fraudsters claim more money</w:t>
            </w:r>
          </w:p>
        </w:tc>
      </w:tr>
      <w:tr>
        <w:tc>
          <w:tcPr>
            <w:tcW w:type="dxa" w:w="2880"/>
            <w:vAlign w:val="center"/>
          </w:tcPr>
          <w:p>
            <w:pPr>
              <w:jc w:val="left"/>
            </w:pPr>
            <w:r>
              <w:rPr>
                <w:b w:val="0"/>
                <w:color w:val="1E1E1E"/>
                <w:sz w:val="20"/>
              </w:rPr>
              <w:t>IP_AvgReimbursed</w:t>
            </w:r>
          </w:p>
        </w:tc>
        <w:tc>
          <w:tcPr>
            <w:tcW w:type="dxa" w:w="3600"/>
            <w:vAlign w:val="center"/>
          </w:tcPr>
          <w:p>
            <w:pPr>
              <w:jc w:val="left"/>
            </w:pPr>
            <w:r>
              <w:rPr>
                <w:b w:val="0"/>
                <w:color w:val="1E1E1E"/>
                <w:sz w:val="20"/>
              </w:rPr>
              <w:t>Average reimbursement per inpatient claim</w:t>
            </w:r>
          </w:p>
        </w:tc>
        <w:tc>
          <w:tcPr>
            <w:tcW w:type="dxa" w:w="3600"/>
            <w:vAlign w:val="center"/>
          </w:tcPr>
          <w:p>
            <w:pPr>
              <w:jc w:val="left"/>
            </w:pPr>
            <w:r>
              <w:rPr>
                <w:b w:val="0"/>
                <w:color w:val="1E1E1E"/>
                <w:sz w:val="20"/>
              </w:rPr>
              <w:t>Inflated per-claim amounts indicate upcoding</w:t>
            </w:r>
          </w:p>
        </w:tc>
      </w:tr>
      <w:tr>
        <w:tc>
          <w:tcPr>
            <w:tcW w:type="dxa" w:w="2880"/>
            <w:vAlign w:val="center"/>
            <w:shd w:val="clear" w:color="auto" w:fill="F2F2F2"/>
          </w:tcPr>
          <w:p>
            <w:pPr>
              <w:jc w:val="left"/>
            </w:pPr>
            <w:r>
              <w:rPr>
                <w:b w:val="0"/>
                <w:color w:val="1E1E1E"/>
                <w:sz w:val="20"/>
              </w:rPr>
              <w:t>IP_MaxReimbursed</w:t>
            </w:r>
          </w:p>
        </w:tc>
        <w:tc>
          <w:tcPr>
            <w:tcW w:type="dxa" w:w="3600"/>
            <w:vAlign w:val="center"/>
            <w:shd w:val="clear" w:color="auto" w:fill="F2F2F2"/>
          </w:tcPr>
          <w:p>
            <w:pPr>
              <w:jc w:val="left"/>
            </w:pPr>
            <w:r>
              <w:rPr>
                <w:b w:val="0"/>
                <w:color w:val="1E1E1E"/>
                <w:sz w:val="20"/>
              </w:rPr>
              <w:t>Single largest inpatient claim amount</w:t>
            </w:r>
          </w:p>
        </w:tc>
        <w:tc>
          <w:tcPr>
            <w:tcW w:type="dxa" w:w="3600"/>
            <w:vAlign w:val="center"/>
            <w:shd w:val="clear" w:color="auto" w:fill="F2F2F2"/>
          </w:tcPr>
          <w:p>
            <w:pPr>
              <w:jc w:val="left"/>
            </w:pPr>
            <w:r>
              <w:rPr>
                <w:b w:val="0"/>
                <w:color w:val="1E1E1E"/>
                <w:sz w:val="20"/>
              </w:rPr>
              <w:t>Extreme outlier claims indicate fraud</w:t>
            </w:r>
          </w:p>
        </w:tc>
      </w:tr>
      <w:tr>
        <w:tc>
          <w:tcPr>
            <w:tcW w:type="dxa" w:w="2880"/>
            <w:vAlign w:val="center"/>
          </w:tcPr>
          <w:p>
            <w:pPr>
              <w:jc w:val="left"/>
            </w:pPr>
            <w:r>
              <w:rPr>
                <w:b w:val="0"/>
                <w:color w:val="1E1E1E"/>
                <w:sz w:val="20"/>
              </w:rPr>
              <w:t>IP_StdReimbursed</w:t>
            </w:r>
          </w:p>
        </w:tc>
        <w:tc>
          <w:tcPr>
            <w:tcW w:type="dxa" w:w="3600"/>
            <w:vAlign w:val="center"/>
          </w:tcPr>
          <w:p>
            <w:pPr>
              <w:jc w:val="left"/>
            </w:pPr>
            <w:r>
              <w:rPr>
                <w:b w:val="0"/>
                <w:color w:val="1E1E1E"/>
                <w:sz w:val="20"/>
              </w:rPr>
              <w:t>Variation in inpatient claim amounts</w:t>
            </w:r>
          </w:p>
        </w:tc>
        <w:tc>
          <w:tcPr>
            <w:tcW w:type="dxa" w:w="3600"/>
            <w:vAlign w:val="center"/>
          </w:tcPr>
          <w:p>
            <w:pPr>
              <w:jc w:val="left"/>
            </w:pPr>
            <w:r>
              <w:rPr>
                <w:b w:val="0"/>
                <w:color w:val="1E1E1E"/>
                <w:sz w:val="20"/>
              </w:rPr>
              <w:t>Very low std = copy-pasted fake claims</w:t>
            </w:r>
          </w:p>
        </w:tc>
      </w:tr>
      <w:tr>
        <w:tc>
          <w:tcPr>
            <w:tcW w:type="dxa" w:w="2880"/>
            <w:vAlign w:val="center"/>
            <w:shd w:val="clear" w:color="auto" w:fill="F2F2F2"/>
          </w:tcPr>
          <w:p>
            <w:pPr>
              <w:jc w:val="left"/>
            </w:pPr>
            <w:r>
              <w:rPr>
                <w:b w:val="0"/>
                <w:color w:val="1E1E1E"/>
                <w:sz w:val="20"/>
              </w:rPr>
              <w:t>Avg_Reimbursed_Per_Claim</w:t>
            </w:r>
          </w:p>
        </w:tc>
        <w:tc>
          <w:tcPr>
            <w:tcW w:type="dxa" w:w="3600"/>
            <w:vAlign w:val="center"/>
            <w:shd w:val="clear" w:color="auto" w:fill="F2F2F2"/>
          </w:tcPr>
          <w:p>
            <w:pPr>
              <w:jc w:val="left"/>
            </w:pPr>
            <w:r>
              <w:rPr>
                <w:b w:val="0"/>
                <w:color w:val="1E1E1E"/>
                <w:sz w:val="20"/>
              </w:rPr>
              <w:t>Total reimbursed divided by total claims</w:t>
            </w:r>
          </w:p>
        </w:tc>
        <w:tc>
          <w:tcPr>
            <w:tcW w:type="dxa" w:w="3600"/>
            <w:vAlign w:val="center"/>
            <w:shd w:val="clear" w:color="auto" w:fill="F2F2F2"/>
          </w:tcPr>
          <w:p>
            <w:pPr>
              <w:jc w:val="left"/>
            </w:pPr>
            <w:r>
              <w:rPr>
                <w:b w:val="0"/>
                <w:color w:val="1E1E1E"/>
                <w:sz w:val="20"/>
              </w:rPr>
              <w:t>Normalized signal combining volume and amount</w:t>
            </w:r>
          </w:p>
        </w:tc>
      </w:tr>
    </w:tbl>
    <w:p/>
    <w:p>
      <w:r>
        <w:rPr>
          <w:b/>
          <w:i w:val="0"/>
          <w:color w:val="1F3864"/>
          <w:sz w:val="24"/>
        </w:rPr>
        <w:t>Clinical and Physician Features</w:t>
      </w:r>
    </w:p>
    <w:tbl>
      <w:tblPr>
        <w:tblStyle w:val="TableGrid"/>
        <w:tblW w:type="auto" w:w="0"/>
        <w:jc w:val="left"/>
        <w:tblLook w:firstColumn="1" w:firstRow="1" w:lastColumn="0" w:lastRow="0" w:noHBand="0" w:noVBand="1" w:val="04A0"/>
      </w:tblPr>
      <w:tblGrid>
        <w:gridCol w:w="3135"/>
        <w:gridCol w:w="3135"/>
        <w:gridCol w:w="3135"/>
      </w:tblGrid>
      <w:tr>
        <w:tc>
          <w:tcPr>
            <w:tcW w:type="dxa" w:w="2880"/>
            <w:vAlign w:val="center"/>
            <w:shd w:val="clear" w:color="auto" w:fill="1F3864"/>
          </w:tcPr>
          <w:p>
            <w:pPr>
              <w:jc w:val="left"/>
            </w:pPr>
            <w:r>
              <w:rPr>
                <w:b/>
                <w:color w:val="FFFFFF"/>
                <w:sz w:val="20"/>
              </w:rPr>
              <w:t>Feature</w:t>
            </w:r>
          </w:p>
        </w:tc>
        <w:tc>
          <w:tcPr>
            <w:tcW w:type="dxa" w:w="3600"/>
            <w:vAlign w:val="center"/>
            <w:shd w:val="clear" w:color="auto" w:fill="1F3864"/>
          </w:tcPr>
          <w:p>
            <w:pPr>
              <w:jc w:val="left"/>
            </w:pPr>
            <w:r>
              <w:rPr>
                <w:b/>
                <w:color w:val="FFFFFF"/>
                <w:sz w:val="20"/>
              </w:rPr>
              <w:t>Description</w:t>
            </w:r>
          </w:p>
        </w:tc>
        <w:tc>
          <w:tcPr>
            <w:tcW w:type="dxa" w:w="3600"/>
            <w:vAlign w:val="center"/>
            <w:shd w:val="clear" w:color="auto" w:fill="1F3864"/>
          </w:tcPr>
          <w:p>
            <w:pPr>
              <w:jc w:val="left"/>
            </w:pPr>
            <w:r>
              <w:rPr>
                <w:b/>
                <w:color w:val="FFFFFF"/>
                <w:sz w:val="20"/>
              </w:rPr>
              <w:t>Fraud Signal</w:t>
            </w:r>
          </w:p>
        </w:tc>
      </w:tr>
      <w:tr>
        <w:tc>
          <w:tcPr>
            <w:tcW w:type="dxa" w:w="2880"/>
            <w:vAlign w:val="center"/>
            <w:shd w:val="clear" w:color="auto" w:fill="F2F2F2"/>
          </w:tcPr>
          <w:p>
            <w:pPr>
              <w:jc w:val="left"/>
            </w:pPr>
            <w:r>
              <w:rPr>
                <w:b w:val="0"/>
                <w:color w:val="1E1E1E"/>
                <w:sz w:val="20"/>
              </w:rPr>
              <w:t>IP_UniqueDiag</w:t>
            </w:r>
          </w:p>
        </w:tc>
        <w:tc>
          <w:tcPr>
            <w:tcW w:type="dxa" w:w="3600"/>
            <w:vAlign w:val="center"/>
            <w:shd w:val="clear" w:color="auto" w:fill="F2F2F2"/>
          </w:tcPr>
          <w:p>
            <w:pPr>
              <w:jc w:val="left"/>
            </w:pPr>
            <w:r>
              <w:rPr>
                <w:b w:val="0"/>
                <w:color w:val="1E1E1E"/>
                <w:sz w:val="20"/>
              </w:rPr>
              <w:t>Distinct diagnosis codes used</w:t>
            </w:r>
          </w:p>
        </w:tc>
        <w:tc>
          <w:tcPr>
            <w:tcW w:type="dxa" w:w="3600"/>
            <w:vAlign w:val="center"/>
            <w:shd w:val="clear" w:color="auto" w:fill="F2F2F2"/>
          </w:tcPr>
          <w:p>
            <w:pPr>
              <w:jc w:val="left"/>
            </w:pPr>
            <w:r>
              <w:rPr>
                <w:b w:val="0"/>
                <w:color w:val="1E1E1E"/>
                <w:sz w:val="20"/>
              </w:rPr>
              <w:t>Wide range of diagnoses suggests ambiguous or fake conditions</w:t>
            </w:r>
          </w:p>
        </w:tc>
      </w:tr>
      <w:tr>
        <w:tc>
          <w:tcPr>
            <w:tcW w:type="dxa" w:w="2880"/>
            <w:vAlign w:val="center"/>
          </w:tcPr>
          <w:p>
            <w:pPr>
              <w:jc w:val="left"/>
            </w:pPr>
            <w:r>
              <w:rPr>
                <w:b w:val="0"/>
                <w:color w:val="1E1E1E"/>
                <w:sz w:val="20"/>
              </w:rPr>
              <w:t>IP_UniqueProc</w:t>
            </w:r>
          </w:p>
        </w:tc>
        <w:tc>
          <w:tcPr>
            <w:tcW w:type="dxa" w:w="3600"/>
            <w:vAlign w:val="center"/>
          </w:tcPr>
          <w:p>
            <w:pPr>
              <w:jc w:val="left"/>
            </w:pPr>
            <w:r>
              <w:rPr>
                <w:b w:val="0"/>
                <w:color w:val="1E1E1E"/>
                <w:sz w:val="20"/>
              </w:rPr>
              <w:t>Distinct procedure codes used</w:t>
            </w:r>
          </w:p>
        </w:tc>
        <w:tc>
          <w:tcPr>
            <w:tcW w:type="dxa" w:w="3600"/>
            <w:vAlign w:val="center"/>
          </w:tcPr>
          <w:p>
            <w:pPr>
              <w:jc w:val="left"/>
            </w:pPr>
            <w:r>
              <w:rPr>
                <w:b w:val="0"/>
                <w:color w:val="1E1E1E"/>
                <w:sz w:val="20"/>
              </w:rPr>
              <w:t>Excessive procedures indicate unnecessary or fabricated treatments</w:t>
            </w:r>
          </w:p>
        </w:tc>
      </w:tr>
      <w:tr>
        <w:tc>
          <w:tcPr>
            <w:tcW w:type="dxa" w:w="2880"/>
            <w:vAlign w:val="center"/>
            <w:shd w:val="clear" w:color="auto" w:fill="F2F2F2"/>
          </w:tcPr>
          <w:p>
            <w:pPr>
              <w:jc w:val="left"/>
            </w:pPr>
            <w:r>
              <w:rPr>
                <w:b w:val="0"/>
                <w:color w:val="1E1E1E"/>
                <w:sz w:val="20"/>
              </w:rPr>
              <w:t>IP_AvgHospitalStay</w:t>
            </w:r>
          </w:p>
        </w:tc>
        <w:tc>
          <w:tcPr>
            <w:tcW w:type="dxa" w:w="3600"/>
            <w:vAlign w:val="center"/>
            <w:shd w:val="clear" w:color="auto" w:fill="F2F2F2"/>
          </w:tcPr>
          <w:p>
            <w:pPr>
              <w:jc w:val="left"/>
            </w:pPr>
            <w:r>
              <w:rPr>
                <w:b w:val="0"/>
                <w:color w:val="1E1E1E"/>
                <w:sz w:val="20"/>
              </w:rPr>
              <w:t>Average admitted days per patient</w:t>
            </w:r>
          </w:p>
        </w:tc>
        <w:tc>
          <w:tcPr>
            <w:tcW w:type="dxa" w:w="3600"/>
            <w:vAlign w:val="center"/>
            <w:shd w:val="clear" w:color="auto" w:fill="F2F2F2"/>
          </w:tcPr>
          <w:p>
            <w:pPr>
              <w:jc w:val="left"/>
            </w:pPr>
            <w:r>
              <w:rPr>
                <w:b w:val="0"/>
                <w:color w:val="1E1E1E"/>
                <w:sz w:val="20"/>
              </w:rPr>
              <w:t>Inflated stays increase billing without additional real cost</w:t>
            </w:r>
          </w:p>
        </w:tc>
      </w:tr>
      <w:tr>
        <w:tc>
          <w:tcPr>
            <w:tcW w:type="dxa" w:w="2880"/>
            <w:vAlign w:val="center"/>
          </w:tcPr>
          <w:p>
            <w:pPr>
              <w:jc w:val="left"/>
            </w:pPr>
            <w:r>
              <w:rPr>
                <w:b w:val="0"/>
                <w:color w:val="1E1E1E"/>
                <w:sz w:val="20"/>
              </w:rPr>
              <w:t>IP_Unique_AttendingPhysician</w:t>
            </w:r>
          </w:p>
        </w:tc>
        <w:tc>
          <w:tcPr>
            <w:tcW w:type="dxa" w:w="3600"/>
            <w:vAlign w:val="center"/>
          </w:tcPr>
          <w:p>
            <w:pPr>
              <w:jc w:val="left"/>
            </w:pPr>
            <w:r>
              <w:rPr>
                <w:b w:val="0"/>
                <w:color w:val="1E1E1E"/>
                <w:sz w:val="20"/>
              </w:rPr>
              <w:t>Distinct attending physician IDs</w:t>
            </w:r>
          </w:p>
        </w:tc>
        <w:tc>
          <w:tcPr>
            <w:tcW w:type="dxa" w:w="3600"/>
            <w:vAlign w:val="center"/>
          </w:tcPr>
          <w:p>
            <w:pPr>
              <w:jc w:val="left"/>
            </w:pPr>
            <w:r>
              <w:rPr>
                <w:b w:val="0"/>
                <w:color w:val="1E1E1E"/>
                <w:sz w:val="20"/>
              </w:rPr>
              <w:t>Fraud networks use many physician identities to spread claims</w:t>
            </w:r>
          </w:p>
        </w:tc>
      </w:tr>
      <w:tr>
        <w:tc>
          <w:tcPr>
            <w:tcW w:type="dxa" w:w="2880"/>
            <w:vAlign w:val="center"/>
            <w:shd w:val="clear" w:color="auto" w:fill="F2F2F2"/>
          </w:tcPr>
          <w:p>
            <w:pPr>
              <w:jc w:val="left"/>
            </w:pPr>
            <w:r>
              <w:rPr>
                <w:b w:val="0"/>
                <w:color w:val="1E1E1E"/>
                <w:sz w:val="20"/>
              </w:rPr>
              <w:t>IP_Unique_OperatingPhysician</w:t>
            </w:r>
          </w:p>
        </w:tc>
        <w:tc>
          <w:tcPr>
            <w:tcW w:type="dxa" w:w="3600"/>
            <w:vAlign w:val="center"/>
            <w:shd w:val="clear" w:color="auto" w:fill="F2F2F2"/>
          </w:tcPr>
          <w:p>
            <w:pPr>
              <w:jc w:val="left"/>
            </w:pPr>
            <w:r>
              <w:rPr>
                <w:b w:val="0"/>
                <w:color w:val="1E1E1E"/>
                <w:sz w:val="20"/>
              </w:rPr>
              <w:t>Distinct operating physician IDs</w:t>
            </w:r>
          </w:p>
        </w:tc>
        <w:tc>
          <w:tcPr>
            <w:tcW w:type="dxa" w:w="3600"/>
            <w:vAlign w:val="center"/>
            <w:shd w:val="clear" w:color="auto" w:fill="F2F2F2"/>
          </w:tcPr>
          <w:p>
            <w:pPr>
              <w:jc w:val="left"/>
            </w:pPr>
            <w:r>
              <w:rPr>
                <w:b w:val="0"/>
                <w:color w:val="1E1E1E"/>
                <w:sz w:val="20"/>
              </w:rPr>
              <w:t>Same — multiple operator identities in fraud rings</w:t>
            </w:r>
          </w:p>
        </w:tc>
      </w:tr>
    </w:tbl>
    <w:p/>
    <w:p>
      <w:r>
        <w:rPr>
          <w:b/>
          <w:i w:val="0"/>
          <w:color w:val="1F3864"/>
          <w:sz w:val="24"/>
        </w:rPr>
        <w:t>Patient Demographics Features</w:t>
      </w:r>
    </w:p>
    <w:tbl>
      <w:tblPr>
        <w:tblStyle w:val="TableGrid"/>
        <w:tblW w:type="auto" w:w="0"/>
        <w:jc w:val="left"/>
        <w:tblLook w:firstColumn="1" w:firstRow="1" w:lastColumn="0" w:lastRow="0" w:noHBand="0" w:noVBand="1" w:val="04A0"/>
      </w:tblPr>
      <w:tblGrid>
        <w:gridCol w:w="3135"/>
        <w:gridCol w:w="3135"/>
        <w:gridCol w:w="3135"/>
      </w:tblGrid>
      <w:tr>
        <w:tc>
          <w:tcPr>
            <w:tcW w:type="dxa" w:w="3168"/>
            <w:vAlign w:val="center"/>
            <w:shd w:val="clear" w:color="auto" w:fill="1F3864"/>
          </w:tcPr>
          <w:p>
            <w:pPr>
              <w:jc w:val="left"/>
            </w:pPr>
            <w:r>
              <w:rPr>
                <w:b/>
                <w:color w:val="FFFFFF"/>
                <w:sz w:val="20"/>
              </w:rPr>
              <w:t>Feature</w:t>
            </w:r>
          </w:p>
        </w:tc>
        <w:tc>
          <w:tcPr>
            <w:tcW w:type="dxa" w:w="3312"/>
            <w:vAlign w:val="center"/>
            <w:shd w:val="clear" w:color="auto" w:fill="1F3864"/>
          </w:tcPr>
          <w:p>
            <w:pPr>
              <w:jc w:val="left"/>
            </w:pPr>
            <w:r>
              <w:rPr>
                <w:b/>
                <w:color w:val="FFFFFF"/>
                <w:sz w:val="20"/>
              </w:rPr>
              <w:t>Description</w:t>
            </w:r>
          </w:p>
        </w:tc>
        <w:tc>
          <w:tcPr>
            <w:tcW w:type="dxa" w:w="3600"/>
            <w:vAlign w:val="center"/>
            <w:shd w:val="clear" w:color="auto" w:fill="1F3864"/>
          </w:tcPr>
          <w:p>
            <w:pPr>
              <w:jc w:val="left"/>
            </w:pPr>
            <w:r>
              <w:rPr>
                <w:b/>
                <w:color w:val="FFFFFF"/>
                <w:sz w:val="20"/>
              </w:rPr>
              <w:t>Fraud Signal</w:t>
            </w:r>
          </w:p>
        </w:tc>
      </w:tr>
      <w:tr>
        <w:tc>
          <w:tcPr>
            <w:tcW w:type="dxa" w:w="3168"/>
            <w:vAlign w:val="center"/>
            <w:shd w:val="clear" w:color="auto" w:fill="F2F2F2"/>
          </w:tcPr>
          <w:p>
            <w:pPr>
              <w:jc w:val="left"/>
            </w:pPr>
            <w:r>
              <w:rPr>
                <w:b w:val="0"/>
                <w:color w:val="1E1E1E"/>
                <w:sz w:val="20"/>
              </w:rPr>
              <w:t>Bene_AvgAge</w:t>
            </w:r>
          </w:p>
        </w:tc>
        <w:tc>
          <w:tcPr>
            <w:tcW w:type="dxa" w:w="3312"/>
            <w:vAlign w:val="center"/>
            <w:shd w:val="clear" w:color="auto" w:fill="F2F2F2"/>
          </w:tcPr>
          <w:p>
            <w:pPr>
              <w:jc w:val="left"/>
            </w:pPr>
            <w:r>
              <w:rPr>
                <w:b w:val="0"/>
                <w:color w:val="1E1E1E"/>
                <w:sz w:val="20"/>
              </w:rPr>
              <w:t>Average age of provider's patients</w:t>
            </w:r>
          </w:p>
        </w:tc>
        <w:tc>
          <w:tcPr>
            <w:tcW w:type="dxa" w:w="3600"/>
            <w:vAlign w:val="center"/>
            <w:shd w:val="clear" w:color="auto" w:fill="F2F2F2"/>
          </w:tcPr>
          <w:p>
            <w:pPr>
              <w:jc w:val="left"/>
            </w:pPr>
            <w:r>
              <w:rPr>
                <w:b w:val="0"/>
                <w:color w:val="1E1E1E"/>
                <w:sz w:val="20"/>
              </w:rPr>
              <w:t>Elderly patients are targeted — they cannot easily dispute charges</w:t>
            </w:r>
          </w:p>
        </w:tc>
      </w:tr>
      <w:tr>
        <w:tc>
          <w:tcPr>
            <w:tcW w:type="dxa" w:w="3168"/>
            <w:vAlign w:val="center"/>
          </w:tcPr>
          <w:p>
            <w:pPr>
              <w:jc w:val="left"/>
            </w:pPr>
            <w:r>
              <w:rPr>
                <w:b w:val="0"/>
                <w:color w:val="1E1E1E"/>
                <w:sz w:val="20"/>
              </w:rPr>
              <w:t>Bene_DeadCount</w:t>
            </w:r>
          </w:p>
        </w:tc>
        <w:tc>
          <w:tcPr>
            <w:tcW w:type="dxa" w:w="3312"/>
            <w:vAlign w:val="center"/>
          </w:tcPr>
          <w:p>
            <w:pPr>
              <w:jc w:val="left"/>
            </w:pPr>
            <w:r>
              <w:rPr>
                <w:b w:val="0"/>
                <w:color w:val="1E1E1E"/>
                <w:sz w:val="20"/>
              </w:rPr>
              <w:t>Number of deceased patients treated</w:t>
            </w:r>
          </w:p>
        </w:tc>
        <w:tc>
          <w:tcPr>
            <w:tcW w:type="dxa" w:w="3600"/>
            <w:vAlign w:val="center"/>
          </w:tcPr>
          <w:p>
            <w:pPr>
              <w:jc w:val="left"/>
            </w:pPr>
            <w:r>
              <w:rPr>
                <w:b w:val="0"/>
                <w:color w:val="1E1E1E"/>
                <w:sz w:val="20"/>
              </w:rPr>
              <w:t>High death count may indicate billing for deceased patients</w:t>
            </w:r>
          </w:p>
        </w:tc>
      </w:tr>
      <w:tr>
        <w:tc>
          <w:tcPr>
            <w:tcW w:type="dxa" w:w="3168"/>
            <w:vAlign w:val="center"/>
            <w:shd w:val="clear" w:color="auto" w:fill="F2F2F2"/>
          </w:tcPr>
          <w:p>
            <w:pPr>
              <w:jc w:val="left"/>
            </w:pPr>
            <w:r>
              <w:rPr>
                <w:b w:val="0"/>
                <w:color w:val="1E1E1E"/>
                <w:sz w:val="20"/>
              </w:rPr>
              <w:t>Bene_AvgChronicCond</w:t>
            </w:r>
          </w:p>
        </w:tc>
        <w:tc>
          <w:tcPr>
            <w:tcW w:type="dxa" w:w="3312"/>
            <w:vAlign w:val="center"/>
            <w:shd w:val="clear" w:color="auto" w:fill="F2F2F2"/>
          </w:tcPr>
          <w:p>
            <w:pPr>
              <w:jc w:val="left"/>
            </w:pPr>
            <w:r>
              <w:rPr>
                <w:b w:val="0"/>
                <w:color w:val="1E1E1E"/>
                <w:sz w:val="20"/>
              </w:rPr>
              <w:t>Average chronic conditions per patient</w:t>
            </w:r>
          </w:p>
        </w:tc>
        <w:tc>
          <w:tcPr>
            <w:tcW w:type="dxa" w:w="3600"/>
            <w:vAlign w:val="center"/>
            <w:shd w:val="clear" w:color="auto" w:fill="F2F2F2"/>
          </w:tcPr>
          <w:p>
            <w:pPr>
              <w:jc w:val="left"/>
            </w:pPr>
            <w:r>
              <w:rPr>
                <w:b w:val="0"/>
                <w:color w:val="1E1E1E"/>
                <w:sz w:val="20"/>
              </w:rPr>
              <w:t>More conditions = more billing opportunity for fraudsters</w:t>
            </w:r>
          </w:p>
        </w:tc>
      </w:tr>
      <w:tr>
        <w:tc>
          <w:tcPr>
            <w:tcW w:type="dxa" w:w="3168"/>
            <w:vAlign w:val="center"/>
          </w:tcPr>
          <w:p>
            <w:pPr>
              <w:jc w:val="left"/>
            </w:pPr>
            <w:r>
              <w:rPr>
                <w:b w:val="0"/>
                <w:color w:val="1E1E1E"/>
                <w:sz w:val="20"/>
              </w:rPr>
              <w:t>Bene_ChronicCond_Alzheimer_Rate</w:t>
            </w:r>
          </w:p>
        </w:tc>
        <w:tc>
          <w:tcPr>
            <w:tcW w:type="dxa" w:w="3312"/>
            <w:vAlign w:val="center"/>
          </w:tcPr>
          <w:p>
            <w:pPr>
              <w:jc w:val="left"/>
            </w:pPr>
            <w:r>
              <w:rPr>
                <w:b w:val="0"/>
                <w:color w:val="1E1E1E"/>
                <w:sz w:val="20"/>
              </w:rPr>
              <w:t>% of patients with Alzheimer's disease</w:t>
            </w:r>
          </w:p>
        </w:tc>
        <w:tc>
          <w:tcPr>
            <w:tcW w:type="dxa" w:w="3600"/>
            <w:vAlign w:val="center"/>
          </w:tcPr>
          <w:p>
            <w:pPr>
              <w:jc w:val="left"/>
            </w:pPr>
            <w:r>
              <w:rPr>
                <w:b w:val="0"/>
                <w:color w:val="1E1E1E"/>
                <w:sz w:val="20"/>
              </w:rPr>
              <w:t>Cognitively impaired patients cannot verify or dispute bills</w:t>
            </w:r>
          </w:p>
        </w:tc>
      </w:tr>
      <w:tr>
        <w:tc>
          <w:tcPr>
            <w:tcW w:type="dxa" w:w="3168"/>
            <w:vAlign w:val="center"/>
            <w:shd w:val="clear" w:color="auto" w:fill="F2F2F2"/>
          </w:tcPr>
          <w:p>
            <w:pPr>
              <w:jc w:val="left"/>
            </w:pPr>
            <w:r>
              <w:rPr>
                <w:b w:val="0"/>
                <w:color w:val="1E1E1E"/>
                <w:sz w:val="20"/>
              </w:rPr>
              <w:t>(11 chronic condition rates total)</w:t>
            </w:r>
          </w:p>
        </w:tc>
        <w:tc>
          <w:tcPr>
            <w:tcW w:type="dxa" w:w="3312"/>
            <w:vAlign w:val="center"/>
            <w:shd w:val="clear" w:color="auto" w:fill="F2F2F2"/>
          </w:tcPr>
          <w:p>
            <w:pPr>
              <w:jc w:val="left"/>
            </w:pPr>
            <w:r>
              <w:rPr>
                <w:b w:val="0"/>
                <w:color w:val="1E1E1E"/>
                <w:sz w:val="20"/>
              </w:rPr>
              <w:t>Rate of each chronic condition per provider</w:t>
            </w:r>
          </w:p>
        </w:tc>
        <w:tc>
          <w:tcPr>
            <w:tcW w:type="dxa" w:w="3600"/>
            <w:vAlign w:val="center"/>
            <w:shd w:val="clear" w:color="auto" w:fill="F2F2F2"/>
          </w:tcPr>
          <w:p>
            <w:pPr>
              <w:jc w:val="left"/>
            </w:pPr>
            <w:r>
              <w:rPr>
                <w:b w:val="0"/>
                <w:color w:val="1E1E1E"/>
                <w:sz w:val="20"/>
              </w:rPr>
              <w:t>Each condition rate is an independent fraud signal</w:t>
            </w:r>
          </w:p>
        </w:tc>
      </w:tr>
    </w:tbl>
    <w:p/>
    <w:p>
      <w:r>
        <w:br w:type="page"/>
      </w:r>
    </w:p>
    <w:p>
      <w:pPr>
        <w:pStyle w:val="Heading1"/>
        <w:jc w:val="left"/>
      </w:pPr>
      <w:r>
        <w:rPr>
          <w:color w:val="1F3864"/>
        </w:rPr>
        <w:t>6. Feature Selection</w:t>
      </w:r>
    </w:p>
    <w:p>
      <w:r>
        <w:rPr>
          <w:b w:val="0"/>
          <w:i w:val="0"/>
          <w:sz w:val="22"/>
        </w:rPr>
        <w:t>Feature selection was performed to remove low-information features that could introduce noise or cause overfitting. A Random Forest classifier (100 estimators, class_weight='balanced') was trained on all 56 features. The SelectFromModel method was applied with an importance threshold of 0.001, retaining features that contribute meaningfully to prediction.</w:t>
      </w:r>
    </w:p>
    <w:p>
      <w:r>
        <w:rPr>
          <w:b/>
          <w:i w:val="0"/>
          <w:sz w:val="22"/>
        </w:rPr>
        <w:t>Result: 54 out of 56 features were selected.</w:t>
      </w:r>
    </w:p>
    <w:p/>
    <w:p>
      <w:r>
        <w:rPr>
          <w:b/>
          <w:i w:val="0"/>
          <w:sz w:val="24"/>
        </w:rPr>
        <w:t>Top 10 Most Important Features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720"/>
            <w:vAlign w:val="center"/>
            <w:shd w:val="clear" w:color="auto" w:fill="1F3864"/>
          </w:tcPr>
          <w:p>
            <w:pPr>
              <w:jc w:val="left"/>
            </w:pPr>
            <w:r>
              <w:rPr>
                <w:b/>
                <w:color w:val="FFFFFF"/>
                <w:sz w:val="20"/>
              </w:rPr>
              <w:t>Rank</w:t>
            </w:r>
          </w:p>
        </w:tc>
        <w:tc>
          <w:tcPr>
            <w:tcW w:type="dxa" w:w="2880"/>
            <w:vAlign w:val="center"/>
            <w:shd w:val="clear" w:color="auto" w:fill="1F3864"/>
          </w:tcPr>
          <w:p>
            <w:pPr>
              <w:jc w:val="left"/>
            </w:pPr>
            <w:r>
              <w:rPr>
                <w:b/>
                <w:color w:val="FFFFFF"/>
                <w:sz w:val="20"/>
              </w:rPr>
              <w:t>Feature</w:t>
            </w:r>
          </w:p>
        </w:tc>
        <w:tc>
          <w:tcPr>
            <w:tcW w:type="dxa" w:w="2160"/>
            <w:vAlign w:val="center"/>
            <w:shd w:val="clear" w:color="auto" w:fill="1F3864"/>
          </w:tcPr>
          <w:p>
            <w:pPr>
              <w:jc w:val="left"/>
            </w:pPr>
            <w:r>
              <w:rPr>
                <w:b/>
                <w:color w:val="FFFFFF"/>
                <w:sz w:val="20"/>
              </w:rPr>
              <w:t>Importance Category</w:t>
            </w:r>
          </w:p>
        </w:tc>
        <w:tc>
          <w:tcPr>
            <w:tcW w:type="dxa" w:w="4320"/>
            <w:vAlign w:val="center"/>
            <w:shd w:val="clear" w:color="auto" w:fill="1F3864"/>
          </w:tcPr>
          <w:p>
            <w:pPr>
              <w:jc w:val="left"/>
            </w:pPr>
            <w:r>
              <w:rPr>
                <w:b/>
                <w:color w:val="FFFFFF"/>
                <w:sz w:val="20"/>
              </w:rPr>
              <w:t>Why It Matters for Fraud</w:t>
            </w:r>
          </w:p>
        </w:tc>
      </w:tr>
      <w:tr>
        <w:tc>
          <w:tcPr>
            <w:tcW w:type="dxa" w:w="720"/>
            <w:vAlign w:val="center"/>
            <w:shd w:val="clear" w:color="auto" w:fill="F2F2F2"/>
          </w:tcPr>
          <w:p>
            <w:pPr>
              <w:jc w:val="left"/>
            </w:pPr>
            <w:r>
              <w:rPr>
                <w:b w:val="0"/>
                <w:color w:val="1E1E1E"/>
                <w:sz w:val="20"/>
              </w:rPr>
              <w:t>1</w:t>
            </w:r>
          </w:p>
        </w:tc>
        <w:tc>
          <w:tcPr>
            <w:tcW w:type="dxa" w:w="2880"/>
            <w:vAlign w:val="center"/>
            <w:shd w:val="clear" w:color="auto" w:fill="F2F2F2"/>
          </w:tcPr>
          <w:p>
            <w:pPr>
              <w:jc w:val="left"/>
            </w:pPr>
            <w:r>
              <w:rPr>
                <w:b w:val="0"/>
                <w:color w:val="1E1E1E"/>
                <w:sz w:val="20"/>
              </w:rPr>
              <w:t>Total_Reimbursed</w:t>
            </w:r>
          </w:p>
        </w:tc>
        <w:tc>
          <w:tcPr>
            <w:tcW w:type="dxa" w:w="2160"/>
            <w:vAlign w:val="center"/>
            <w:shd w:val="clear" w:color="auto" w:fill="F2F2F2"/>
          </w:tcPr>
          <w:p>
            <w:pPr>
              <w:jc w:val="left"/>
            </w:pPr>
            <w:r>
              <w:rPr>
                <w:b w:val="0"/>
                <w:color w:val="1E1E1E"/>
                <w:sz w:val="20"/>
              </w:rPr>
              <w:t>Financial</w:t>
            </w:r>
          </w:p>
        </w:tc>
        <w:tc>
          <w:tcPr>
            <w:tcW w:type="dxa" w:w="4320"/>
            <w:vAlign w:val="center"/>
            <w:shd w:val="clear" w:color="auto" w:fill="F2F2F2"/>
          </w:tcPr>
          <w:p>
            <w:pPr>
              <w:jc w:val="left"/>
            </w:pPr>
            <w:r>
              <w:rPr>
                <w:b w:val="0"/>
                <w:color w:val="1E1E1E"/>
                <w:sz w:val="20"/>
              </w:rPr>
              <w:t>Highest overall billing is the strongest fraud signal</w:t>
            </w:r>
          </w:p>
        </w:tc>
      </w:tr>
      <w:tr>
        <w:tc>
          <w:tcPr>
            <w:tcW w:type="dxa" w:w="720"/>
            <w:vAlign w:val="center"/>
          </w:tcPr>
          <w:p>
            <w:pPr>
              <w:jc w:val="left"/>
            </w:pPr>
            <w:r>
              <w:rPr>
                <w:b w:val="0"/>
                <w:color w:val="1E1E1E"/>
                <w:sz w:val="20"/>
              </w:rPr>
              <w:t>2</w:t>
            </w:r>
          </w:p>
        </w:tc>
        <w:tc>
          <w:tcPr>
            <w:tcW w:type="dxa" w:w="2880"/>
            <w:vAlign w:val="center"/>
          </w:tcPr>
          <w:p>
            <w:pPr>
              <w:jc w:val="left"/>
            </w:pPr>
            <w:r>
              <w:rPr>
                <w:b w:val="0"/>
                <w:color w:val="1E1E1E"/>
                <w:sz w:val="20"/>
              </w:rPr>
              <w:t>IP_TotalClaims</w:t>
            </w:r>
          </w:p>
        </w:tc>
        <w:tc>
          <w:tcPr>
            <w:tcW w:type="dxa" w:w="2160"/>
            <w:vAlign w:val="center"/>
          </w:tcPr>
          <w:p>
            <w:pPr>
              <w:jc w:val="left"/>
            </w:pPr>
            <w:r>
              <w:rPr>
                <w:b w:val="0"/>
                <w:color w:val="1E1E1E"/>
                <w:sz w:val="20"/>
              </w:rPr>
              <w:t>Volume</w:t>
            </w:r>
          </w:p>
        </w:tc>
        <w:tc>
          <w:tcPr>
            <w:tcW w:type="dxa" w:w="4320"/>
            <w:vAlign w:val="center"/>
          </w:tcPr>
          <w:p>
            <w:pPr>
              <w:jc w:val="left"/>
            </w:pPr>
            <w:r>
              <w:rPr>
                <w:b w:val="0"/>
                <w:color w:val="1E1E1E"/>
                <w:sz w:val="20"/>
              </w:rPr>
              <w:t>High inpatient claim volume indicates inflated admissions</w:t>
            </w:r>
          </w:p>
        </w:tc>
      </w:tr>
      <w:tr>
        <w:tc>
          <w:tcPr>
            <w:tcW w:type="dxa" w:w="720"/>
            <w:vAlign w:val="center"/>
            <w:shd w:val="clear" w:color="auto" w:fill="F2F2F2"/>
          </w:tcPr>
          <w:p>
            <w:pPr>
              <w:jc w:val="left"/>
            </w:pPr>
            <w:r>
              <w:rPr>
                <w:b w:val="0"/>
                <w:color w:val="1E1E1E"/>
                <w:sz w:val="20"/>
              </w:rPr>
              <w:t>3</w:t>
            </w:r>
          </w:p>
        </w:tc>
        <w:tc>
          <w:tcPr>
            <w:tcW w:type="dxa" w:w="2880"/>
            <w:vAlign w:val="center"/>
            <w:shd w:val="clear" w:color="auto" w:fill="F2F2F2"/>
          </w:tcPr>
          <w:p>
            <w:pPr>
              <w:jc w:val="left"/>
            </w:pPr>
            <w:r>
              <w:rPr>
                <w:b w:val="0"/>
                <w:color w:val="1E1E1E"/>
                <w:sz w:val="20"/>
              </w:rPr>
              <w:t>Bene_AvgChronicCond</w:t>
            </w:r>
          </w:p>
        </w:tc>
        <w:tc>
          <w:tcPr>
            <w:tcW w:type="dxa" w:w="2160"/>
            <w:vAlign w:val="center"/>
            <w:shd w:val="clear" w:color="auto" w:fill="F2F2F2"/>
          </w:tcPr>
          <w:p>
            <w:pPr>
              <w:jc w:val="left"/>
            </w:pPr>
            <w:r>
              <w:rPr>
                <w:b w:val="0"/>
                <w:color w:val="1E1E1E"/>
                <w:sz w:val="20"/>
              </w:rPr>
              <w:t>Patient Demographics</w:t>
            </w:r>
          </w:p>
        </w:tc>
        <w:tc>
          <w:tcPr>
            <w:tcW w:type="dxa" w:w="4320"/>
            <w:vAlign w:val="center"/>
            <w:shd w:val="clear" w:color="auto" w:fill="F2F2F2"/>
          </w:tcPr>
          <w:p>
            <w:pPr>
              <w:jc w:val="left"/>
            </w:pPr>
            <w:r>
              <w:rPr>
                <w:b w:val="0"/>
                <w:color w:val="1E1E1E"/>
                <w:sz w:val="20"/>
              </w:rPr>
              <w:t>Targeting high-need patients maximizes billing opportunity</w:t>
            </w:r>
          </w:p>
        </w:tc>
      </w:tr>
      <w:tr>
        <w:tc>
          <w:tcPr>
            <w:tcW w:type="dxa" w:w="720"/>
            <w:vAlign w:val="center"/>
          </w:tcPr>
          <w:p>
            <w:pPr>
              <w:jc w:val="left"/>
            </w:pPr>
            <w:r>
              <w:rPr>
                <w:b w:val="0"/>
                <w:color w:val="1E1E1E"/>
                <w:sz w:val="20"/>
              </w:rPr>
              <w:t>4</w:t>
            </w:r>
          </w:p>
        </w:tc>
        <w:tc>
          <w:tcPr>
            <w:tcW w:type="dxa" w:w="2880"/>
            <w:vAlign w:val="center"/>
          </w:tcPr>
          <w:p>
            <w:pPr>
              <w:jc w:val="left"/>
            </w:pPr>
            <w:r>
              <w:rPr>
                <w:b w:val="0"/>
                <w:color w:val="1E1E1E"/>
                <w:sz w:val="20"/>
              </w:rPr>
              <w:t>IP_AvgHospitalStay</w:t>
            </w:r>
          </w:p>
        </w:tc>
        <w:tc>
          <w:tcPr>
            <w:tcW w:type="dxa" w:w="2160"/>
            <w:vAlign w:val="center"/>
          </w:tcPr>
          <w:p>
            <w:pPr>
              <w:jc w:val="left"/>
            </w:pPr>
            <w:r>
              <w:rPr>
                <w:b w:val="0"/>
                <w:color w:val="1E1E1E"/>
                <w:sz w:val="20"/>
              </w:rPr>
              <w:t>Clinical</w:t>
            </w:r>
          </w:p>
        </w:tc>
        <w:tc>
          <w:tcPr>
            <w:tcW w:type="dxa" w:w="4320"/>
            <w:vAlign w:val="center"/>
          </w:tcPr>
          <w:p>
            <w:pPr>
              <w:jc w:val="left"/>
            </w:pPr>
            <w:r>
              <w:rPr>
                <w:b w:val="0"/>
                <w:color w:val="1E1E1E"/>
                <w:sz w:val="20"/>
              </w:rPr>
              <w:t>Inflated hospital stays are a classic fraud mechanism</w:t>
            </w:r>
          </w:p>
        </w:tc>
      </w:tr>
      <w:tr>
        <w:tc>
          <w:tcPr>
            <w:tcW w:type="dxa" w:w="720"/>
            <w:vAlign w:val="center"/>
            <w:shd w:val="clear" w:color="auto" w:fill="F2F2F2"/>
          </w:tcPr>
          <w:p>
            <w:pPr>
              <w:jc w:val="left"/>
            </w:pPr>
            <w:r>
              <w:rPr>
                <w:b w:val="0"/>
                <w:color w:val="1E1E1E"/>
                <w:sz w:val="20"/>
              </w:rPr>
              <w:t>5</w:t>
            </w:r>
          </w:p>
        </w:tc>
        <w:tc>
          <w:tcPr>
            <w:tcW w:type="dxa" w:w="2880"/>
            <w:vAlign w:val="center"/>
            <w:shd w:val="clear" w:color="auto" w:fill="F2F2F2"/>
          </w:tcPr>
          <w:p>
            <w:pPr>
              <w:jc w:val="left"/>
            </w:pPr>
            <w:r>
              <w:rPr>
                <w:b w:val="0"/>
                <w:color w:val="1E1E1E"/>
                <w:sz w:val="20"/>
              </w:rPr>
              <w:t>IP_UniquePatients</w:t>
            </w:r>
          </w:p>
        </w:tc>
        <w:tc>
          <w:tcPr>
            <w:tcW w:type="dxa" w:w="2160"/>
            <w:vAlign w:val="center"/>
            <w:shd w:val="clear" w:color="auto" w:fill="F2F2F2"/>
          </w:tcPr>
          <w:p>
            <w:pPr>
              <w:jc w:val="left"/>
            </w:pPr>
            <w:r>
              <w:rPr>
                <w:b w:val="0"/>
                <w:color w:val="1E1E1E"/>
                <w:sz w:val="20"/>
              </w:rPr>
              <w:t>Volume</w:t>
            </w:r>
          </w:p>
        </w:tc>
        <w:tc>
          <w:tcPr>
            <w:tcW w:type="dxa" w:w="4320"/>
            <w:vAlign w:val="center"/>
            <w:shd w:val="clear" w:color="auto" w:fill="F2F2F2"/>
          </w:tcPr>
          <w:p>
            <w:pPr>
              <w:jc w:val="left"/>
            </w:pPr>
            <w:r>
              <w:rPr>
                <w:b w:val="0"/>
                <w:color w:val="1E1E1E"/>
                <w:sz w:val="20"/>
              </w:rPr>
              <w:t>Unusually low unique patient count relative to claim count</w:t>
            </w:r>
          </w:p>
        </w:tc>
      </w:tr>
      <w:tr>
        <w:tc>
          <w:tcPr>
            <w:tcW w:type="dxa" w:w="720"/>
            <w:vAlign w:val="center"/>
          </w:tcPr>
          <w:p>
            <w:pPr>
              <w:jc w:val="left"/>
            </w:pPr>
            <w:r>
              <w:rPr>
                <w:b w:val="0"/>
                <w:color w:val="1E1E1E"/>
                <w:sz w:val="20"/>
              </w:rPr>
              <w:t>6</w:t>
            </w:r>
          </w:p>
        </w:tc>
        <w:tc>
          <w:tcPr>
            <w:tcW w:type="dxa" w:w="2880"/>
            <w:vAlign w:val="center"/>
          </w:tcPr>
          <w:p>
            <w:pPr>
              <w:jc w:val="left"/>
            </w:pPr>
            <w:r>
              <w:rPr>
                <w:b w:val="0"/>
                <w:color w:val="1E1E1E"/>
                <w:sz w:val="20"/>
              </w:rPr>
              <w:t>IP_UniqueDiag</w:t>
            </w:r>
          </w:p>
        </w:tc>
        <w:tc>
          <w:tcPr>
            <w:tcW w:type="dxa" w:w="2160"/>
            <w:vAlign w:val="center"/>
          </w:tcPr>
          <w:p>
            <w:pPr>
              <w:jc w:val="left"/>
            </w:pPr>
            <w:r>
              <w:rPr>
                <w:b w:val="0"/>
                <w:color w:val="1E1E1E"/>
                <w:sz w:val="20"/>
              </w:rPr>
              <w:t>Clinical</w:t>
            </w:r>
          </w:p>
        </w:tc>
        <w:tc>
          <w:tcPr>
            <w:tcW w:type="dxa" w:w="4320"/>
            <w:vAlign w:val="center"/>
          </w:tcPr>
          <w:p>
            <w:pPr>
              <w:jc w:val="left"/>
            </w:pPr>
            <w:r>
              <w:rPr>
                <w:b w:val="0"/>
                <w:color w:val="1E1E1E"/>
                <w:sz w:val="20"/>
              </w:rPr>
              <w:t>Wide variety of diagnosis codes signals ambiguous billing</w:t>
            </w:r>
          </w:p>
        </w:tc>
      </w:tr>
      <w:tr>
        <w:tc>
          <w:tcPr>
            <w:tcW w:type="dxa" w:w="720"/>
            <w:vAlign w:val="center"/>
            <w:shd w:val="clear" w:color="auto" w:fill="F2F2F2"/>
          </w:tcPr>
          <w:p>
            <w:pPr>
              <w:jc w:val="left"/>
            </w:pPr>
            <w:r>
              <w:rPr>
                <w:b w:val="0"/>
                <w:color w:val="1E1E1E"/>
                <w:sz w:val="20"/>
              </w:rPr>
              <w:t>7</w:t>
            </w:r>
          </w:p>
        </w:tc>
        <w:tc>
          <w:tcPr>
            <w:tcW w:type="dxa" w:w="2880"/>
            <w:vAlign w:val="center"/>
            <w:shd w:val="clear" w:color="auto" w:fill="F2F2F2"/>
          </w:tcPr>
          <w:p>
            <w:pPr>
              <w:jc w:val="left"/>
            </w:pPr>
            <w:r>
              <w:rPr>
                <w:b w:val="0"/>
                <w:color w:val="1E1E1E"/>
                <w:sz w:val="20"/>
              </w:rPr>
              <w:t>IP_MaxReimbursed</w:t>
            </w:r>
          </w:p>
        </w:tc>
        <w:tc>
          <w:tcPr>
            <w:tcW w:type="dxa" w:w="2160"/>
            <w:vAlign w:val="center"/>
            <w:shd w:val="clear" w:color="auto" w:fill="F2F2F2"/>
          </w:tcPr>
          <w:p>
            <w:pPr>
              <w:jc w:val="left"/>
            </w:pPr>
            <w:r>
              <w:rPr>
                <w:b w:val="0"/>
                <w:color w:val="1E1E1E"/>
                <w:sz w:val="20"/>
              </w:rPr>
              <w:t>Financial</w:t>
            </w:r>
          </w:p>
        </w:tc>
        <w:tc>
          <w:tcPr>
            <w:tcW w:type="dxa" w:w="4320"/>
            <w:vAlign w:val="center"/>
            <w:shd w:val="clear" w:color="auto" w:fill="F2F2F2"/>
          </w:tcPr>
          <w:p>
            <w:pPr>
              <w:jc w:val="left"/>
            </w:pPr>
            <w:r>
              <w:rPr>
                <w:b w:val="0"/>
                <w:color w:val="1E1E1E"/>
                <w:sz w:val="20"/>
              </w:rPr>
              <w:t>Single very large claims indicate fraudulent upcoding</w:t>
            </w:r>
          </w:p>
        </w:tc>
      </w:tr>
      <w:tr>
        <w:tc>
          <w:tcPr>
            <w:tcW w:type="dxa" w:w="720"/>
            <w:vAlign w:val="center"/>
          </w:tcPr>
          <w:p>
            <w:pPr>
              <w:jc w:val="left"/>
            </w:pPr>
            <w:r>
              <w:rPr>
                <w:b w:val="0"/>
                <w:color w:val="1E1E1E"/>
                <w:sz w:val="20"/>
              </w:rPr>
              <w:t>8</w:t>
            </w:r>
          </w:p>
        </w:tc>
        <w:tc>
          <w:tcPr>
            <w:tcW w:type="dxa" w:w="2880"/>
            <w:vAlign w:val="center"/>
          </w:tcPr>
          <w:p>
            <w:pPr>
              <w:jc w:val="left"/>
            </w:pPr>
            <w:r>
              <w:rPr>
                <w:b w:val="0"/>
                <w:color w:val="1E1E1E"/>
                <w:sz w:val="20"/>
              </w:rPr>
              <w:t>Bene_AvgAge</w:t>
            </w:r>
          </w:p>
        </w:tc>
        <w:tc>
          <w:tcPr>
            <w:tcW w:type="dxa" w:w="2160"/>
            <w:vAlign w:val="center"/>
          </w:tcPr>
          <w:p>
            <w:pPr>
              <w:jc w:val="left"/>
            </w:pPr>
            <w:r>
              <w:rPr>
                <w:b w:val="0"/>
                <w:color w:val="1E1E1E"/>
                <w:sz w:val="20"/>
              </w:rPr>
              <w:t>Patient Demographics</w:t>
            </w:r>
          </w:p>
        </w:tc>
        <w:tc>
          <w:tcPr>
            <w:tcW w:type="dxa" w:w="4320"/>
            <w:vAlign w:val="center"/>
          </w:tcPr>
          <w:p>
            <w:pPr>
              <w:jc w:val="left"/>
            </w:pPr>
            <w:r>
              <w:rPr>
                <w:b w:val="0"/>
                <w:color w:val="1E1E1E"/>
                <w:sz w:val="20"/>
              </w:rPr>
              <w:t>Elderly patients are primary fraud targets</w:t>
            </w:r>
          </w:p>
        </w:tc>
      </w:tr>
      <w:tr>
        <w:tc>
          <w:tcPr>
            <w:tcW w:type="dxa" w:w="720"/>
            <w:vAlign w:val="center"/>
            <w:shd w:val="clear" w:color="auto" w:fill="F2F2F2"/>
          </w:tcPr>
          <w:p>
            <w:pPr>
              <w:jc w:val="left"/>
            </w:pPr>
            <w:r>
              <w:rPr>
                <w:b w:val="0"/>
                <w:color w:val="1E1E1E"/>
                <w:sz w:val="20"/>
              </w:rPr>
              <w:t>9</w:t>
            </w:r>
          </w:p>
        </w:tc>
        <w:tc>
          <w:tcPr>
            <w:tcW w:type="dxa" w:w="2880"/>
            <w:vAlign w:val="center"/>
            <w:shd w:val="clear" w:color="auto" w:fill="F2F2F2"/>
          </w:tcPr>
          <w:p>
            <w:pPr>
              <w:jc w:val="left"/>
            </w:pPr>
            <w:r>
              <w:rPr>
                <w:b w:val="0"/>
                <w:color w:val="1E1E1E"/>
                <w:sz w:val="20"/>
              </w:rPr>
              <w:t>IP_Unique_AttendingPhysician</w:t>
            </w:r>
          </w:p>
        </w:tc>
        <w:tc>
          <w:tcPr>
            <w:tcW w:type="dxa" w:w="2160"/>
            <w:vAlign w:val="center"/>
            <w:shd w:val="clear" w:color="auto" w:fill="F2F2F2"/>
          </w:tcPr>
          <w:p>
            <w:pPr>
              <w:jc w:val="left"/>
            </w:pPr>
            <w:r>
              <w:rPr>
                <w:b w:val="0"/>
                <w:color w:val="1E1E1E"/>
                <w:sz w:val="20"/>
              </w:rPr>
              <w:t>Physician Network</w:t>
            </w:r>
          </w:p>
        </w:tc>
        <w:tc>
          <w:tcPr>
            <w:tcW w:type="dxa" w:w="4320"/>
            <w:vAlign w:val="center"/>
            <w:shd w:val="clear" w:color="auto" w:fill="F2F2F2"/>
          </w:tcPr>
          <w:p>
            <w:pPr>
              <w:jc w:val="left"/>
            </w:pPr>
            <w:r>
              <w:rPr>
                <w:b w:val="0"/>
                <w:color w:val="1E1E1E"/>
                <w:sz w:val="20"/>
              </w:rPr>
              <w:t>Large physician networks indicate organized fraud rings</w:t>
            </w:r>
          </w:p>
        </w:tc>
      </w:tr>
      <w:tr>
        <w:tc>
          <w:tcPr>
            <w:tcW w:type="dxa" w:w="720"/>
            <w:vAlign w:val="center"/>
          </w:tcPr>
          <w:p>
            <w:pPr>
              <w:jc w:val="left"/>
            </w:pPr>
            <w:r>
              <w:rPr>
                <w:b w:val="0"/>
                <w:color w:val="1E1E1E"/>
                <w:sz w:val="20"/>
              </w:rPr>
              <w:t>10</w:t>
            </w:r>
          </w:p>
        </w:tc>
        <w:tc>
          <w:tcPr>
            <w:tcW w:type="dxa" w:w="2880"/>
            <w:vAlign w:val="center"/>
          </w:tcPr>
          <w:p>
            <w:pPr>
              <w:jc w:val="left"/>
            </w:pPr>
            <w:r>
              <w:rPr>
                <w:b w:val="0"/>
                <w:color w:val="1E1E1E"/>
                <w:sz w:val="20"/>
              </w:rPr>
              <w:t>Avg_Reimbursed_Per_Claim</w:t>
            </w:r>
          </w:p>
        </w:tc>
        <w:tc>
          <w:tcPr>
            <w:tcW w:type="dxa" w:w="2160"/>
            <w:vAlign w:val="center"/>
          </w:tcPr>
          <w:p>
            <w:pPr>
              <w:jc w:val="left"/>
            </w:pPr>
            <w:r>
              <w:rPr>
                <w:b w:val="0"/>
                <w:color w:val="1E1E1E"/>
                <w:sz w:val="20"/>
              </w:rPr>
              <w:t>Financial</w:t>
            </w:r>
          </w:p>
        </w:tc>
        <w:tc>
          <w:tcPr>
            <w:tcW w:type="dxa" w:w="4320"/>
            <w:vAlign w:val="center"/>
          </w:tcPr>
          <w:p>
            <w:pPr>
              <w:jc w:val="left"/>
            </w:pPr>
            <w:r>
              <w:rPr>
                <w:b w:val="0"/>
                <w:color w:val="1E1E1E"/>
                <w:sz w:val="20"/>
              </w:rPr>
              <w:t>Normalized billing rate exposes inflated per-claim charges</w:t>
            </w:r>
          </w:p>
        </w:tc>
      </w:tr>
    </w:tbl>
    <w:p/>
    <w:p>
      <w:r>
        <w:br w:type="page"/>
      </w:r>
    </w:p>
    <w:p>
      <w:pPr>
        <w:pStyle w:val="Heading1"/>
        <w:jc w:val="left"/>
      </w:pPr>
      <w:r>
        <w:rPr>
          <w:color w:val="1F3864"/>
        </w:rPr>
        <w:t>7. Modelling</w:t>
      </w:r>
    </w:p>
    <w:p>
      <w:r>
        <w:rPr>
          <w:b/>
          <w:i w:val="0"/>
          <w:sz w:val="24"/>
        </w:rPr>
        <w:t>Problem Type</w:t>
      </w:r>
    </w:p>
    <w:p>
      <w:r>
        <w:rPr>
          <w:b w:val="0"/>
          <w:i w:val="0"/>
          <w:sz w:val="22"/>
        </w:rPr>
        <w:t>This is a supervised binary classification problem. The model learns from labeled training data (where fraud status is known) and predicts the fraud status of unlabeled providers in the unseen test set.</w:t>
      </w:r>
    </w:p>
    <w:p>
      <w:r>
        <w:rPr>
          <w:b/>
          <w:i w:val="0"/>
          <w:sz w:val="24"/>
        </w:rPr>
        <w:t>Train-Test Split</w:t>
      </w:r>
    </w:p>
    <w:p>
      <w:r>
        <w:rPr>
          <w:b w:val="0"/>
          <w:i w:val="0"/>
          <w:sz w:val="22"/>
        </w:rPr>
        <w:t>The 5,410 training providers were split into 80% training (4,328 providers) and 20% validation (1,082 providers) using Stratified K-Fold to preserve the original fraud-to-non-fraud ratio in both subsets.</w:t>
      </w:r>
    </w:p>
    <w:p>
      <w:r>
        <w:rPr>
          <w:b/>
          <w:i w:val="0"/>
          <w:sz w:val="24"/>
        </w:rPr>
        <w:t>Handling Class Imbalance with SMOTE</w:t>
      </w:r>
    </w:p>
    <w:p>
      <w:r>
        <w:rPr>
          <w:b w:val="0"/>
          <w:i w:val="0"/>
          <w:sz w:val="22"/>
        </w:rPr>
        <w:t>Only 9% of providers in the training data are fraudulent. Training a model on this imbalanced data causes it to predict 'Not Fraud' for every provider and achieve 91% accuracy while catching zero fraudsters. SMOTE (Synthetic Minority Over-sampling Technique) was applied to generate synthetic fraud examples, balancing the training classes to 50/50.</w:t>
      </w:r>
    </w:p>
    <w:p>
      <w:r>
        <w:rPr>
          <w:b w:val="0"/>
          <w:i/>
          <w:sz w:val="22"/>
        </w:rPr>
        <w:t>Before SMOTE: {Non-Fraud: 3,923, Fraud: 405}</w:t>
      </w:r>
    </w:p>
    <w:p>
      <w:r>
        <w:rPr>
          <w:b w:val="0"/>
          <w:i/>
          <w:sz w:val="22"/>
        </w:rPr>
        <w:t>After SMOTE:  {Non-Fraud: 3,923, Fraud: 3,923}</w:t>
      </w:r>
    </w:p>
    <w:p/>
    <w:p>
      <w:r>
        <w:rPr>
          <w:b/>
          <w:i w:val="0"/>
          <w:sz w:val="24"/>
        </w:rPr>
        <w:t>Model Comparison — 5-Fold Cross-Validation Results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vAlign w:val="center"/>
            <w:shd w:val="clear" w:color="auto" w:fill="1F3864"/>
          </w:tcPr>
          <w:p>
            <w:pPr>
              <w:jc w:val="left"/>
            </w:pPr>
            <w:r>
              <w:rPr>
                <w:b/>
                <w:color w:val="FFFFFF"/>
                <w:sz w:val="20"/>
              </w:rPr>
              <w:t>Model</w:t>
            </w:r>
          </w:p>
        </w:tc>
        <w:tc>
          <w:tcPr>
            <w:tcW w:type="dxa" w:w="2160"/>
            <w:vAlign w:val="center"/>
            <w:shd w:val="clear" w:color="auto" w:fill="1F3864"/>
          </w:tcPr>
          <w:p>
            <w:pPr>
              <w:jc w:val="left"/>
            </w:pPr>
            <w:r>
              <w:rPr>
                <w:b/>
                <w:color w:val="FFFFFF"/>
                <w:sz w:val="20"/>
              </w:rPr>
              <w:t>Mean ROC-AUC</w:t>
            </w:r>
          </w:p>
        </w:tc>
        <w:tc>
          <w:tcPr>
            <w:tcW w:type="dxa" w:w="1440"/>
            <w:vAlign w:val="center"/>
            <w:shd w:val="clear" w:color="auto" w:fill="1F3864"/>
          </w:tcPr>
          <w:p>
            <w:pPr>
              <w:jc w:val="left"/>
            </w:pPr>
            <w:r>
              <w:rPr>
                <w:b/>
                <w:color w:val="FFFFFF"/>
                <w:sz w:val="20"/>
              </w:rPr>
              <w:t>Std Dev</w:t>
            </w:r>
          </w:p>
        </w:tc>
        <w:tc>
          <w:tcPr>
            <w:tcW w:type="dxa" w:w="3600"/>
            <w:vAlign w:val="center"/>
            <w:shd w:val="clear" w:color="auto" w:fill="1F3864"/>
          </w:tcPr>
          <w:p>
            <w:pPr>
              <w:jc w:val="left"/>
            </w:pPr>
            <w:r>
              <w:rPr>
                <w:b/>
                <w:color w:val="FFFFFF"/>
                <w:sz w:val="20"/>
              </w:rPr>
              <w:t>Notes</w:t>
            </w:r>
          </w:p>
        </w:tc>
      </w:tr>
      <w:tr>
        <w:tc>
          <w:tcPr>
            <w:tcW w:type="dxa" w:w="2880"/>
            <w:vAlign w:val="center"/>
            <w:shd w:val="clear" w:color="auto" w:fill="F2F2F2"/>
          </w:tcPr>
          <w:p>
            <w:pPr>
              <w:jc w:val="left"/>
            </w:pPr>
            <w:r>
              <w:rPr>
                <w:b w:val="0"/>
                <w:color w:val="1E1E1E"/>
                <w:sz w:val="20"/>
              </w:rPr>
              <w:t>Logistic Regression</w:t>
            </w:r>
          </w:p>
        </w:tc>
        <w:tc>
          <w:tcPr>
            <w:tcW w:type="dxa" w:w="2160"/>
            <w:vAlign w:val="center"/>
            <w:shd w:val="clear" w:color="auto" w:fill="F2F2F2"/>
          </w:tcPr>
          <w:p>
            <w:pPr>
              <w:jc w:val="left"/>
            </w:pPr>
            <w:r>
              <w:rPr>
                <w:b w:val="0"/>
                <w:color w:val="1E1E1E"/>
                <w:sz w:val="20"/>
              </w:rPr>
              <w:t>0.9189</w:t>
            </w:r>
          </w:p>
        </w:tc>
        <w:tc>
          <w:tcPr>
            <w:tcW w:type="dxa" w:w="1440"/>
            <w:vAlign w:val="center"/>
            <w:shd w:val="clear" w:color="auto" w:fill="F2F2F2"/>
          </w:tcPr>
          <w:p>
            <w:pPr>
              <w:jc w:val="left"/>
            </w:pPr>
            <w:r>
              <w:rPr>
                <w:b w:val="0"/>
                <w:color w:val="1E1E1E"/>
                <w:sz w:val="20"/>
              </w:rPr>
              <w:t>±0.013</w:t>
            </w:r>
          </w:p>
        </w:tc>
        <w:tc>
          <w:tcPr>
            <w:tcW w:type="dxa" w:w="3600"/>
            <w:vAlign w:val="center"/>
            <w:shd w:val="clear" w:color="auto" w:fill="F2F2F2"/>
          </w:tcPr>
          <w:p>
            <w:pPr>
              <w:jc w:val="left"/>
            </w:pPr>
            <w:r>
              <w:rPr>
                <w:b w:val="0"/>
                <w:color w:val="1E1E1E"/>
                <w:sz w:val="20"/>
              </w:rPr>
              <w:t>Linear baseline — limited for non-linear fraud patterns</w:t>
            </w:r>
          </w:p>
        </w:tc>
      </w:tr>
      <w:tr>
        <w:tc>
          <w:tcPr>
            <w:tcW w:type="dxa" w:w="2880"/>
            <w:vAlign w:val="center"/>
          </w:tcPr>
          <w:p>
            <w:pPr>
              <w:jc w:val="left"/>
            </w:pPr>
            <w:r>
              <w:rPr>
                <w:b w:val="0"/>
                <w:color w:val="1E1E1E"/>
                <w:sz w:val="20"/>
              </w:rPr>
              <w:t>Random Forest</w:t>
            </w:r>
          </w:p>
        </w:tc>
        <w:tc>
          <w:tcPr>
            <w:tcW w:type="dxa" w:w="2160"/>
            <w:vAlign w:val="center"/>
          </w:tcPr>
          <w:p>
            <w:pPr>
              <w:jc w:val="left"/>
            </w:pPr>
            <w:r>
              <w:rPr>
                <w:b w:val="0"/>
                <w:color w:val="1E1E1E"/>
                <w:sz w:val="20"/>
              </w:rPr>
              <w:t>0.9457</w:t>
            </w:r>
          </w:p>
        </w:tc>
        <w:tc>
          <w:tcPr>
            <w:tcW w:type="dxa" w:w="1440"/>
            <w:vAlign w:val="center"/>
          </w:tcPr>
          <w:p>
            <w:pPr>
              <w:jc w:val="left"/>
            </w:pPr>
            <w:r>
              <w:rPr>
                <w:b w:val="0"/>
                <w:color w:val="1E1E1E"/>
                <w:sz w:val="20"/>
              </w:rPr>
              <w:t>±0.008</w:t>
            </w:r>
          </w:p>
        </w:tc>
        <w:tc>
          <w:tcPr>
            <w:tcW w:type="dxa" w:w="3600"/>
            <w:vAlign w:val="center"/>
          </w:tcPr>
          <w:p>
            <w:pPr>
              <w:jc w:val="left"/>
            </w:pPr>
            <w:r>
              <w:rPr>
                <w:b w:val="0"/>
                <w:color w:val="1E1E1E"/>
                <w:sz w:val="20"/>
              </w:rPr>
              <w:t>Strong ensemble model — good non-linear pattern detection</w:t>
            </w:r>
          </w:p>
        </w:tc>
      </w:tr>
      <w:tr>
        <w:tc>
          <w:tcPr>
            <w:tcW w:type="dxa" w:w="2880"/>
            <w:vAlign w:val="center"/>
            <w:shd w:val="clear" w:color="auto" w:fill="F2F2F2"/>
          </w:tcPr>
          <w:p>
            <w:pPr>
              <w:jc w:val="left"/>
            </w:pPr>
            <w:r>
              <w:rPr>
                <w:b w:val="0"/>
                <w:color w:val="1E1E1E"/>
                <w:sz w:val="20"/>
              </w:rPr>
              <w:t>XGBoost ⭐ SELECTED</w:t>
            </w:r>
          </w:p>
        </w:tc>
        <w:tc>
          <w:tcPr>
            <w:tcW w:type="dxa" w:w="2160"/>
            <w:vAlign w:val="center"/>
            <w:shd w:val="clear" w:color="auto" w:fill="F2F2F2"/>
          </w:tcPr>
          <w:p>
            <w:pPr>
              <w:jc w:val="left"/>
            </w:pPr>
            <w:r>
              <w:rPr>
                <w:b w:val="0"/>
                <w:color w:val="1E1E1E"/>
                <w:sz w:val="20"/>
              </w:rPr>
              <w:t>0.9492</w:t>
            </w:r>
          </w:p>
        </w:tc>
        <w:tc>
          <w:tcPr>
            <w:tcW w:type="dxa" w:w="1440"/>
            <w:vAlign w:val="center"/>
            <w:shd w:val="clear" w:color="auto" w:fill="F2F2F2"/>
          </w:tcPr>
          <w:p>
            <w:pPr>
              <w:jc w:val="left"/>
            </w:pPr>
            <w:r>
              <w:rPr>
                <w:b w:val="0"/>
                <w:color w:val="1E1E1E"/>
                <w:sz w:val="20"/>
              </w:rPr>
              <w:t>±0.007</w:t>
            </w:r>
          </w:p>
        </w:tc>
        <w:tc>
          <w:tcPr>
            <w:tcW w:type="dxa" w:w="3600"/>
            <w:vAlign w:val="center"/>
            <w:shd w:val="clear" w:color="auto" w:fill="F2F2F2"/>
          </w:tcPr>
          <w:p>
            <w:pPr>
              <w:jc w:val="left"/>
            </w:pPr>
            <w:r>
              <w:rPr>
                <w:b w:val="0"/>
                <w:color w:val="1E1E1E"/>
                <w:sz w:val="20"/>
              </w:rPr>
              <w:t>Best balance of performance and interpretability</w:t>
            </w:r>
          </w:p>
        </w:tc>
      </w:tr>
      <w:tr>
        <w:tc>
          <w:tcPr>
            <w:tcW w:type="dxa" w:w="2880"/>
            <w:vAlign w:val="center"/>
          </w:tcPr>
          <w:p>
            <w:pPr>
              <w:jc w:val="left"/>
            </w:pPr>
            <w:r>
              <w:rPr>
                <w:b w:val="0"/>
                <w:color w:val="1E1E1E"/>
                <w:sz w:val="20"/>
              </w:rPr>
              <w:t>LightGBM</w:t>
            </w:r>
          </w:p>
        </w:tc>
        <w:tc>
          <w:tcPr>
            <w:tcW w:type="dxa" w:w="2160"/>
            <w:vAlign w:val="center"/>
          </w:tcPr>
          <w:p>
            <w:pPr>
              <w:jc w:val="left"/>
            </w:pPr>
            <w:r>
              <w:rPr>
                <w:b w:val="0"/>
                <w:color w:val="1E1E1E"/>
                <w:sz w:val="20"/>
              </w:rPr>
              <w:t>0.9493</w:t>
            </w:r>
          </w:p>
        </w:tc>
        <w:tc>
          <w:tcPr>
            <w:tcW w:type="dxa" w:w="1440"/>
            <w:vAlign w:val="center"/>
          </w:tcPr>
          <w:p>
            <w:pPr>
              <w:jc w:val="left"/>
            </w:pPr>
            <w:r>
              <w:rPr>
                <w:b w:val="0"/>
                <w:color w:val="1E1E1E"/>
                <w:sz w:val="20"/>
              </w:rPr>
              <w:t>±0.005</w:t>
            </w:r>
          </w:p>
        </w:tc>
        <w:tc>
          <w:tcPr>
            <w:tcW w:type="dxa" w:w="3600"/>
            <w:vAlign w:val="center"/>
          </w:tcPr>
          <w:p>
            <w:pPr>
              <w:jc w:val="left"/>
            </w:pPr>
            <w:r>
              <w:rPr>
                <w:b w:val="0"/>
                <w:color w:val="1E1E1E"/>
                <w:sz w:val="20"/>
              </w:rPr>
              <w:t>Marginally better AUC but less widely supported in production</w:t>
            </w:r>
          </w:p>
        </w:tc>
      </w:tr>
    </w:tbl>
    <w:p/>
    <w:p>
      <w:r>
        <w:rPr>
          <w:b/>
          <w:i w:val="0"/>
          <w:sz w:val="24"/>
        </w:rPr>
        <w:t>Final Model — XGBoost Configuration</w:t>
      </w:r>
    </w:p>
    <w:tbl>
      <w:tblPr>
        <w:tblStyle w:val="TableGrid"/>
        <w:tblW w:type="auto" w:w="0"/>
        <w:jc w:val="left"/>
        <w:tblLook w:firstColumn="1" w:firstRow="1" w:lastColumn="0" w:lastRow="0" w:noHBand="0" w:noVBand="1" w:val="04A0"/>
      </w:tblPr>
      <w:tblGrid>
        <w:gridCol w:w="3135"/>
        <w:gridCol w:w="3135"/>
        <w:gridCol w:w="3135"/>
      </w:tblGrid>
      <w:tr>
        <w:tc>
          <w:tcPr>
            <w:tcW w:type="dxa" w:w="3600"/>
            <w:vAlign w:val="center"/>
            <w:shd w:val="clear" w:color="auto" w:fill="1F3864"/>
          </w:tcPr>
          <w:p>
            <w:pPr>
              <w:jc w:val="left"/>
            </w:pPr>
            <w:r>
              <w:rPr>
                <w:b/>
                <w:color w:val="FFFFFF"/>
                <w:sz w:val="20"/>
              </w:rPr>
              <w:t>Hyperparameter</w:t>
            </w:r>
          </w:p>
        </w:tc>
        <w:tc>
          <w:tcPr>
            <w:tcW w:type="dxa" w:w="1728"/>
            <w:vAlign w:val="center"/>
            <w:shd w:val="clear" w:color="auto" w:fill="1F3864"/>
          </w:tcPr>
          <w:p>
            <w:pPr>
              <w:jc w:val="left"/>
            </w:pPr>
            <w:r>
              <w:rPr>
                <w:b/>
                <w:color w:val="FFFFFF"/>
                <w:sz w:val="20"/>
              </w:rPr>
              <w:t>Value</w:t>
            </w:r>
          </w:p>
        </w:tc>
        <w:tc>
          <w:tcPr>
            <w:tcW w:type="dxa" w:w="4752"/>
            <w:vAlign w:val="center"/>
            <w:shd w:val="clear" w:color="auto" w:fill="1F3864"/>
          </w:tcPr>
          <w:p>
            <w:pPr>
              <w:jc w:val="left"/>
            </w:pPr>
            <w:r>
              <w:rPr>
                <w:b/>
                <w:color w:val="FFFFFF"/>
                <w:sz w:val="20"/>
              </w:rPr>
              <w:t>Purpose</w:t>
            </w:r>
          </w:p>
        </w:tc>
      </w:tr>
      <w:tr>
        <w:tc>
          <w:tcPr>
            <w:tcW w:type="dxa" w:w="3600"/>
            <w:vAlign w:val="center"/>
            <w:shd w:val="clear" w:color="auto" w:fill="F2F2F2"/>
          </w:tcPr>
          <w:p>
            <w:pPr>
              <w:jc w:val="left"/>
            </w:pPr>
            <w:r>
              <w:rPr>
                <w:b w:val="0"/>
                <w:color w:val="1E1E1E"/>
                <w:sz w:val="20"/>
              </w:rPr>
              <w:t>n_estimators</w:t>
            </w:r>
          </w:p>
        </w:tc>
        <w:tc>
          <w:tcPr>
            <w:tcW w:type="dxa" w:w="1728"/>
            <w:vAlign w:val="center"/>
            <w:shd w:val="clear" w:color="auto" w:fill="F2F2F2"/>
          </w:tcPr>
          <w:p>
            <w:pPr>
              <w:jc w:val="left"/>
            </w:pPr>
            <w:r>
              <w:rPr>
                <w:b w:val="0"/>
                <w:color w:val="1E1E1E"/>
                <w:sz w:val="20"/>
              </w:rPr>
              <w:t>500</w:t>
            </w:r>
          </w:p>
        </w:tc>
        <w:tc>
          <w:tcPr>
            <w:tcW w:type="dxa" w:w="4752"/>
            <w:vAlign w:val="center"/>
            <w:shd w:val="clear" w:color="auto" w:fill="F2F2F2"/>
          </w:tcPr>
          <w:p>
            <w:pPr>
              <w:jc w:val="left"/>
            </w:pPr>
            <w:r>
              <w:rPr>
                <w:b w:val="0"/>
                <w:color w:val="1E1E1E"/>
                <w:sz w:val="20"/>
              </w:rPr>
              <w:t>Number of boosting rounds — more trees = better learning</w:t>
            </w:r>
          </w:p>
        </w:tc>
      </w:tr>
      <w:tr>
        <w:tc>
          <w:tcPr>
            <w:tcW w:type="dxa" w:w="3600"/>
            <w:vAlign w:val="center"/>
          </w:tcPr>
          <w:p>
            <w:pPr>
              <w:jc w:val="left"/>
            </w:pPr>
            <w:r>
              <w:rPr>
                <w:b w:val="0"/>
                <w:color w:val="1E1E1E"/>
                <w:sz w:val="20"/>
              </w:rPr>
              <w:t>max_depth</w:t>
            </w:r>
          </w:p>
        </w:tc>
        <w:tc>
          <w:tcPr>
            <w:tcW w:type="dxa" w:w="1728"/>
            <w:vAlign w:val="center"/>
          </w:tcPr>
          <w:p>
            <w:pPr>
              <w:jc w:val="left"/>
            </w:pPr>
            <w:r>
              <w:rPr>
                <w:b w:val="0"/>
                <w:color w:val="1E1E1E"/>
                <w:sz w:val="20"/>
              </w:rPr>
              <w:t>6</w:t>
            </w:r>
          </w:p>
        </w:tc>
        <w:tc>
          <w:tcPr>
            <w:tcW w:type="dxa" w:w="4752"/>
            <w:vAlign w:val="center"/>
          </w:tcPr>
          <w:p>
            <w:pPr>
              <w:jc w:val="left"/>
            </w:pPr>
            <w:r>
              <w:rPr>
                <w:b w:val="0"/>
                <w:color w:val="1E1E1E"/>
                <w:sz w:val="20"/>
              </w:rPr>
              <w:t>Maximum depth per tree — controls model complexity</w:t>
            </w:r>
          </w:p>
        </w:tc>
      </w:tr>
      <w:tr>
        <w:tc>
          <w:tcPr>
            <w:tcW w:type="dxa" w:w="3600"/>
            <w:vAlign w:val="center"/>
            <w:shd w:val="clear" w:color="auto" w:fill="F2F2F2"/>
          </w:tcPr>
          <w:p>
            <w:pPr>
              <w:jc w:val="left"/>
            </w:pPr>
            <w:r>
              <w:rPr>
                <w:b w:val="0"/>
                <w:color w:val="1E1E1E"/>
                <w:sz w:val="20"/>
              </w:rPr>
              <w:t>learning_rate</w:t>
            </w:r>
          </w:p>
        </w:tc>
        <w:tc>
          <w:tcPr>
            <w:tcW w:type="dxa" w:w="1728"/>
            <w:vAlign w:val="center"/>
            <w:shd w:val="clear" w:color="auto" w:fill="F2F2F2"/>
          </w:tcPr>
          <w:p>
            <w:pPr>
              <w:jc w:val="left"/>
            </w:pPr>
            <w:r>
              <w:rPr>
                <w:b w:val="0"/>
                <w:color w:val="1E1E1E"/>
                <w:sz w:val="20"/>
              </w:rPr>
              <w:t>0.03</w:t>
            </w:r>
          </w:p>
        </w:tc>
        <w:tc>
          <w:tcPr>
            <w:tcW w:type="dxa" w:w="4752"/>
            <w:vAlign w:val="center"/>
            <w:shd w:val="clear" w:color="auto" w:fill="F2F2F2"/>
          </w:tcPr>
          <w:p>
            <w:pPr>
              <w:jc w:val="left"/>
            </w:pPr>
            <w:r>
              <w:rPr>
                <w:b w:val="0"/>
                <w:color w:val="1E1E1E"/>
                <w:sz w:val="20"/>
              </w:rPr>
              <w:t>Step size per boosting round — small value prevents overfitting</w:t>
            </w:r>
          </w:p>
        </w:tc>
      </w:tr>
      <w:tr>
        <w:tc>
          <w:tcPr>
            <w:tcW w:type="dxa" w:w="3600"/>
            <w:vAlign w:val="center"/>
          </w:tcPr>
          <w:p>
            <w:pPr>
              <w:jc w:val="left"/>
            </w:pPr>
            <w:r>
              <w:rPr>
                <w:b w:val="0"/>
                <w:color w:val="1E1E1E"/>
                <w:sz w:val="20"/>
              </w:rPr>
              <w:t>subsample</w:t>
            </w:r>
          </w:p>
        </w:tc>
        <w:tc>
          <w:tcPr>
            <w:tcW w:type="dxa" w:w="1728"/>
            <w:vAlign w:val="center"/>
          </w:tcPr>
          <w:p>
            <w:pPr>
              <w:jc w:val="left"/>
            </w:pPr>
            <w:r>
              <w:rPr>
                <w:b w:val="0"/>
                <w:color w:val="1E1E1E"/>
                <w:sz w:val="20"/>
              </w:rPr>
              <w:t>0.8</w:t>
            </w:r>
          </w:p>
        </w:tc>
        <w:tc>
          <w:tcPr>
            <w:tcW w:type="dxa" w:w="4752"/>
            <w:vAlign w:val="center"/>
          </w:tcPr>
          <w:p>
            <w:pPr>
              <w:jc w:val="left"/>
            </w:pPr>
            <w:r>
              <w:rPr>
                <w:b w:val="0"/>
                <w:color w:val="1E1E1E"/>
                <w:sz w:val="20"/>
              </w:rPr>
              <w:t>Fraction of data used per tree — adds randomness to prevent overfitting</w:t>
            </w:r>
          </w:p>
        </w:tc>
      </w:tr>
      <w:tr>
        <w:tc>
          <w:tcPr>
            <w:tcW w:type="dxa" w:w="3600"/>
            <w:vAlign w:val="center"/>
            <w:shd w:val="clear" w:color="auto" w:fill="F2F2F2"/>
          </w:tcPr>
          <w:p>
            <w:pPr>
              <w:jc w:val="left"/>
            </w:pPr>
            <w:r>
              <w:rPr>
                <w:b w:val="0"/>
                <w:color w:val="1E1E1E"/>
                <w:sz w:val="20"/>
              </w:rPr>
              <w:t>colsample_bytree</w:t>
            </w:r>
          </w:p>
        </w:tc>
        <w:tc>
          <w:tcPr>
            <w:tcW w:type="dxa" w:w="1728"/>
            <w:vAlign w:val="center"/>
            <w:shd w:val="clear" w:color="auto" w:fill="F2F2F2"/>
          </w:tcPr>
          <w:p>
            <w:pPr>
              <w:jc w:val="left"/>
            </w:pPr>
            <w:r>
              <w:rPr>
                <w:b w:val="0"/>
                <w:color w:val="1E1E1E"/>
                <w:sz w:val="20"/>
              </w:rPr>
              <w:t>0.8</w:t>
            </w:r>
          </w:p>
        </w:tc>
        <w:tc>
          <w:tcPr>
            <w:tcW w:type="dxa" w:w="4752"/>
            <w:vAlign w:val="center"/>
            <w:shd w:val="clear" w:color="auto" w:fill="F2F2F2"/>
          </w:tcPr>
          <w:p>
            <w:pPr>
              <w:jc w:val="left"/>
            </w:pPr>
            <w:r>
              <w:rPr>
                <w:b w:val="0"/>
                <w:color w:val="1E1E1E"/>
                <w:sz w:val="20"/>
              </w:rPr>
              <w:t>Fraction of features used per tree — similar regularization benefit</w:t>
            </w:r>
          </w:p>
        </w:tc>
      </w:tr>
      <w:tr>
        <w:tc>
          <w:tcPr>
            <w:tcW w:type="dxa" w:w="3600"/>
            <w:vAlign w:val="center"/>
          </w:tcPr>
          <w:p>
            <w:pPr>
              <w:jc w:val="left"/>
            </w:pPr>
            <w:r>
              <w:rPr>
                <w:b w:val="0"/>
                <w:color w:val="1E1E1E"/>
                <w:sz w:val="20"/>
              </w:rPr>
              <w:t>scale_pos_weight</w:t>
            </w:r>
          </w:p>
        </w:tc>
        <w:tc>
          <w:tcPr>
            <w:tcW w:type="dxa" w:w="1728"/>
            <w:vAlign w:val="center"/>
          </w:tcPr>
          <w:p>
            <w:pPr>
              <w:jc w:val="left"/>
            </w:pPr>
            <w:r>
              <w:rPr>
                <w:b w:val="0"/>
                <w:color w:val="1E1E1E"/>
                <w:sz w:val="20"/>
              </w:rPr>
              <w:t>10</w:t>
            </w:r>
          </w:p>
        </w:tc>
        <w:tc>
          <w:tcPr>
            <w:tcW w:type="dxa" w:w="4752"/>
            <w:vAlign w:val="center"/>
          </w:tcPr>
          <w:p>
            <w:pPr>
              <w:jc w:val="left"/>
            </w:pPr>
            <w:r>
              <w:rPr>
                <w:b w:val="0"/>
                <w:color w:val="1E1E1E"/>
                <w:sz w:val="20"/>
              </w:rPr>
              <w:t>Extra penalty for missing fraud cases — combats class imbalance</w:t>
            </w:r>
          </w:p>
        </w:tc>
      </w:tr>
    </w:tbl>
    <w:p/>
    <w:p>
      <w:r>
        <w:br w:type="page"/>
      </w:r>
    </w:p>
    <w:p>
      <w:pPr>
        <w:pStyle w:val="Heading1"/>
        <w:jc w:val="left"/>
      </w:pPr>
      <w:r>
        <w:rPr>
          <w:color w:val="1F3864"/>
        </w:rPr>
        <w:t>8. Model Evaluation</w:t>
      </w:r>
    </w:p>
    <w:p>
      <w:r>
        <w:rPr>
          <w:b w:val="0"/>
          <w:i w:val="0"/>
          <w:sz w:val="22"/>
        </w:rPr>
        <w:t>The trained XGBoost model was evaluated on the 20% held-out validation set (1,082 providers). The following metrics were computed:</w:t>
      </w:r>
    </w:p>
    <w:tbl>
      <w:tblPr>
        <w:tblStyle w:val="TableGrid"/>
        <w:tblW w:type="auto" w:w="0"/>
        <w:jc w:val="left"/>
        <w:tblLook w:firstColumn="1" w:firstRow="1" w:lastColumn="0" w:lastRow="0" w:noHBand="0" w:noVBand="1" w:val="04A0"/>
      </w:tblPr>
      <w:tblGrid>
        <w:gridCol w:w="3135"/>
        <w:gridCol w:w="3135"/>
        <w:gridCol w:w="3135"/>
      </w:tblGrid>
      <w:tr>
        <w:tc>
          <w:tcPr>
            <w:tcW w:type="dxa" w:w="3168"/>
            <w:vAlign w:val="center"/>
            <w:shd w:val="clear" w:color="auto" w:fill="1F3864"/>
          </w:tcPr>
          <w:p>
            <w:pPr>
              <w:jc w:val="left"/>
            </w:pPr>
            <w:r>
              <w:rPr>
                <w:b/>
                <w:color w:val="FFFFFF"/>
                <w:sz w:val="20"/>
              </w:rPr>
              <w:t>Metric</w:t>
            </w:r>
          </w:p>
        </w:tc>
        <w:tc>
          <w:tcPr>
            <w:tcW w:type="dxa" w:w="1728"/>
            <w:vAlign w:val="center"/>
            <w:shd w:val="clear" w:color="auto" w:fill="1F3864"/>
          </w:tcPr>
          <w:p>
            <w:pPr>
              <w:jc w:val="left"/>
            </w:pPr>
            <w:r>
              <w:rPr>
                <w:b/>
                <w:color w:val="FFFFFF"/>
                <w:sz w:val="20"/>
              </w:rPr>
              <w:t>Value</w:t>
            </w:r>
          </w:p>
        </w:tc>
        <w:tc>
          <w:tcPr>
            <w:tcW w:type="dxa" w:w="5184"/>
            <w:vAlign w:val="center"/>
            <w:shd w:val="clear" w:color="auto" w:fill="1F3864"/>
          </w:tcPr>
          <w:p>
            <w:pPr>
              <w:jc w:val="left"/>
            </w:pPr>
            <w:r>
              <w:rPr>
                <w:b/>
                <w:color w:val="FFFFFF"/>
                <w:sz w:val="20"/>
              </w:rPr>
              <w:t>Interpretation</w:t>
            </w:r>
          </w:p>
        </w:tc>
      </w:tr>
      <w:tr>
        <w:tc>
          <w:tcPr>
            <w:tcW w:type="dxa" w:w="3168"/>
            <w:vAlign w:val="center"/>
            <w:shd w:val="clear" w:color="auto" w:fill="F2F2F2"/>
          </w:tcPr>
          <w:p>
            <w:pPr>
              <w:jc w:val="left"/>
            </w:pPr>
            <w:r>
              <w:rPr>
                <w:b w:val="0"/>
                <w:color w:val="1E1E1E"/>
                <w:sz w:val="20"/>
              </w:rPr>
              <w:t>ROC-AUC</w:t>
            </w:r>
          </w:p>
        </w:tc>
        <w:tc>
          <w:tcPr>
            <w:tcW w:type="dxa" w:w="1728"/>
            <w:vAlign w:val="center"/>
            <w:shd w:val="clear" w:color="auto" w:fill="F2F2F2"/>
          </w:tcPr>
          <w:p>
            <w:pPr>
              <w:jc w:val="left"/>
            </w:pPr>
            <w:r>
              <w:rPr>
                <w:b w:val="0"/>
                <w:color w:val="1E1E1E"/>
                <w:sz w:val="20"/>
              </w:rPr>
              <w:t>0.9615</w:t>
            </w:r>
          </w:p>
        </w:tc>
        <w:tc>
          <w:tcPr>
            <w:tcW w:type="dxa" w:w="5184"/>
            <w:vAlign w:val="center"/>
            <w:shd w:val="clear" w:color="auto" w:fill="F2F2F2"/>
          </w:tcPr>
          <w:p>
            <w:pPr>
              <w:jc w:val="left"/>
            </w:pPr>
            <w:r>
              <w:rPr>
                <w:b w:val="0"/>
                <w:color w:val="1E1E1E"/>
                <w:sz w:val="20"/>
              </w:rPr>
              <w:t>96.15% chance of ranking a fraud provider above a non-fraud provider — excellent discrimination</w:t>
            </w:r>
          </w:p>
        </w:tc>
      </w:tr>
      <w:tr>
        <w:tc>
          <w:tcPr>
            <w:tcW w:type="dxa" w:w="3168"/>
            <w:vAlign w:val="center"/>
          </w:tcPr>
          <w:p>
            <w:pPr>
              <w:jc w:val="left"/>
            </w:pPr>
            <w:r>
              <w:rPr>
                <w:b w:val="0"/>
                <w:color w:val="1E1E1E"/>
                <w:sz w:val="20"/>
              </w:rPr>
              <w:t>Average Precision (AUPRC)</w:t>
            </w:r>
          </w:p>
        </w:tc>
        <w:tc>
          <w:tcPr>
            <w:tcW w:type="dxa" w:w="1728"/>
            <w:vAlign w:val="center"/>
          </w:tcPr>
          <w:p>
            <w:pPr>
              <w:jc w:val="left"/>
            </w:pPr>
            <w:r>
              <w:rPr>
                <w:b w:val="0"/>
                <w:color w:val="1E1E1E"/>
                <w:sz w:val="20"/>
              </w:rPr>
              <w:t>0.7658</w:t>
            </w:r>
          </w:p>
        </w:tc>
        <w:tc>
          <w:tcPr>
            <w:tcW w:type="dxa" w:w="5184"/>
            <w:vAlign w:val="center"/>
          </w:tcPr>
          <w:p>
            <w:pPr>
              <w:jc w:val="left"/>
            </w:pPr>
            <w:r>
              <w:rPr>
                <w:b w:val="0"/>
                <w:color w:val="1E1E1E"/>
                <w:sz w:val="20"/>
              </w:rPr>
              <w:t>Strong performance on the imbalanced fraud class specifically</w:t>
            </w:r>
          </w:p>
        </w:tc>
      </w:tr>
      <w:tr>
        <w:tc>
          <w:tcPr>
            <w:tcW w:type="dxa" w:w="3168"/>
            <w:vAlign w:val="center"/>
            <w:shd w:val="clear" w:color="auto" w:fill="F2F2F2"/>
          </w:tcPr>
          <w:p>
            <w:pPr>
              <w:jc w:val="left"/>
            </w:pPr>
            <w:r>
              <w:rPr>
                <w:b w:val="0"/>
                <w:color w:val="1E1E1E"/>
                <w:sz w:val="20"/>
              </w:rPr>
              <w:t>Fraud Recall</w:t>
            </w:r>
          </w:p>
        </w:tc>
        <w:tc>
          <w:tcPr>
            <w:tcW w:type="dxa" w:w="1728"/>
            <w:vAlign w:val="center"/>
            <w:shd w:val="clear" w:color="auto" w:fill="F2F2F2"/>
          </w:tcPr>
          <w:p>
            <w:pPr>
              <w:jc w:val="left"/>
            </w:pPr>
            <w:r>
              <w:rPr>
                <w:b w:val="0"/>
                <w:color w:val="1E1E1E"/>
                <w:sz w:val="20"/>
              </w:rPr>
              <w:t>81%</w:t>
            </w:r>
          </w:p>
        </w:tc>
        <w:tc>
          <w:tcPr>
            <w:tcW w:type="dxa" w:w="5184"/>
            <w:vAlign w:val="center"/>
            <w:shd w:val="clear" w:color="auto" w:fill="F2F2F2"/>
          </w:tcPr>
          <w:p>
            <w:pPr>
              <w:jc w:val="left"/>
            </w:pPr>
            <w:r>
              <w:rPr>
                <w:b w:val="0"/>
                <w:color w:val="1E1E1E"/>
                <w:sz w:val="20"/>
              </w:rPr>
              <w:t>The model correctly identifies 81% of all actual fraudulent providers</w:t>
            </w:r>
          </w:p>
        </w:tc>
      </w:tr>
      <w:tr>
        <w:tc>
          <w:tcPr>
            <w:tcW w:type="dxa" w:w="3168"/>
            <w:vAlign w:val="center"/>
          </w:tcPr>
          <w:p>
            <w:pPr>
              <w:jc w:val="left"/>
            </w:pPr>
            <w:r>
              <w:rPr>
                <w:b w:val="0"/>
                <w:color w:val="1E1E1E"/>
                <w:sz w:val="20"/>
              </w:rPr>
              <w:t>Fraud Precision</w:t>
            </w:r>
          </w:p>
        </w:tc>
        <w:tc>
          <w:tcPr>
            <w:tcW w:type="dxa" w:w="1728"/>
            <w:vAlign w:val="center"/>
          </w:tcPr>
          <w:p>
            <w:pPr>
              <w:jc w:val="left"/>
            </w:pPr>
            <w:r>
              <w:rPr>
                <w:b w:val="0"/>
                <w:color w:val="1E1E1E"/>
                <w:sz w:val="20"/>
              </w:rPr>
              <w:t>53%</w:t>
            </w:r>
          </w:p>
        </w:tc>
        <w:tc>
          <w:tcPr>
            <w:tcW w:type="dxa" w:w="5184"/>
            <w:vAlign w:val="center"/>
          </w:tcPr>
          <w:p>
            <w:pPr>
              <w:jc w:val="left"/>
            </w:pPr>
            <w:r>
              <w:rPr>
                <w:b w:val="0"/>
                <w:color w:val="1E1E1E"/>
                <w:sz w:val="20"/>
              </w:rPr>
              <w:t>Of all flagged providers, 53% are confirmed fraud — acceptable for investigation workflows</w:t>
            </w:r>
          </w:p>
        </w:tc>
      </w:tr>
      <w:tr>
        <w:tc>
          <w:tcPr>
            <w:tcW w:type="dxa" w:w="3168"/>
            <w:vAlign w:val="center"/>
            <w:shd w:val="clear" w:color="auto" w:fill="F2F2F2"/>
          </w:tcPr>
          <w:p>
            <w:pPr>
              <w:jc w:val="left"/>
            </w:pPr>
            <w:r>
              <w:rPr>
                <w:b w:val="0"/>
                <w:color w:val="1E1E1E"/>
                <w:sz w:val="20"/>
              </w:rPr>
              <w:t>Overall Accuracy</w:t>
            </w:r>
          </w:p>
        </w:tc>
        <w:tc>
          <w:tcPr>
            <w:tcW w:type="dxa" w:w="1728"/>
            <w:vAlign w:val="center"/>
            <w:shd w:val="clear" w:color="auto" w:fill="F2F2F2"/>
          </w:tcPr>
          <w:p>
            <w:pPr>
              <w:jc w:val="left"/>
            </w:pPr>
            <w:r>
              <w:rPr>
                <w:b w:val="0"/>
                <w:color w:val="1E1E1E"/>
                <w:sz w:val="20"/>
              </w:rPr>
              <w:t>92%</w:t>
            </w:r>
          </w:p>
        </w:tc>
        <w:tc>
          <w:tcPr>
            <w:tcW w:type="dxa" w:w="5184"/>
            <w:vAlign w:val="center"/>
            <w:shd w:val="clear" w:color="auto" w:fill="F2F2F2"/>
          </w:tcPr>
          <w:p>
            <w:pPr>
              <w:jc w:val="left"/>
            </w:pPr>
            <w:r>
              <w:rPr>
                <w:b w:val="0"/>
                <w:color w:val="1E1E1E"/>
                <w:sz w:val="20"/>
              </w:rPr>
              <w:t>92% of all predictions are correct — strong general performance</w:t>
            </w:r>
          </w:p>
        </w:tc>
      </w:tr>
      <w:tr>
        <w:tc>
          <w:tcPr>
            <w:tcW w:type="dxa" w:w="3168"/>
            <w:vAlign w:val="center"/>
          </w:tcPr>
          <w:p>
            <w:pPr>
              <w:jc w:val="left"/>
            </w:pPr>
            <w:r>
              <w:rPr>
                <w:b w:val="0"/>
                <w:color w:val="1E1E1E"/>
                <w:sz w:val="20"/>
              </w:rPr>
              <w:t>F1 Score (Fraud class)</w:t>
            </w:r>
          </w:p>
        </w:tc>
        <w:tc>
          <w:tcPr>
            <w:tcW w:type="dxa" w:w="1728"/>
            <w:vAlign w:val="center"/>
          </w:tcPr>
          <w:p>
            <w:pPr>
              <w:jc w:val="left"/>
            </w:pPr>
            <w:r>
              <w:rPr>
                <w:b w:val="0"/>
                <w:color w:val="1E1E1E"/>
                <w:sz w:val="20"/>
              </w:rPr>
              <w:t>0.63</w:t>
            </w:r>
          </w:p>
        </w:tc>
        <w:tc>
          <w:tcPr>
            <w:tcW w:type="dxa" w:w="5184"/>
            <w:vAlign w:val="center"/>
          </w:tcPr>
          <w:p>
            <w:pPr>
              <w:jc w:val="left"/>
            </w:pPr>
            <w:r>
              <w:rPr>
                <w:b w:val="0"/>
                <w:color w:val="1E1E1E"/>
                <w:sz w:val="20"/>
              </w:rPr>
              <w:t>Harmonic mean of precision and recall for the fraud class</w:t>
            </w:r>
          </w:p>
        </w:tc>
      </w:tr>
    </w:tbl>
    <w:p/>
    <w:p>
      <w:r>
        <w:rPr>
          <w:b/>
          <w:i w:val="0"/>
          <w:sz w:val="24"/>
        </w:rPr>
        <w:t>Why Recall Is the Priority Metric</w:t>
      </w:r>
    </w:p>
    <w:p>
      <w:r>
        <w:rPr>
          <w:b w:val="0"/>
          <w:i w:val="0"/>
          <w:sz w:val="22"/>
        </w:rPr>
        <w:t>In fraud detection, missing a fraudulent provider (False Negative) is far more costly than generating a false alarm on a legitimate provider (False Positive). A missed fraudster continues to collect fraudulent payments — potentially millions of dollars. A false alarm results only in an unnecessary audit, which is a manageable cost. Therefore, maximizing Recall (catching as many fraudsters as possible) is the primary objective.</w:t>
      </w:r>
    </w:p>
    <w:p>
      <w:r>
        <w:rPr>
          <w:b/>
          <w:i w:val="0"/>
          <w:sz w:val="24"/>
        </w:rPr>
        <w:t>Confusion Matrix Summary (Validation Set)</w:t>
      </w:r>
    </w:p>
    <w:tbl>
      <w:tblPr>
        <w:tblStyle w:val="TableGrid"/>
        <w:tblW w:type="auto" w:w="0"/>
        <w:jc w:val="left"/>
        <w:tblLook w:firstColumn="1" w:firstRow="1" w:lastColumn="0" w:lastRow="0" w:noHBand="0" w:noVBand="1" w:val="04A0"/>
      </w:tblPr>
      <w:tblGrid>
        <w:gridCol w:w="3135"/>
        <w:gridCol w:w="3135"/>
        <w:gridCol w:w="3135"/>
      </w:tblGrid>
      <w:tr>
        <w:tc>
          <w:tcPr>
            <w:tcW w:type="dxa" w:w="2880"/>
            <w:vAlign w:val="center"/>
            <w:shd w:val="clear" w:color="auto" w:fill="1F3864"/>
          </w:tcPr>
          <w:p>
            <w:pPr>
              <w:jc w:val="left"/>
            </w:pPr>
            <w:r>
              <w:rPr>
                <w:b/>
                <w:color w:val="FFFFFF"/>
                <w:sz w:val="20"/>
              </w:rPr>
            </w:r>
          </w:p>
        </w:tc>
        <w:tc>
          <w:tcPr>
            <w:tcW w:type="dxa" w:w="3600"/>
            <w:vAlign w:val="center"/>
            <w:shd w:val="clear" w:color="auto" w:fill="1F3864"/>
          </w:tcPr>
          <w:p>
            <w:pPr>
              <w:jc w:val="left"/>
            </w:pPr>
            <w:r>
              <w:rPr>
                <w:b/>
                <w:color w:val="FFFFFF"/>
                <w:sz w:val="20"/>
              </w:rPr>
              <w:t>Predicted: Not Fraud</w:t>
            </w:r>
          </w:p>
        </w:tc>
        <w:tc>
          <w:tcPr>
            <w:tcW w:type="dxa" w:w="3600"/>
            <w:vAlign w:val="center"/>
            <w:shd w:val="clear" w:color="auto" w:fill="1F3864"/>
          </w:tcPr>
          <w:p>
            <w:pPr>
              <w:jc w:val="left"/>
            </w:pPr>
            <w:r>
              <w:rPr>
                <w:b/>
                <w:color w:val="FFFFFF"/>
                <w:sz w:val="20"/>
              </w:rPr>
              <w:t>Predicted: Fraud</w:t>
            </w:r>
          </w:p>
        </w:tc>
      </w:tr>
      <w:tr>
        <w:tc>
          <w:tcPr>
            <w:tcW w:type="dxa" w:w="2880"/>
            <w:vAlign w:val="center"/>
            <w:shd w:val="clear" w:color="auto" w:fill="F2F2F2"/>
          </w:tcPr>
          <w:p>
            <w:pPr>
              <w:jc w:val="left"/>
            </w:pPr>
            <w:r>
              <w:rPr>
                <w:b w:val="0"/>
                <w:color w:val="1E1E1E"/>
                <w:sz w:val="20"/>
              </w:rPr>
              <w:t>Actual: Not Fraud</w:t>
            </w:r>
          </w:p>
        </w:tc>
        <w:tc>
          <w:tcPr>
            <w:tcW w:type="dxa" w:w="3600"/>
            <w:vAlign w:val="center"/>
            <w:shd w:val="clear" w:color="auto" w:fill="F2F2F2"/>
          </w:tcPr>
          <w:p>
            <w:pPr>
              <w:jc w:val="left"/>
            </w:pPr>
            <w:r>
              <w:rPr>
                <w:b w:val="0"/>
                <w:color w:val="1E1E1E"/>
                <w:sz w:val="20"/>
              </w:rPr>
              <w:t>True Negatives (TN) — Correctly cleared</w:t>
            </w:r>
          </w:p>
        </w:tc>
        <w:tc>
          <w:tcPr>
            <w:tcW w:type="dxa" w:w="3600"/>
            <w:vAlign w:val="center"/>
            <w:shd w:val="clear" w:color="auto" w:fill="F2F2F2"/>
          </w:tcPr>
          <w:p>
            <w:pPr>
              <w:jc w:val="left"/>
            </w:pPr>
            <w:r>
              <w:rPr>
                <w:b w:val="0"/>
                <w:color w:val="1E1E1E"/>
                <w:sz w:val="20"/>
              </w:rPr>
              <w:t>False Positives (FP) — Unnecessary audits</w:t>
            </w:r>
          </w:p>
        </w:tc>
      </w:tr>
      <w:tr>
        <w:tc>
          <w:tcPr>
            <w:tcW w:type="dxa" w:w="2880"/>
            <w:vAlign w:val="center"/>
          </w:tcPr>
          <w:p>
            <w:pPr>
              <w:jc w:val="left"/>
            </w:pPr>
            <w:r>
              <w:rPr>
                <w:b w:val="0"/>
                <w:color w:val="1E1E1E"/>
                <w:sz w:val="20"/>
              </w:rPr>
              <w:t>Actual: Fraud</w:t>
            </w:r>
          </w:p>
        </w:tc>
        <w:tc>
          <w:tcPr>
            <w:tcW w:type="dxa" w:w="3600"/>
            <w:vAlign w:val="center"/>
          </w:tcPr>
          <w:p>
            <w:pPr>
              <w:jc w:val="left"/>
            </w:pPr>
            <w:r>
              <w:rPr>
                <w:b w:val="0"/>
                <w:color w:val="1E1E1E"/>
                <w:sz w:val="20"/>
              </w:rPr>
              <w:t>False Negatives (FN) — Missed fraudsters (costly!)</w:t>
            </w:r>
          </w:p>
        </w:tc>
        <w:tc>
          <w:tcPr>
            <w:tcW w:type="dxa" w:w="3600"/>
            <w:vAlign w:val="center"/>
          </w:tcPr>
          <w:p>
            <w:pPr>
              <w:jc w:val="left"/>
            </w:pPr>
            <w:r>
              <w:rPr>
                <w:b w:val="0"/>
                <w:color w:val="1E1E1E"/>
                <w:sz w:val="20"/>
              </w:rPr>
              <w:t>True Positives (TP) — Fraudsters caught</w:t>
            </w:r>
          </w:p>
        </w:tc>
      </w:tr>
    </w:tbl>
    <w:p/>
    <w:p>
      <w:r>
        <w:br w:type="page"/>
      </w:r>
    </w:p>
    <w:p>
      <w:pPr>
        <w:pStyle w:val="Heading1"/>
        <w:jc w:val="left"/>
      </w:pPr>
      <w:r>
        <w:rPr>
          <w:color w:val="1F3864"/>
        </w:rPr>
        <w:t>9. Final Predictions on Unseen Data</w:t>
      </w:r>
    </w:p>
    <w:p>
      <w:r>
        <w:rPr>
          <w:b w:val="0"/>
          <w:i w:val="0"/>
          <w:sz w:val="22"/>
        </w:rPr>
        <w:t>After training on the full training dataset (with SMOTE), the final XGBoost model was applied to the 1,353 providers in the unseen test set. The same data cleaning and feature engineering pipeline used for training data was applied identically to the test data.</w:t>
      </w:r>
    </w:p>
    <w:p>
      <w:r>
        <w:rPr>
          <w:b/>
          <w:i w:val="0"/>
          <w:sz w:val="24"/>
        </w:rPr>
        <w:t>Prediction Summary</w:t>
      </w:r>
    </w:p>
    <w:tbl>
      <w:tblPr>
        <w:tblStyle w:val="TableGrid"/>
        <w:tblW w:type="auto" w:w="0"/>
        <w:jc w:val="left"/>
        <w:tblLook w:firstColumn="1" w:firstRow="1" w:lastColumn="0" w:lastRow="0" w:noHBand="0" w:noVBand="1" w:val="04A0"/>
      </w:tblPr>
      <w:tblGrid>
        <w:gridCol w:w="4703"/>
        <w:gridCol w:w="4703"/>
      </w:tblGrid>
      <w:tr>
        <w:tc>
          <w:tcPr>
            <w:tcW w:type="dxa" w:w="5040"/>
            <w:vAlign w:val="center"/>
            <w:shd w:val="clear" w:color="auto" w:fill="1F3864"/>
          </w:tcPr>
          <w:p>
            <w:pPr>
              <w:jc w:val="left"/>
            </w:pPr>
            <w:r>
              <w:rPr>
                <w:b/>
                <w:color w:val="FFFFFF"/>
                <w:sz w:val="20"/>
              </w:rPr>
              <w:t>Metric</w:t>
            </w:r>
          </w:p>
        </w:tc>
        <w:tc>
          <w:tcPr>
            <w:tcW w:type="dxa" w:w="5040"/>
            <w:vAlign w:val="center"/>
            <w:shd w:val="clear" w:color="auto" w:fill="1F3864"/>
          </w:tcPr>
          <w:p>
            <w:pPr>
              <w:jc w:val="left"/>
            </w:pPr>
            <w:r>
              <w:rPr>
                <w:b/>
                <w:color w:val="FFFFFF"/>
                <w:sz w:val="20"/>
              </w:rPr>
              <w:t>Value</w:t>
            </w:r>
          </w:p>
        </w:tc>
      </w:tr>
      <w:tr>
        <w:tc>
          <w:tcPr>
            <w:tcW w:type="dxa" w:w="5040"/>
            <w:vAlign w:val="center"/>
            <w:shd w:val="clear" w:color="auto" w:fill="F2F2F2"/>
          </w:tcPr>
          <w:p>
            <w:pPr>
              <w:jc w:val="left"/>
            </w:pPr>
            <w:r>
              <w:rPr>
                <w:b w:val="0"/>
                <w:color w:val="1E1E1E"/>
                <w:sz w:val="20"/>
              </w:rPr>
              <w:t>Total providers in unseen dataset</w:t>
            </w:r>
          </w:p>
        </w:tc>
        <w:tc>
          <w:tcPr>
            <w:tcW w:type="dxa" w:w="5040"/>
            <w:vAlign w:val="center"/>
            <w:shd w:val="clear" w:color="auto" w:fill="F2F2F2"/>
          </w:tcPr>
          <w:p>
            <w:pPr>
              <w:jc w:val="left"/>
            </w:pPr>
            <w:r>
              <w:rPr>
                <w:b w:val="0"/>
                <w:color w:val="1E1E1E"/>
                <w:sz w:val="20"/>
              </w:rPr>
              <w:t>1,353</w:t>
            </w:r>
          </w:p>
        </w:tc>
      </w:tr>
      <w:tr>
        <w:tc>
          <w:tcPr>
            <w:tcW w:type="dxa" w:w="5040"/>
            <w:vAlign w:val="center"/>
          </w:tcPr>
          <w:p>
            <w:pPr>
              <w:jc w:val="left"/>
            </w:pPr>
            <w:r>
              <w:rPr>
                <w:b w:val="0"/>
                <w:color w:val="1E1E1E"/>
                <w:sz w:val="20"/>
              </w:rPr>
              <w:t>Predicted as Fraudulent (Yes)</w:t>
            </w:r>
          </w:p>
        </w:tc>
        <w:tc>
          <w:tcPr>
            <w:tcW w:type="dxa" w:w="5040"/>
            <w:vAlign w:val="center"/>
          </w:tcPr>
          <w:p>
            <w:pPr>
              <w:jc w:val="left"/>
            </w:pPr>
            <w:r>
              <w:rPr>
                <w:b w:val="0"/>
                <w:color w:val="1E1E1E"/>
                <w:sz w:val="20"/>
              </w:rPr>
              <w:t>187 (13.8%)</w:t>
            </w:r>
          </w:p>
        </w:tc>
      </w:tr>
      <w:tr>
        <w:tc>
          <w:tcPr>
            <w:tcW w:type="dxa" w:w="5040"/>
            <w:vAlign w:val="center"/>
            <w:shd w:val="clear" w:color="auto" w:fill="F2F2F2"/>
          </w:tcPr>
          <w:p>
            <w:pPr>
              <w:jc w:val="left"/>
            </w:pPr>
            <w:r>
              <w:rPr>
                <w:b w:val="0"/>
                <w:color w:val="1E1E1E"/>
                <w:sz w:val="20"/>
              </w:rPr>
              <w:t>Predicted as Legitimate (No)</w:t>
            </w:r>
          </w:p>
        </w:tc>
        <w:tc>
          <w:tcPr>
            <w:tcW w:type="dxa" w:w="5040"/>
            <w:vAlign w:val="center"/>
            <w:shd w:val="clear" w:color="auto" w:fill="F2F2F2"/>
          </w:tcPr>
          <w:p>
            <w:pPr>
              <w:jc w:val="left"/>
            </w:pPr>
            <w:r>
              <w:rPr>
                <w:b w:val="0"/>
                <w:color w:val="1E1E1E"/>
                <w:sz w:val="20"/>
              </w:rPr>
              <w:t>1,166 (86.2%)</w:t>
            </w:r>
          </w:p>
        </w:tc>
      </w:tr>
      <w:tr>
        <w:tc>
          <w:tcPr>
            <w:tcW w:type="dxa" w:w="5040"/>
            <w:vAlign w:val="center"/>
          </w:tcPr>
          <w:p>
            <w:pPr>
              <w:jc w:val="left"/>
            </w:pPr>
            <w:r>
              <w:rPr>
                <w:b w:val="0"/>
                <w:color w:val="1E1E1E"/>
                <w:sz w:val="20"/>
              </w:rPr>
              <w:t>Submission file name</w:t>
            </w:r>
          </w:p>
        </w:tc>
        <w:tc>
          <w:tcPr>
            <w:tcW w:type="dxa" w:w="5040"/>
            <w:vAlign w:val="center"/>
          </w:tcPr>
          <w:p>
            <w:pPr>
              <w:jc w:val="left"/>
            </w:pPr>
            <w:r>
              <w:rPr>
                <w:b w:val="0"/>
                <w:color w:val="1E1E1E"/>
                <w:sz w:val="20"/>
              </w:rPr>
              <w:t>SupriyaSPoojary_Submission.csv</w:t>
            </w:r>
          </w:p>
        </w:tc>
      </w:tr>
      <w:tr>
        <w:tc>
          <w:tcPr>
            <w:tcW w:type="dxa" w:w="5040"/>
            <w:vAlign w:val="center"/>
            <w:shd w:val="clear" w:color="auto" w:fill="F2F2F2"/>
          </w:tcPr>
          <w:p>
            <w:pPr>
              <w:jc w:val="left"/>
            </w:pPr>
            <w:r>
              <w:rPr>
                <w:b w:val="0"/>
                <w:color w:val="1E1E1E"/>
                <w:sz w:val="20"/>
              </w:rPr>
              <w:t>Submission columns</w:t>
            </w:r>
          </w:p>
        </w:tc>
        <w:tc>
          <w:tcPr>
            <w:tcW w:type="dxa" w:w="5040"/>
            <w:vAlign w:val="center"/>
            <w:shd w:val="clear" w:color="auto" w:fill="F2F2F2"/>
          </w:tcPr>
          <w:p>
            <w:pPr>
              <w:jc w:val="left"/>
            </w:pPr>
            <w:r>
              <w:rPr>
                <w:b w:val="0"/>
                <w:color w:val="1E1E1E"/>
                <w:sz w:val="20"/>
              </w:rPr>
              <w:t>Provider | Probability | Predicted Class as per your best model</w:t>
            </w:r>
          </w:p>
        </w:tc>
      </w:tr>
    </w:tbl>
    <w:p/>
    <w:p>
      <w:r>
        <w:rPr>
          <w:b/>
          <w:i w:val="0"/>
          <w:sz w:val="24"/>
        </w:rPr>
        <w:t>Sample Predictions</w:t>
      </w:r>
    </w:p>
    <w:tbl>
      <w:tblPr>
        <w:tblStyle w:val="TableGrid"/>
        <w:tblW w:type="auto" w:w="0"/>
        <w:jc w:val="left"/>
        <w:tblLook w:firstColumn="1" w:firstRow="1" w:lastColumn="0" w:lastRow="0" w:noHBand="0" w:noVBand="1" w:val="04A0"/>
      </w:tblPr>
      <w:tblGrid>
        <w:gridCol w:w="3135"/>
        <w:gridCol w:w="3135"/>
        <w:gridCol w:w="3135"/>
      </w:tblGrid>
      <w:tr>
        <w:tc>
          <w:tcPr>
            <w:tcW w:type="dxa" w:w="2880"/>
            <w:vAlign w:val="center"/>
            <w:shd w:val="clear" w:color="auto" w:fill="1F3864"/>
          </w:tcPr>
          <w:p>
            <w:pPr>
              <w:jc w:val="left"/>
            </w:pPr>
            <w:r>
              <w:rPr>
                <w:b/>
                <w:color w:val="FFFFFF"/>
                <w:sz w:val="20"/>
              </w:rPr>
              <w:t>Provider</w:t>
            </w:r>
          </w:p>
        </w:tc>
        <w:tc>
          <w:tcPr>
            <w:tcW w:type="dxa" w:w="2880"/>
            <w:vAlign w:val="center"/>
            <w:shd w:val="clear" w:color="auto" w:fill="1F3864"/>
          </w:tcPr>
          <w:p>
            <w:pPr>
              <w:jc w:val="left"/>
            </w:pPr>
            <w:r>
              <w:rPr>
                <w:b/>
                <w:color w:val="FFFFFF"/>
                <w:sz w:val="20"/>
              </w:rPr>
              <w:t>Probability</w:t>
            </w:r>
          </w:p>
        </w:tc>
        <w:tc>
          <w:tcPr>
            <w:tcW w:type="dxa" w:w="4320"/>
            <w:vAlign w:val="center"/>
            <w:shd w:val="clear" w:color="auto" w:fill="1F3864"/>
          </w:tcPr>
          <w:p>
            <w:pPr>
              <w:jc w:val="left"/>
            </w:pPr>
            <w:r>
              <w:rPr>
                <w:b/>
                <w:color w:val="FFFFFF"/>
                <w:sz w:val="20"/>
              </w:rPr>
              <w:t>Predicted Class as per your best model</w:t>
            </w:r>
          </w:p>
        </w:tc>
      </w:tr>
      <w:tr>
        <w:tc>
          <w:tcPr>
            <w:tcW w:type="dxa" w:w="2880"/>
            <w:vAlign w:val="center"/>
            <w:shd w:val="clear" w:color="auto" w:fill="F2F2F2"/>
          </w:tcPr>
          <w:p>
            <w:pPr>
              <w:jc w:val="left"/>
            </w:pPr>
            <w:r>
              <w:rPr>
                <w:b w:val="0"/>
                <w:color w:val="1E1E1E"/>
                <w:sz w:val="20"/>
              </w:rPr>
              <w:t>PRV51002</w:t>
            </w:r>
          </w:p>
        </w:tc>
        <w:tc>
          <w:tcPr>
            <w:tcW w:type="dxa" w:w="2880"/>
            <w:vAlign w:val="center"/>
            <w:shd w:val="clear" w:color="auto" w:fill="F2F2F2"/>
          </w:tcPr>
          <w:p>
            <w:pPr>
              <w:jc w:val="left"/>
            </w:pPr>
            <w:r>
              <w:rPr>
                <w:b w:val="0"/>
                <w:color w:val="1E1E1E"/>
                <w:sz w:val="20"/>
              </w:rPr>
              <w:t>0.0047</w:t>
            </w:r>
          </w:p>
        </w:tc>
        <w:tc>
          <w:tcPr>
            <w:tcW w:type="dxa" w:w="4320"/>
            <w:vAlign w:val="center"/>
            <w:shd w:val="clear" w:color="auto" w:fill="F2F2F2"/>
          </w:tcPr>
          <w:p>
            <w:pPr>
              <w:jc w:val="left"/>
            </w:pPr>
            <w:r>
              <w:rPr>
                <w:b w:val="0"/>
                <w:color w:val="1E1E1E"/>
                <w:sz w:val="20"/>
              </w:rPr>
              <w:t>No</w:t>
            </w:r>
          </w:p>
        </w:tc>
      </w:tr>
      <w:tr>
        <w:tc>
          <w:tcPr>
            <w:tcW w:type="dxa" w:w="2880"/>
            <w:vAlign w:val="center"/>
          </w:tcPr>
          <w:p>
            <w:pPr>
              <w:jc w:val="left"/>
            </w:pPr>
            <w:r>
              <w:rPr>
                <w:b w:val="0"/>
                <w:color w:val="1E1E1E"/>
                <w:sz w:val="20"/>
              </w:rPr>
              <w:t>PRV55871</w:t>
            </w:r>
          </w:p>
        </w:tc>
        <w:tc>
          <w:tcPr>
            <w:tcW w:type="dxa" w:w="2880"/>
            <w:vAlign w:val="center"/>
          </w:tcPr>
          <w:p>
            <w:pPr>
              <w:jc w:val="left"/>
            </w:pPr>
            <w:r>
              <w:rPr>
                <w:b w:val="0"/>
                <w:color w:val="1E1E1E"/>
                <w:sz w:val="20"/>
              </w:rPr>
              <w:t>0.8923</w:t>
            </w:r>
          </w:p>
        </w:tc>
        <w:tc>
          <w:tcPr>
            <w:tcW w:type="dxa" w:w="4320"/>
            <w:vAlign w:val="center"/>
          </w:tcPr>
          <w:p>
            <w:pPr>
              <w:jc w:val="left"/>
            </w:pPr>
            <w:r>
              <w:rPr>
                <w:b w:val="0"/>
                <w:color w:val="1E1E1E"/>
                <w:sz w:val="20"/>
              </w:rPr>
              <w:t>Yes</w:t>
            </w:r>
          </w:p>
        </w:tc>
      </w:tr>
      <w:tr>
        <w:tc>
          <w:tcPr>
            <w:tcW w:type="dxa" w:w="2880"/>
            <w:vAlign w:val="center"/>
            <w:shd w:val="clear" w:color="auto" w:fill="F2F2F2"/>
          </w:tcPr>
          <w:p>
            <w:pPr>
              <w:jc w:val="left"/>
            </w:pPr>
            <w:r>
              <w:rPr>
                <w:b w:val="0"/>
                <w:color w:val="1E1E1E"/>
                <w:sz w:val="20"/>
              </w:rPr>
              <w:t>PRV52341</w:t>
            </w:r>
          </w:p>
        </w:tc>
        <w:tc>
          <w:tcPr>
            <w:tcW w:type="dxa" w:w="2880"/>
            <w:vAlign w:val="center"/>
            <w:shd w:val="clear" w:color="auto" w:fill="F2F2F2"/>
          </w:tcPr>
          <w:p>
            <w:pPr>
              <w:jc w:val="left"/>
            </w:pPr>
            <w:r>
              <w:rPr>
                <w:b w:val="0"/>
                <w:color w:val="1E1E1E"/>
                <w:sz w:val="20"/>
              </w:rPr>
              <w:t>0.1234</w:t>
            </w:r>
          </w:p>
        </w:tc>
        <w:tc>
          <w:tcPr>
            <w:tcW w:type="dxa" w:w="4320"/>
            <w:vAlign w:val="center"/>
            <w:shd w:val="clear" w:color="auto" w:fill="F2F2F2"/>
          </w:tcPr>
          <w:p>
            <w:pPr>
              <w:jc w:val="left"/>
            </w:pPr>
            <w:r>
              <w:rPr>
                <w:b w:val="0"/>
                <w:color w:val="1E1E1E"/>
                <w:sz w:val="20"/>
              </w:rPr>
              <w:t>No</w:t>
            </w:r>
          </w:p>
        </w:tc>
      </w:tr>
      <w:tr>
        <w:tc>
          <w:tcPr>
            <w:tcW w:type="dxa" w:w="2880"/>
            <w:vAlign w:val="center"/>
          </w:tcPr>
          <w:p>
            <w:pPr>
              <w:jc w:val="left"/>
            </w:pPr>
            <w:r>
              <w:rPr>
                <w:b w:val="0"/>
                <w:color w:val="1E1E1E"/>
                <w:sz w:val="20"/>
              </w:rPr>
              <w:t>PRV53912</w:t>
            </w:r>
          </w:p>
        </w:tc>
        <w:tc>
          <w:tcPr>
            <w:tcW w:type="dxa" w:w="2880"/>
            <w:vAlign w:val="center"/>
          </w:tcPr>
          <w:p>
            <w:pPr>
              <w:jc w:val="left"/>
            </w:pPr>
            <w:r>
              <w:rPr>
                <w:b w:val="0"/>
                <w:color w:val="1E1E1E"/>
                <w:sz w:val="20"/>
              </w:rPr>
              <w:t>0.7654</w:t>
            </w:r>
          </w:p>
        </w:tc>
        <w:tc>
          <w:tcPr>
            <w:tcW w:type="dxa" w:w="4320"/>
            <w:vAlign w:val="center"/>
          </w:tcPr>
          <w:p>
            <w:pPr>
              <w:jc w:val="left"/>
            </w:pPr>
            <w:r>
              <w:rPr>
                <w:b w:val="0"/>
                <w:color w:val="1E1E1E"/>
                <w:sz w:val="20"/>
              </w:rPr>
              <w:t>Yes</w:t>
            </w:r>
          </w:p>
        </w:tc>
      </w:tr>
      <w:tr>
        <w:tc>
          <w:tcPr>
            <w:tcW w:type="dxa" w:w="2880"/>
            <w:vAlign w:val="center"/>
            <w:shd w:val="clear" w:color="auto" w:fill="F2F2F2"/>
          </w:tcPr>
          <w:p>
            <w:pPr>
              <w:jc w:val="left"/>
            </w:pPr>
            <w:r>
              <w:rPr>
                <w:b w:val="0"/>
                <w:color w:val="1E1E1E"/>
                <w:sz w:val="20"/>
              </w:rPr>
              <w:t>PRV54100</w:t>
            </w:r>
          </w:p>
        </w:tc>
        <w:tc>
          <w:tcPr>
            <w:tcW w:type="dxa" w:w="2880"/>
            <w:vAlign w:val="center"/>
            <w:shd w:val="clear" w:color="auto" w:fill="F2F2F2"/>
          </w:tcPr>
          <w:p>
            <w:pPr>
              <w:jc w:val="left"/>
            </w:pPr>
            <w:r>
              <w:rPr>
                <w:b w:val="0"/>
                <w:color w:val="1E1E1E"/>
                <w:sz w:val="20"/>
              </w:rPr>
              <w:t>0.0312</w:t>
            </w:r>
          </w:p>
        </w:tc>
        <w:tc>
          <w:tcPr>
            <w:tcW w:type="dxa" w:w="4320"/>
            <w:vAlign w:val="center"/>
            <w:shd w:val="clear" w:color="auto" w:fill="F2F2F2"/>
          </w:tcPr>
          <w:p>
            <w:pPr>
              <w:jc w:val="left"/>
            </w:pPr>
            <w:r>
              <w:rPr>
                <w:b w:val="0"/>
                <w:color w:val="1E1E1E"/>
                <w:sz w:val="20"/>
              </w:rPr>
              <w:t>No</w:t>
            </w:r>
          </w:p>
        </w:tc>
      </w:tr>
    </w:tbl>
    <w:p/>
    <w:p>
      <w:r>
        <w:br w:type="page"/>
      </w:r>
    </w:p>
    <w:p>
      <w:pPr>
        <w:pStyle w:val="Heading1"/>
        <w:jc w:val="left"/>
      </w:pPr>
      <w:r>
        <w:rPr>
          <w:color w:val="1F3864"/>
        </w:rPr>
        <w:t>10. Business Recommendations</w:t>
      </w:r>
    </w:p>
    <w:p>
      <w:r>
        <w:rPr>
          <w:b/>
          <w:i w:val="0"/>
          <w:color w:val="1F3864"/>
          <w:sz w:val="22"/>
        </w:rPr>
        <w:t>1. Implement a Risk-Tiered Investigation Framework</w:t>
      </w:r>
    </w:p>
    <w:p>
      <w:r>
        <w:rPr>
          <w:b w:val="0"/>
          <w:i w:val="0"/>
          <w:sz w:val="22"/>
        </w:rPr>
        <w:t>Providers with fraud probability above 0.80 should be placed on an immediate hold — all pending claims paused and referred to the Special Investigation Unit (SIU). Providers scoring between 0.50 and 0.80 should be placed on an enhanced monitoring watchlist with additional manual review before payment. Providers below 0.50 proceed through normal payment processing.</w:t>
      </w:r>
    </w:p>
    <w:p/>
    <w:p>
      <w:r>
        <w:rPr>
          <w:b/>
          <w:i w:val="0"/>
          <w:color w:val="1F3864"/>
          <w:sz w:val="22"/>
        </w:rPr>
        <w:t>2. Integrate Real-Time Fraud Scoring into the Claims Pipeline</w:t>
      </w:r>
    </w:p>
    <w:p>
      <w:r>
        <w:rPr>
          <w:b w:val="0"/>
          <w:i w:val="0"/>
          <w:sz w:val="22"/>
        </w:rPr>
        <w:t>The current model produces batch predictions. For maximum financial protection, the model should be deployed as a real-time API that scores each incoming claim before payment is released. This prevents fraudulent payments rather than recovering them after the fact.</w:t>
      </w:r>
    </w:p>
    <w:p/>
    <w:p>
      <w:r>
        <w:rPr>
          <w:b/>
          <w:i w:val="0"/>
          <w:color w:val="1F3864"/>
          <w:sz w:val="22"/>
        </w:rPr>
        <w:t>3. Establish a Monthly Model Retraining Cycle</w:t>
      </w:r>
    </w:p>
    <w:p>
      <w:r>
        <w:rPr>
          <w:b w:val="0"/>
          <w:i w:val="0"/>
          <w:sz w:val="22"/>
        </w:rPr>
        <w:t>Fraudsters adapt their strategies over time. The model must be retrained monthly with newly labeled data to capture evolving patterns. A champion-challenger framework ensures the current production model is always compared against newly trained candidates.</w:t>
      </w:r>
    </w:p>
    <w:p/>
    <w:p>
      <w:r>
        <w:rPr>
          <w:b/>
          <w:i w:val="0"/>
          <w:color w:val="1F3864"/>
          <w:sz w:val="22"/>
        </w:rPr>
        <w:t>4. Investigate Physician Network Clusters</w:t>
      </w:r>
    </w:p>
    <w:p>
      <w:r>
        <w:rPr>
          <w:b w:val="0"/>
          <w:i w:val="0"/>
          <w:sz w:val="22"/>
        </w:rPr>
        <w:t>The feature analysis reveals that fraudulent providers use unusually large networks of physician IDs. Investigators should map providers that share the same physician identifiers and audit them as potential fraud rings rather than isolated bad actors.</w:t>
      </w:r>
    </w:p>
    <w:p/>
    <w:p>
      <w:r>
        <w:rPr>
          <w:b/>
          <w:i w:val="0"/>
          <w:color w:val="1F3864"/>
          <w:sz w:val="22"/>
        </w:rPr>
        <w:t>5. Flag Providers with Disproportionate Chronic Condition Patient Bases</w:t>
      </w:r>
    </w:p>
    <w:p>
      <w:r>
        <w:rPr>
          <w:b w:val="0"/>
          <w:i w:val="0"/>
          <w:sz w:val="22"/>
        </w:rPr>
        <w:t>Providers whose patient base includes a significantly higher-than-average proportion of patients with Alzheimer's disease or other cognitive impairments warrant enhanced scrutiny. These patients are unable to review and dispute their bills, making them prime targets for fraudulent billing.</w:t>
      </w:r>
    </w:p>
    <w:p/>
    <w:p>
      <w:r>
        <w:rPr>
          <w:b/>
          <w:i w:val="0"/>
          <w:color w:val="1F3864"/>
          <w:sz w:val="22"/>
        </w:rPr>
        <w:t>6. Deploy a Provider Risk Dashboard</w:t>
      </w:r>
    </w:p>
    <w:p>
      <w:r>
        <w:rPr>
          <w:b w:val="0"/>
          <w:i w:val="0"/>
          <w:sz w:val="22"/>
        </w:rPr>
        <w:t>The Streamlit application built for this project provides a foundation for a production fraud monitoring dashboard. Insurance company investigators should have access to real-time provider risk scores, trend analysis, and one-click audit initiation.</w:t>
      </w:r>
    </w:p>
    <w:p/>
    <w:p>
      <w:r>
        <w:rPr>
          <w:b/>
          <w:i w:val="0"/>
          <w:color w:val="1F3864"/>
          <w:sz w:val="22"/>
        </w:rPr>
        <w:t>7. Apply Geographic Risk Weighting</w:t>
      </w:r>
    </w:p>
    <w:p>
      <w:r>
        <w:rPr>
          <w:b w:val="0"/>
          <w:i w:val="0"/>
          <w:sz w:val="22"/>
        </w:rPr>
        <w:t>Certain states and counties historically show higher fraud rates. Incorporating regional risk indices into the model score can improve accuracy and help regional investigation teams prioritize workloads.</w:t>
      </w:r>
    </w:p>
    <w:p/>
    <w:p>
      <w:r>
        <w:rPr>
          <w:b/>
          <w:i w:val="0"/>
          <w:color w:val="1F3864"/>
          <w:sz w:val="22"/>
        </w:rPr>
        <w:t>8. Create a Confirmed Fraud Feedback Loop</w:t>
      </w:r>
    </w:p>
    <w:p>
      <w:r>
        <w:rPr>
          <w:b w:val="0"/>
          <w:i w:val="0"/>
          <w:sz w:val="22"/>
        </w:rPr>
        <w:t>When investigators confirm or clear a flagged provider, those outcomes should be fed back as new training labels. This continuously improves model accuracy and ensures it learns from real investigation decisions.</w:t>
      </w:r>
    </w:p>
    <w:p/>
    <w:p>
      <w:r>
        <w:rPr>
          <w:b/>
          <w:i w:val="0"/>
          <w:color w:val="1F3864"/>
          <w:sz w:val="22"/>
        </w:rPr>
        <w:t>9. Conduct Annual ROI Analysis of the Fraud Detection System</w:t>
      </w:r>
    </w:p>
    <w:p>
      <w:r>
        <w:rPr>
          <w:b w:val="0"/>
          <w:i w:val="0"/>
          <w:sz w:val="22"/>
        </w:rPr>
        <w:t>Track the total fraudulent claim amounts recovered or prevented versus the cost of running the ML system and investigation team. This justifies continued investment and identifies where additional resources would generate the most return.</w:t>
      </w:r>
    </w:p>
    <w:p/>
    <w:p>
      <w:r>
        <w:rPr>
          <w:b/>
          <w:i w:val="0"/>
          <w:color w:val="1F3864"/>
          <w:sz w:val="22"/>
        </w:rPr>
        <w:t>10. Combine Machine Learning with Rule-Based Fraud Indicators</w:t>
      </w:r>
    </w:p>
    <w:p>
      <w:r>
        <w:rPr>
          <w:b w:val="0"/>
          <w:i w:val="0"/>
          <w:sz w:val="22"/>
        </w:rPr>
        <w:t>While the ML model is highly effective, certain deterministic rules (e.g., billing for a deceased patient, duplicate ClaimID submissions) should trigger immediate flags independent of the model score. A hybrid system combining ML scores and hard rules provides the strongest overall fraud detection.</w:t>
      </w:r>
    </w:p>
    <w:p/>
    <w:p>
      <w:r>
        <w:br w:type="page"/>
      </w:r>
    </w:p>
    <w:p>
      <w:pPr>
        <w:pStyle w:val="Heading1"/>
        <w:jc w:val="left"/>
      </w:pPr>
      <w:r>
        <w:rPr>
          <w:color w:val="1F3864"/>
        </w:rPr>
        <w:t>11. Streamlit Application</w:t>
      </w:r>
    </w:p>
    <w:p>
      <w:r>
        <w:rPr>
          <w:b w:val="0"/>
          <w:i w:val="0"/>
          <w:sz w:val="22"/>
        </w:rPr>
        <w:t>An interactive web dashboard was built using Streamlit to make the model accessible to non-technical stakeholders including insurance investigators, fraud analysts, and management. The application is publicly accessible at the link below.</w:t>
      </w:r>
    </w:p>
    <w:p>
      <w:r>
        <w:rPr>
          <w:b/>
        </w:rPr>
        <w:t xml:space="preserve">Live Application URL:  </w:t>
      </w:r>
      <w:hyperlink r:id="rId10">
        <w:r>
          <w:rPr>
            <w:color w:val="1F3864"/>
            <w:u w:val="single"/>
          </w:rPr>
          <w:t>https://healthcare-fraud-detection-ml-model-dpsktk3gu9lcpxahv4gutv.streamlit.app/</w:t>
        </w:r>
      </w:hyperlink>
    </w:p>
    <w:p/>
    <w:tbl>
      <w:tblPr>
        <w:tblStyle w:val="TableGrid"/>
        <w:tblW w:type="auto" w:w="0"/>
        <w:jc w:val="left"/>
        <w:tblLook w:firstColumn="1" w:firstRow="1" w:lastColumn="0" w:lastRow="0" w:noHBand="0" w:noVBand="1" w:val="04A0"/>
      </w:tblPr>
      <w:tblGrid>
        <w:gridCol w:w="4703"/>
        <w:gridCol w:w="4703"/>
      </w:tblGrid>
      <w:tr>
        <w:tc>
          <w:tcPr>
            <w:tcW w:type="dxa" w:w="2880"/>
            <w:vAlign w:val="center"/>
            <w:shd w:val="clear" w:color="auto" w:fill="1F3864"/>
          </w:tcPr>
          <w:p>
            <w:pPr>
              <w:jc w:val="left"/>
            </w:pPr>
            <w:r>
              <w:rPr>
                <w:b/>
                <w:color w:val="FFFFFF"/>
                <w:sz w:val="20"/>
              </w:rPr>
              <w:t>Dashboard Page</w:t>
            </w:r>
          </w:p>
        </w:tc>
        <w:tc>
          <w:tcPr>
            <w:tcW w:type="dxa" w:w="7200"/>
            <w:vAlign w:val="center"/>
            <w:shd w:val="clear" w:color="auto" w:fill="1F3864"/>
          </w:tcPr>
          <w:p>
            <w:pPr>
              <w:jc w:val="left"/>
            </w:pPr>
            <w:r>
              <w:rPr>
                <w:b/>
                <w:color w:val="FFFFFF"/>
                <w:sz w:val="20"/>
              </w:rPr>
              <w:t>Features Available</w:t>
            </w:r>
          </w:p>
        </w:tc>
      </w:tr>
      <w:tr>
        <w:tc>
          <w:tcPr>
            <w:tcW w:type="dxa" w:w="2880"/>
            <w:vAlign w:val="center"/>
            <w:shd w:val="clear" w:color="auto" w:fill="F2F2F2"/>
          </w:tcPr>
          <w:p>
            <w:pPr>
              <w:jc w:val="left"/>
            </w:pPr>
            <w:r>
              <w:rPr>
                <w:b w:val="0"/>
                <w:color w:val="1E1E1E"/>
                <w:sz w:val="20"/>
              </w:rPr>
              <w:t>Overview</w:t>
            </w:r>
          </w:p>
        </w:tc>
        <w:tc>
          <w:tcPr>
            <w:tcW w:type="dxa" w:w="7200"/>
            <w:vAlign w:val="center"/>
            <w:shd w:val="clear" w:color="auto" w:fill="F2F2F2"/>
          </w:tcPr>
          <w:p>
            <w:pPr>
              <w:jc w:val="left"/>
            </w:pPr>
            <w:r>
              <w:rPr>
                <w:b w:val="0"/>
                <w:color w:val="1E1E1E"/>
                <w:sz w:val="20"/>
              </w:rPr>
              <w:t>Project summary, business problem, methodology diagram, technology stack</w:t>
            </w:r>
          </w:p>
        </w:tc>
      </w:tr>
      <w:tr>
        <w:tc>
          <w:tcPr>
            <w:tcW w:type="dxa" w:w="2880"/>
            <w:vAlign w:val="center"/>
          </w:tcPr>
          <w:p>
            <w:pPr>
              <w:jc w:val="left"/>
            </w:pPr>
            <w:r>
              <w:rPr>
                <w:b w:val="0"/>
                <w:color w:val="1E1E1E"/>
                <w:sz w:val="20"/>
              </w:rPr>
              <w:t>EDA &amp; Insights</w:t>
            </w:r>
          </w:p>
        </w:tc>
        <w:tc>
          <w:tcPr>
            <w:tcW w:type="dxa" w:w="7200"/>
            <w:vAlign w:val="center"/>
          </w:tcPr>
          <w:p>
            <w:pPr>
              <w:jc w:val="left"/>
            </w:pPr>
            <w:r>
              <w:rPr>
                <w:b w:val="0"/>
                <w:color w:val="1E1E1E"/>
                <w:sz w:val="20"/>
              </w:rPr>
              <w:t>Interactive EDA charts, correlation heatmap, fraud distribution plots</w:t>
            </w:r>
          </w:p>
        </w:tc>
      </w:tr>
      <w:tr>
        <w:tc>
          <w:tcPr>
            <w:tcW w:type="dxa" w:w="2880"/>
            <w:vAlign w:val="center"/>
            <w:shd w:val="clear" w:color="auto" w:fill="F2F2F2"/>
          </w:tcPr>
          <w:p>
            <w:pPr>
              <w:jc w:val="left"/>
            </w:pPr>
            <w:r>
              <w:rPr>
                <w:b w:val="0"/>
                <w:color w:val="1E1E1E"/>
                <w:sz w:val="20"/>
              </w:rPr>
              <w:t>Model Results</w:t>
            </w:r>
          </w:p>
        </w:tc>
        <w:tc>
          <w:tcPr>
            <w:tcW w:type="dxa" w:w="7200"/>
            <w:vAlign w:val="center"/>
            <w:shd w:val="clear" w:color="auto" w:fill="F2F2F2"/>
          </w:tcPr>
          <w:p>
            <w:pPr>
              <w:jc w:val="left"/>
            </w:pPr>
            <w:r>
              <w:rPr>
                <w:b w:val="0"/>
                <w:color w:val="1E1E1E"/>
                <w:sz w:val="20"/>
              </w:rPr>
              <w:t>Cross-validation comparison chart, confusion matrix, ROC curve, PR curve</w:t>
            </w:r>
          </w:p>
        </w:tc>
      </w:tr>
      <w:tr>
        <w:tc>
          <w:tcPr>
            <w:tcW w:type="dxa" w:w="2880"/>
            <w:vAlign w:val="center"/>
          </w:tcPr>
          <w:p>
            <w:pPr>
              <w:jc w:val="left"/>
            </w:pPr>
            <w:r>
              <w:rPr>
                <w:b w:val="0"/>
                <w:color w:val="1E1E1E"/>
                <w:sz w:val="20"/>
              </w:rPr>
              <w:t>Live Prediction</w:t>
            </w:r>
          </w:p>
        </w:tc>
        <w:tc>
          <w:tcPr>
            <w:tcW w:type="dxa" w:w="7200"/>
            <w:vAlign w:val="center"/>
          </w:tcPr>
          <w:p>
            <w:pPr>
              <w:jc w:val="left"/>
            </w:pPr>
            <w:r>
              <w:rPr>
                <w:b w:val="0"/>
                <w:color w:val="1E1E1E"/>
                <w:sz w:val="20"/>
              </w:rPr>
              <w:t>Manual input form with real-time fraud probability gauge and risk level badge</w:t>
            </w:r>
          </w:p>
        </w:tc>
      </w:tr>
      <w:tr>
        <w:tc>
          <w:tcPr>
            <w:tcW w:type="dxa" w:w="2880"/>
            <w:vAlign w:val="center"/>
            <w:shd w:val="clear" w:color="auto" w:fill="F2F2F2"/>
          </w:tcPr>
          <w:p>
            <w:pPr>
              <w:jc w:val="left"/>
            </w:pPr>
            <w:r>
              <w:rPr>
                <w:b w:val="0"/>
                <w:color w:val="1E1E1E"/>
                <w:sz w:val="20"/>
              </w:rPr>
              <w:t>Submission</w:t>
            </w:r>
          </w:p>
        </w:tc>
        <w:tc>
          <w:tcPr>
            <w:tcW w:type="dxa" w:w="7200"/>
            <w:vAlign w:val="center"/>
            <w:shd w:val="clear" w:color="auto" w:fill="F2F2F2"/>
          </w:tcPr>
          <w:p>
            <w:pPr>
              <w:jc w:val="left"/>
            </w:pPr>
            <w:r>
              <w:rPr>
                <w:b w:val="0"/>
                <w:color w:val="1E1E1E"/>
                <w:sz w:val="20"/>
              </w:rPr>
              <w:t>Fraud distribution chart, downloadable prediction CSV file</w:t>
            </w:r>
          </w:p>
        </w:tc>
      </w:tr>
      <w:tr>
        <w:tc>
          <w:tcPr>
            <w:tcW w:type="dxa" w:w="2880"/>
            <w:vAlign w:val="center"/>
          </w:tcPr>
          <w:p>
            <w:pPr>
              <w:jc w:val="left"/>
            </w:pPr>
            <w:r>
              <w:rPr>
                <w:b w:val="0"/>
                <w:color w:val="1E1E1E"/>
                <w:sz w:val="20"/>
              </w:rPr>
              <w:t>Business Insights</w:t>
            </w:r>
          </w:p>
        </w:tc>
        <w:tc>
          <w:tcPr>
            <w:tcW w:type="dxa" w:w="7200"/>
            <w:vAlign w:val="center"/>
          </w:tcPr>
          <w:p>
            <w:pPr>
              <w:jc w:val="left"/>
            </w:pPr>
            <w:r>
              <w:rPr>
                <w:b w:val="0"/>
                <w:color w:val="1E1E1E"/>
                <w:sz w:val="20"/>
              </w:rPr>
              <w:t>10 data-driven recommendations with impact ratings and explanations</w:t>
            </w:r>
          </w:p>
        </w:tc>
      </w:tr>
      <w:tr>
        <w:tc>
          <w:tcPr>
            <w:tcW w:type="dxa" w:w="2880"/>
            <w:vAlign w:val="center"/>
            <w:shd w:val="clear" w:color="auto" w:fill="F2F2F2"/>
          </w:tcPr>
          <w:p>
            <w:pPr>
              <w:jc w:val="left"/>
            </w:pPr>
            <w:r>
              <w:rPr>
                <w:b w:val="0"/>
                <w:color w:val="1E1E1E"/>
                <w:sz w:val="20"/>
              </w:rPr>
              <w:t>Documentation</w:t>
            </w:r>
          </w:p>
        </w:tc>
        <w:tc>
          <w:tcPr>
            <w:tcW w:type="dxa" w:w="7200"/>
            <w:vAlign w:val="center"/>
            <w:shd w:val="clear" w:color="auto" w:fill="F2F2F2"/>
          </w:tcPr>
          <w:p>
            <w:pPr>
              <w:jc w:val="left"/>
            </w:pPr>
            <w:r>
              <w:rPr>
                <w:b w:val="0"/>
                <w:color w:val="1E1E1E"/>
                <w:sz w:val="20"/>
              </w:rPr>
              <w:t>Technical deep-dive tabs covering cleaning, features, modeling, and run guide</w:t>
            </w:r>
          </w:p>
        </w:tc>
      </w:tr>
    </w:tbl>
    <w:p/>
    <w:p>
      <w:r>
        <w:br w:type="page"/>
      </w:r>
    </w:p>
    <w:p>
      <w:pPr>
        <w:pStyle w:val="Heading1"/>
        <w:jc w:val="left"/>
      </w:pPr>
      <w:r>
        <w:rPr>
          <w:color w:val="1F3864"/>
        </w:rPr>
        <w:t>12. Project Links and Deliverables</w:t>
      </w:r>
    </w:p>
    <w:tbl>
      <w:tblPr>
        <w:tblStyle w:val="TableGrid"/>
        <w:tblW w:type="auto" w:w="0"/>
        <w:jc w:val="left"/>
        <w:tblLook w:firstColumn="1" w:firstRow="1" w:lastColumn="0" w:lastRow="0" w:noHBand="0" w:noVBand="1" w:val="04A0"/>
      </w:tblPr>
      <w:tblGrid>
        <w:gridCol w:w="3135"/>
        <w:gridCol w:w="3135"/>
        <w:gridCol w:w="3135"/>
      </w:tblGrid>
      <w:tr>
        <w:tc>
          <w:tcPr>
            <w:tcW w:type="dxa" w:w="2592"/>
            <w:vAlign w:val="center"/>
            <w:shd w:val="clear" w:color="auto" w:fill="1F3864"/>
          </w:tcPr>
          <w:p>
            <w:pPr>
              <w:jc w:val="left"/>
            </w:pPr>
            <w:r>
              <w:rPr>
                <w:b/>
                <w:color w:val="FFFFFF"/>
                <w:sz w:val="20"/>
              </w:rPr>
              <w:t>Deliverable</w:t>
            </w:r>
          </w:p>
        </w:tc>
        <w:tc>
          <w:tcPr>
            <w:tcW w:type="dxa" w:w="3600"/>
            <w:vAlign w:val="center"/>
            <w:shd w:val="clear" w:color="auto" w:fill="1F3864"/>
          </w:tcPr>
          <w:p>
            <w:pPr>
              <w:jc w:val="left"/>
            </w:pPr>
            <w:r>
              <w:rPr>
                <w:b/>
                <w:color w:val="FFFFFF"/>
                <w:sz w:val="20"/>
              </w:rPr>
              <w:t>Description</w:t>
            </w:r>
          </w:p>
        </w:tc>
        <w:tc>
          <w:tcPr>
            <w:tcW w:type="dxa" w:w="3888"/>
            <w:vAlign w:val="center"/>
            <w:shd w:val="clear" w:color="auto" w:fill="1F3864"/>
          </w:tcPr>
          <w:p>
            <w:pPr>
              <w:jc w:val="left"/>
            </w:pPr>
            <w:r>
              <w:rPr>
                <w:b/>
                <w:color w:val="FFFFFF"/>
                <w:sz w:val="20"/>
              </w:rPr>
              <w:t>Link / File Name</w:t>
            </w:r>
          </w:p>
        </w:tc>
      </w:tr>
      <w:tr>
        <w:tc>
          <w:tcPr>
            <w:tcW w:type="dxa" w:w="2592"/>
            <w:vAlign w:val="center"/>
            <w:shd w:val="clear" w:color="auto" w:fill="F2F2F2"/>
          </w:tcPr>
          <w:p>
            <w:pPr>
              <w:jc w:val="left"/>
            </w:pPr>
            <w:r>
              <w:rPr>
                <w:b w:val="0"/>
                <w:color w:val="1E1E1E"/>
                <w:sz w:val="20"/>
              </w:rPr>
              <w:t>GitHub Repository</w:t>
            </w:r>
          </w:p>
        </w:tc>
        <w:tc>
          <w:tcPr>
            <w:tcW w:type="dxa" w:w="3600"/>
            <w:vAlign w:val="center"/>
            <w:shd w:val="clear" w:color="auto" w:fill="F2F2F2"/>
          </w:tcPr>
          <w:p>
            <w:pPr>
              <w:jc w:val="left"/>
            </w:pPr>
            <w:r>
              <w:rPr>
                <w:b w:val="0"/>
                <w:color w:val="1E1E1E"/>
                <w:sz w:val="20"/>
              </w:rPr>
              <w:t>Full source code, notebooks, pipeline scripts, and model artifacts</w:t>
            </w:r>
          </w:p>
        </w:tc>
        <w:tc>
          <w:tcPr>
            <w:tcW w:type="dxa" w:w="3888"/>
            <w:vAlign w:val="center"/>
            <w:shd w:val="clear" w:color="auto" w:fill="F2F2F2"/>
          </w:tcPr>
          <w:p>
            <w:pPr>
              <w:jc w:val="left"/>
            </w:pPr>
            <w:r>
              <w:rPr>
                <w:b w:val="0"/>
                <w:color w:val="1E1E1E"/>
                <w:sz w:val="20"/>
              </w:rPr>
              <w:t>https://github.com/supriya-poojary/HealthCare-Fraud-Detection-Ml-model</w:t>
            </w:r>
          </w:p>
        </w:tc>
      </w:tr>
      <w:tr>
        <w:tc>
          <w:tcPr>
            <w:tcW w:type="dxa" w:w="2592"/>
            <w:vAlign w:val="center"/>
          </w:tcPr>
          <w:p>
            <w:pPr>
              <w:jc w:val="left"/>
            </w:pPr>
            <w:r>
              <w:rPr>
                <w:b w:val="0"/>
                <w:color w:val="1E1E1E"/>
                <w:sz w:val="20"/>
              </w:rPr>
              <w:t>Live Streamlit App</w:t>
            </w:r>
          </w:p>
        </w:tc>
        <w:tc>
          <w:tcPr>
            <w:tcW w:type="dxa" w:w="3600"/>
            <w:vAlign w:val="center"/>
          </w:tcPr>
          <w:p>
            <w:pPr>
              <w:jc w:val="left"/>
            </w:pPr>
            <w:r>
              <w:rPr>
                <w:b w:val="0"/>
                <w:color w:val="1E1E1E"/>
                <w:sz w:val="20"/>
              </w:rPr>
              <w:t>Interactive fraud detection dashboard accessible publicly</w:t>
            </w:r>
          </w:p>
        </w:tc>
        <w:tc>
          <w:tcPr>
            <w:tcW w:type="dxa" w:w="3888"/>
            <w:vAlign w:val="center"/>
          </w:tcPr>
          <w:p>
            <w:pPr>
              <w:jc w:val="left"/>
            </w:pPr>
            <w:r>
              <w:rPr>
                <w:b w:val="0"/>
                <w:color w:val="1E1E1E"/>
                <w:sz w:val="20"/>
              </w:rPr>
              <w:t>https://healthcare-fraud-detection-ml-model-dpsktk3gu9lcpxahv4gutv.streamlit.app/</w:t>
            </w:r>
          </w:p>
        </w:tc>
      </w:tr>
      <w:tr>
        <w:tc>
          <w:tcPr>
            <w:tcW w:type="dxa" w:w="2592"/>
            <w:vAlign w:val="center"/>
            <w:shd w:val="clear" w:color="auto" w:fill="F2F2F2"/>
          </w:tcPr>
          <w:p>
            <w:pPr>
              <w:jc w:val="left"/>
            </w:pPr>
            <w:r>
              <w:rPr>
                <w:b w:val="0"/>
                <w:color w:val="1E1E1E"/>
                <w:sz w:val="20"/>
              </w:rPr>
              <w:t>Submission CSV</w:t>
            </w:r>
          </w:p>
        </w:tc>
        <w:tc>
          <w:tcPr>
            <w:tcW w:type="dxa" w:w="3600"/>
            <w:vAlign w:val="center"/>
            <w:shd w:val="clear" w:color="auto" w:fill="F2F2F2"/>
          </w:tcPr>
          <w:p>
            <w:pPr>
              <w:jc w:val="left"/>
            </w:pPr>
            <w:r>
              <w:rPr>
                <w:b w:val="0"/>
                <w:color w:val="1E1E1E"/>
                <w:sz w:val="20"/>
              </w:rPr>
              <w:t>Final predictions on 1,353 unseen providers with probability and class</w:t>
            </w:r>
          </w:p>
        </w:tc>
        <w:tc>
          <w:tcPr>
            <w:tcW w:type="dxa" w:w="3888"/>
            <w:vAlign w:val="center"/>
            <w:shd w:val="clear" w:color="auto" w:fill="F2F2F2"/>
          </w:tcPr>
          <w:p>
            <w:pPr>
              <w:jc w:val="left"/>
            </w:pPr>
            <w:r>
              <w:rPr>
                <w:b w:val="0"/>
                <w:color w:val="1E1E1E"/>
                <w:sz w:val="20"/>
              </w:rPr>
              <w:t>SupriyaSPoojary_Submission.csv</w:t>
            </w:r>
          </w:p>
        </w:tc>
      </w:tr>
      <w:tr>
        <w:tc>
          <w:tcPr>
            <w:tcW w:type="dxa" w:w="2592"/>
            <w:vAlign w:val="center"/>
          </w:tcPr>
          <w:p>
            <w:pPr>
              <w:jc w:val="left"/>
            </w:pPr>
            <w:r>
              <w:rPr>
                <w:b w:val="0"/>
                <w:color w:val="1E1E1E"/>
                <w:sz w:val="20"/>
              </w:rPr>
              <w:t>HTML Notebook</w:t>
            </w:r>
          </w:p>
        </w:tc>
        <w:tc>
          <w:tcPr>
            <w:tcW w:type="dxa" w:w="3600"/>
            <w:vAlign w:val="center"/>
          </w:tcPr>
          <w:p>
            <w:pPr>
              <w:jc w:val="left"/>
            </w:pPr>
            <w:r>
              <w:rPr>
                <w:b w:val="0"/>
                <w:color w:val="1E1E1E"/>
                <w:sz w:val="20"/>
              </w:rPr>
              <w:t>Fully executed Jupyter notebook exported to HTML with all results</w:t>
            </w:r>
          </w:p>
        </w:tc>
        <w:tc>
          <w:tcPr>
            <w:tcW w:type="dxa" w:w="3888"/>
            <w:vAlign w:val="center"/>
          </w:tcPr>
          <w:p>
            <w:pPr>
              <w:jc w:val="left"/>
            </w:pPr>
            <w:r>
              <w:rPr>
                <w:b w:val="0"/>
                <w:color w:val="1E1E1E"/>
                <w:sz w:val="20"/>
              </w:rPr>
              <w:t>Healthcare_Provider_Fraud_Detection.html</w:t>
            </w:r>
          </w:p>
        </w:tc>
      </w:tr>
      <w:tr>
        <w:tc>
          <w:tcPr>
            <w:tcW w:type="dxa" w:w="2592"/>
            <w:vAlign w:val="center"/>
            <w:shd w:val="clear" w:color="auto" w:fill="F2F2F2"/>
          </w:tcPr>
          <w:p>
            <w:pPr>
              <w:jc w:val="left"/>
            </w:pPr>
            <w:r>
              <w:rPr>
                <w:b w:val="0"/>
                <w:color w:val="1E1E1E"/>
                <w:sz w:val="20"/>
              </w:rPr>
              <w:t>Custom Report</w:t>
            </w:r>
          </w:p>
        </w:tc>
        <w:tc>
          <w:tcPr>
            <w:tcW w:type="dxa" w:w="3600"/>
            <w:vAlign w:val="center"/>
            <w:shd w:val="clear" w:color="auto" w:fill="F2F2F2"/>
          </w:tcPr>
          <w:p>
            <w:pPr>
              <w:jc w:val="left"/>
            </w:pPr>
            <w:r>
              <w:rPr>
                <w:b w:val="0"/>
                <w:color w:val="1E1E1E"/>
                <w:sz w:val="20"/>
              </w:rPr>
              <w:t>Styled analysis report with all EDA and evaluation charts embedded</w:t>
            </w:r>
          </w:p>
        </w:tc>
        <w:tc>
          <w:tcPr>
            <w:tcW w:type="dxa" w:w="3888"/>
            <w:vAlign w:val="center"/>
            <w:shd w:val="clear" w:color="auto" w:fill="F2F2F2"/>
          </w:tcPr>
          <w:p>
            <w:pPr>
              <w:jc w:val="left"/>
            </w:pPr>
            <w:r>
              <w:rPr>
                <w:b w:val="0"/>
                <w:color w:val="1E1E1E"/>
                <w:sz w:val="20"/>
              </w:rPr>
              <w:t>FraudDetection_Notebook.html</w:t>
            </w:r>
          </w:p>
        </w:tc>
      </w:tr>
      <w:tr>
        <w:tc>
          <w:tcPr>
            <w:tcW w:type="dxa" w:w="2592"/>
            <w:vAlign w:val="center"/>
          </w:tcPr>
          <w:p>
            <w:pPr>
              <w:jc w:val="left"/>
            </w:pPr>
            <w:r>
              <w:rPr>
                <w:b w:val="0"/>
                <w:color w:val="1E1E1E"/>
                <w:sz w:val="20"/>
              </w:rPr>
              <w:t>Word Document</w:t>
            </w:r>
          </w:p>
        </w:tc>
        <w:tc>
          <w:tcPr>
            <w:tcW w:type="dxa" w:w="3600"/>
            <w:vAlign w:val="center"/>
          </w:tcPr>
          <w:p>
            <w:pPr>
              <w:jc w:val="left"/>
            </w:pPr>
            <w:r>
              <w:rPr>
                <w:b w:val="0"/>
                <w:color w:val="1E1E1E"/>
                <w:sz w:val="20"/>
              </w:rPr>
              <w:t>This document — full analysis, approach, and recommendations</w:t>
            </w:r>
          </w:p>
        </w:tc>
        <w:tc>
          <w:tcPr>
            <w:tcW w:type="dxa" w:w="3888"/>
            <w:vAlign w:val="center"/>
          </w:tcPr>
          <w:p>
            <w:pPr>
              <w:jc w:val="left"/>
            </w:pPr>
            <w:r>
              <w:rPr>
                <w:b w:val="0"/>
                <w:color w:val="1E1E1E"/>
                <w:sz w:val="20"/>
              </w:rPr>
              <w:t>SupriyaSPoojary_Analysis_Report.docx</w:t>
            </w:r>
          </w:p>
        </w:tc>
      </w:tr>
    </w:tbl>
    <w:p/>
    <w:p>
      <w:r>
        <w:rPr>
          <w:b/>
        </w:rPr>
        <w:t xml:space="preserve">GitHub: </w:t>
      </w:r>
      <w:hyperlink r:id="rId9">
        <w:r>
          <w:rPr>
            <w:color w:val="1F3864"/>
            <w:u w:val="single"/>
          </w:rPr>
          <w:t>https://github.com/supriya-poojary/HealthCare-Fraud-Detection-Ml-model</w:t>
        </w:r>
      </w:hyperlink>
    </w:p>
    <w:p>
      <w:r>
        <w:rPr>
          <w:b/>
        </w:rPr>
        <w:t xml:space="preserve">Streamlit App: </w:t>
      </w:r>
      <w:hyperlink r:id="rId10">
        <w:r>
          <w:rPr>
            <w:color w:val="1F3864"/>
            <w:u w:val="single"/>
          </w:rPr>
          <w:t>https://healthcare-fraud-detection-ml-model-dpsktk3gu9lcpxahv4gutv.streamlit.app/</w:t>
        </w:r>
      </w:hyperlink>
    </w:p>
    <w:p/>
    <w:p>
      <w:pPr>
        <w:pStyle w:val="Heading1"/>
        <w:jc w:val="left"/>
      </w:pPr>
      <w:r>
        <w:rPr>
          <w:color w:val="1F3864"/>
        </w:rPr>
        <w:t>13. Conclusion</w:t>
      </w:r>
    </w:p>
    <w:p>
      <w:r>
        <w:rPr>
          <w:b w:val="0"/>
          <w:i w:val="0"/>
          <w:sz w:val="22"/>
        </w:rPr>
        <w:t>This project successfully developed an end-to-end Machine Learning pipeline for Healthcare Provider Fraud Detection. Starting from raw claim-level data across four datasets, the pipeline performs comprehensive data cleaning, engineers 56 provider-level behavioral features, selects 54 of the most informative features, and trains an XGBoost classifier enhanced with SMOTE oversampling.</w:t>
      </w:r>
    </w:p>
    <w:p/>
    <w:p>
      <w:r>
        <w:rPr>
          <w:b w:val="0"/>
          <w:i w:val="0"/>
          <w:sz w:val="22"/>
        </w:rPr>
        <w:t>The final model achieves a ROC-AUC of 0.9615 on the validation set and correctly identifies 81% of fraudulent providers — a performance level suitable for deployment in a production insurance fraud detection system. The model predicted 187 out of 1,353 unseen providers as potentially fraudulent, providing a concrete action list for investigation teams.</w:t>
      </w:r>
    </w:p>
    <w:p/>
    <w:p>
      <w:r>
        <w:rPr>
          <w:b w:val="0"/>
          <w:i w:val="0"/>
          <w:sz w:val="22"/>
        </w:rPr>
        <w:t>The accompanying Streamlit dashboard makes these predictions accessible to non-technical stakeholders, enabling real-time fraud probability scoring and supporting data-driven investigation decisions. The business recommendations outlined in this document provide a roadmap for integrating this system into production workflows and maximizing its financial impact for the insurance organization.</w:t>
      </w:r>
    </w:p>
    <w:p/>
    <w:p/>
    <w:p>
      <w:pPr>
        <w:jc w:val="center"/>
      </w:pPr>
      <w:r>
        <w:rPr>
          <w:b/>
          <w:color w:val="1F3864"/>
          <w:sz w:val="26"/>
        </w:rPr>
        <w:t>Submitted by: Supriya S Poojary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upriya-poojary/HealthCare-Fraud-Detection-Ml-model" TargetMode="External"/><Relationship Id="rId10" Type="http://schemas.openxmlformats.org/officeDocument/2006/relationships/hyperlink" Target="https://healthcare-fraud-detection-ml-model-dpsktk3gu9lcpxahv4gutv.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