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Fine Tuned Test Case Generator</w:t>
      </w:r>
    </w:p>
    <w:p>
      <w:pPr>
        <w:jc w:val="left"/>
      </w:pPr>
      <w:r>
        <w:rPr>
          <w:b/>
          <w:color w:val="374151"/>
          <w:sz w:val="22"/>
        </w:rPr>
        <w:t>Week 5 Project  |  The Gen Academy  |  September 2026</w:t>
      </w:r>
    </w:p>
    <w:p>
      <w:r>
        <w:t>I fine-tuned Qwen3 1.7B to generate structured software test cases from user stories and acceptance criteria. The evaluated adapter did not outperform the conversational base model overall: it scored 75.7% versus 76.2%. The experiment therefore shows that this small synthetic dataset does not yet justify fine-tuning for deployment.</w:t>
      </w:r>
    </w:p>
    <w:p>
      <w:pPr>
        <w:pStyle w:val="Heading1"/>
      </w:pPr>
      <w:r>
        <w:t>Problem and use case</w:t>
      </w:r>
    </w:p>
    <w:p>
      <w:r>
        <w:t>QA engineers repeatedly translate requirements into positive, negative, and boundary tests. General models can draft this material, but inconsistent structure and missing traceability make automation difficult. The target system accepts a user story plus numbered acceptance criteria and returns JSON test cases with id, title, type, preconditions, steps, expected result, and covered criterion IDs.</w:t>
      </w:r>
    </w:p>
    <w:p>
      <w:pPr>
        <w:pStyle w:val="Heading1"/>
      </w:pPr>
      <w:r>
        <w:t>Dataset and validation design</w:t>
      </w:r>
    </w:p>
    <w:p>
      <w:r>
        <w:t>The dataset contains 80 synthetic labelled examples across authentication, commerce, finance, healthcare, collaboration, analytics, travel, and learning products. Sixty examples from 12 scenario families were used for training. Twenty examples from four complete scenario families were held out. Keeping whole families out of training reduces leakage from closely related template variants.</w:t>
      </w:r>
    </w:p>
    <w:p>
      <w:r>
        <w:t>Each target contains one positive, one negative, and one boundary test. The covers field links every test to AC1, AC2, or AC3, making requirement coverage measurable rather than subjective.</w:t>
      </w:r>
    </w:p>
    <w:p>
      <w:pPr>
        <w:pStyle w:val="Heading1"/>
      </w:pPr>
      <w:r>
        <w:t>Fine tuning approach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344"/>
      </w:tblGrid>
      <w:tr>
        <w:tc>
          <w:tcPr>
            <w:tcW w:type="dxa" w:w="4997"/>
            <w:shd w:fill="243B53"/>
            <w:vAlign w:val="center"/>
            <w:tcMar>
              <w:top w:w="100" w:type="dxa"/>
              <w:start w:w="120" w:type="dxa"/>
              <w:bottom w:w="100" w:type="dxa"/>
              <w:end w:w="120" w:type="dxa"/>
            </w:tcMar>
          </w:tcPr>
          <w:p>
            <w:r>
              <w:rPr>
                <w:b/>
                <w:color w:val="FFFFFF"/>
              </w:rPr>
              <w:t>Setting</w:t>
            </w:r>
          </w:p>
        </w:tc>
        <w:tc>
          <w:tcPr>
            <w:tcW w:type="dxa" w:w="4997"/>
            <w:shd w:fill="243B53"/>
            <w:vAlign w:val="center"/>
            <w:tcMar>
              <w:top w:w="100" w:type="dxa"/>
              <w:start w:w="120" w:type="dxa"/>
              <w:bottom w:w="100" w:type="dxa"/>
              <w:end w:w="120" w:type="dxa"/>
            </w:tcMar>
          </w:tcPr>
          <w:p>
            <w:r>
              <w:rPr>
                <w:b/>
                <w:color w:val="FFFFFF"/>
              </w:rPr>
              <w:t>Evaluated run</w:t>
            </w:r>
          </w:p>
        </w:tc>
      </w:tr>
      <w:tr>
        <w:tc>
          <w:tcPr>
            <w:tcW w:type="dxa" w:w="2520"/>
            <w:vAlign w:val="center"/>
            <w:tcMar>
              <w:top w:w="100" w:type="dxa"/>
              <w:start w:w="120" w:type="dxa"/>
              <w:bottom w:w="100" w:type="dxa"/>
              <w:end w:w="120" w:type="dxa"/>
            </w:tcMar>
          </w:tcPr>
          <w:p>
            <w:r>
              <w:rPr>
                <w:b/>
              </w:rPr>
              <w:t>Model</w:t>
            </w:r>
          </w:p>
        </w:tc>
        <w:tc>
          <w:tcPr>
            <w:tcW w:type="dxa" w:w="7344"/>
            <w:vAlign w:val="center"/>
            <w:tcMar>
              <w:top w:w="100" w:type="dxa"/>
              <w:start w:w="120" w:type="dxa"/>
              <w:bottom w:w="100" w:type="dxa"/>
              <w:end w:w="120" w:type="dxa"/>
            </w:tcMar>
          </w:tcPr>
          <w:p>
            <w:r>
              <w:t>Qwen/Qwen3-1.7B conversational checkpoint</w:t>
            </w:r>
          </w:p>
        </w:tc>
      </w:tr>
      <w:tr>
        <w:tc>
          <w:tcPr>
            <w:tcW w:type="dxa" w:w="2520"/>
            <w:shd w:fill="F3F6FA"/>
            <w:vAlign w:val="center"/>
            <w:tcMar>
              <w:top w:w="100" w:type="dxa"/>
              <w:start w:w="120" w:type="dxa"/>
              <w:bottom w:w="100" w:type="dxa"/>
              <w:end w:w="120" w:type="dxa"/>
            </w:tcMar>
          </w:tcPr>
          <w:p>
            <w:r>
              <w:rPr>
                <w:b/>
              </w:rPr>
              <w:t>Method</w:t>
            </w:r>
          </w:p>
        </w:tc>
        <w:tc>
          <w:tcPr>
            <w:tcW w:type="dxa" w:w="7344"/>
            <w:shd w:fill="F3F6FA"/>
            <w:vAlign w:val="center"/>
            <w:tcMar>
              <w:top w:w="100" w:type="dxa"/>
              <w:start w:w="120" w:type="dxa"/>
              <w:bottom w:w="100" w:type="dxa"/>
              <w:end w:w="120" w:type="dxa"/>
            </w:tcMar>
          </w:tcPr>
          <w:p>
            <w:r>
              <w:t>LoRA supervised fine-tuning in LLaMA Factory</w:t>
            </w:r>
          </w:p>
        </w:tc>
      </w:tr>
      <w:tr>
        <w:tc>
          <w:tcPr>
            <w:tcW w:type="dxa" w:w="2520"/>
            <w:vAlign w:val="center"/>
            <w:tcMar>
              <w:top w:w="100" w:type="dxa"/>
              <w:start w:w="120" w:type="dxa"/>
              <w:bottom w:w="100" w:type="dxa"/>
              <w:end w:w="120" w:type="dxa"/>
            </w:tcMar>
          </w:tcPr>
          <w:p>
            <w:r>
              <w:rPr>
                <w:b/>
              </w:rPr>
              <w:t>Learning rate</w:t>
            </w:r>
          </w:p>
        </w:tc>
        <w:tc>
          <w:tcPr>
            <w:tcW w:type="dxa" w:w="7344"/>
            <w:vAlign w:val="center"/>
            <w:tcMar>
              <w:top w:w="100" w:type="dxa"/>
              <w:start w:w="120" w:type="dxa"/>
              <w:bottom w:w="100" w:type="dxa"/>
              <w:end w:w="120" w:type="dxa"/>
            </w:tcMar>
          </w:tcPr>
          <w:p>
            <w:r>
              <w:t>1e-5</w:t>
            </w:r>
          </w:p>
        </w:tc>
      </w:tr>
      <w:tr>
        <w:tc>
          <w:tcPr>
            <w:tcW w:type="dxa" w:w="2520"/>
            <w:shd w:fill="F3F6FA"/>
            <w:vAlign w:val="center"/>
            <w:tcMar>
              <w:top w:w="100" w:type="dxa"/>
              <w:start w:w="120" w:type="dxa"/>
              <w:bottom w:w="100" w:type="dxa"/>
              <w:end w:w="120" w:type="dxa"/>
            </w:tcMar>
          </w:tcPr>
          <w:p>
            <w:r>
              <w:rPr>
                <w:b/>
              </w:rPr>
              <w:t>Epochs</w:t>
            </w:r>
          </w:p>
        </w:tc>
        <w:tc>
          <w:tcPr>
            <w:tcW w:type="dxa" w:w="7344"/>
            <w:shd w:fill="F3F6FA"/>
            <w:vAlign w:val="center"/>
            <w:tcMar>
              <w:top w:w="100" w:type="dxa"/>
              <w:start w:w="120" w:type="dxa"/>
              <w:bottom w:w="100" w:type="dxa"/>
              <w:end w:w="120" w:type="dxa"/>
            </w:tcMar>
          </w:tcPr>
          <w:p>
            <w:r>
              <w:t>2</w:t>
            </w:r>
          </w:p>
        </w:tc>
      </w:tr>
      <w:tr>
        <w:tc>
          <w:tcPr>
            <w:tcW w:type="dxa" w:w="2520"/>
            <w:vAlign w:val="center"/>
            <w:tcMar>
              <w:top w:w="100" w:type="dxa"/>
              <w:start w:w="120" w:type="dxa"/>
              <w:bottom w:w="100" w:type="dxa"/>
              <w:end w:w="120" w:type="dxa"/>
            </w:tcMar>
          </w:tcPr>
          <w:p>
            <w:r>
              <w:rPr>
                <w:b/>
              </w:rPr>
              <w:t>Batch</w:t>
            </w:r>
          </w:p>
        </w:tc>
        <w:tc>
          <w:tcPr>
            <w:tcW w:type="dxa" w:w="7344"/>
            <w:vAlign w:val="center"/>
            <w:tcMar>
              <w:top w:w="100" w:type="dxa"/>
              <w:start w:w="120" w:type="dxa"/>
              <w:bottom w:w="100" w:type="dxa"/>
              <w:end w:w="120" w:type="dxa"/>
            </w:tcMar>
          </w:tcPr>
          <w:p>
            <w:r>
              <w:t>1 per device with 4-step gradient accumulation</w:t>
            </w:r>
          </w:p>
        </w:tc>
      </w:tr>
      <w:tr>
        <w:tc>
          <w:tcPr>
            <w:tcW w:type="dxa" w:w="2520"/>
            <w:shd w:fill="F3F6FA"/>
            <w:vAlign w:val="center"/>
            <w:tcMar>
              <w:top w:w="100" w:type="dxa"/>
              <w:start w:w="120" w:type="dxa"/>
              <w:bottom w:w="100" w:type="dxa"/>
              <w:end w:w="120" w:type="dxa"/>
            </w:tcMar>
          </w:tcPr>
          <w:p>
            <w:r>
              <w:rPr>
                <w:b/>
              </w:rPr>
              <w:t>LoRA</w:t>
            </w:r>
          </w:p>
        </w:tc>
        <w:tc>
          <w:tcPr>
            <w:tcW w:type="dxa" w:w="7344"/>
            <w:shd w:fill="F3F6FA"/>
            <w:vAlign w:val="center"/>
            <w:tcMar>
              <w:top w:w="100" w:type="dxa"/>
              <w:start w:w="120" w:type="dxa"/>
              <w:bottom w:w="100" w:type="dxa"/>
              <w:end w:w="120" w:type="dxa"/>
            </w:tcMar>
          </w:tcPr>
          <w:p>
            <w:r>
              <w:t>Rank 8 and alpha 16</w:t>
            </w:r>
          </w:p>
        </w:tc>
      </w:tr>
      <w:tr>
        <w:tc>
          <w:tcPr>
            <w:tcW w:type="dxa" w:w="2520"/>
            <w:vAlign w:val="center"/>
            <w:tcMar>
              <w:top w:w="100" w:type="dxa"/>
              <w:start w:w="120" w:type="dxa"/>
              <w:bottom w:w="100" w:type="dxa"/>
              <w:end w:w="120" w:type="dxa"/>
            </w:tcMar>
          </w:tcPr>
          <w:p>
            <w:r>
              <w:rPr>
                <w:b/>
              </w:rPr>
              <w:t>Sequence and compute</w:t>
            </w:r>
          </w:p>
        </w:tc>
        <w:tc>
          <w:tcPr>
            <w:tcW w:type="dxa" w:w="7344"/>
            <w:vAlign w:val="center"/>
            <w:tcMar>
              <w:top w:w="100" w:type="dxa"/>
              <w:start w:w="120" w:type="dxa"/>
              <w:bottom w:w="100" w:type="dxa"/>
              <w:end w:w="120" w:type="dxa"/>
            </w:tcMar>
          </w:tcPr>
          <w:p>
            <w:r>
              <w:t>1024-token cutoff and FP16 on a T4 GPU</w:t>
            </w:r>
          </w:p>
        </w:tc>
      </w:tr>
    </w:tbl>
    <w:p>
      <w:pPr>
        <w:pStyle w:val="Heading2"/>
      </w:pPr>
      <w:r>
        <w:t>Training iteration</w:t>
      </w:r>
    </w:p>
    <w:p>
      <w:r>
        <w:t>An initial run on Qwen3 1.7B Base reached very low training loss but collapsed during autoregressive generation, repeating punctuation instead of producing JSON. I treated the smoke test as a release gate, rejected that model, switched to the conversational checkpoint, and reduced the learning rate. The second run produced coherent, traceable test cases on unseen appointment-booking stories.</w:t>
      </w:r>
    </w:p>
    <w:p>
      <w:pPr>
        <w:pStyle w:val="Heading1"/>
      </w:pPr>
      <w:r>
        <w:t>Evaluation</w:t>
      </w:r>
    </w:p>
    <w:p>
      <w:r>
        <w:t>The unchanged conversational base model and merged fine-tuned model received the same prompt, deterministic decoding, and 20 held-out examples. Exact-match accuracy would penalize valid wording differences, so I measured structural validity, requirement coverage, test breadth, and reference similarity.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1800"/>
        <w:gridCol w:w="1944"/>
        <w:gridCol w:w="1584"/>
      </w:tblGrid>
      <w:tr>
        <w:tc>
          <w:tcPr>
            <w:tcW w:type="dxa" w:w="2498"/>
            <w:shd w:fill="243B53"/>
            <w:vAlign w:val="center"/>
            <w:tcMar>
              <w:top w:w="100" w:type="dxa"/>
              <w:start w:w="120" w:type="dxa"/>
              <w:bottom w:w="100" w:type="dxa"/>
              <w:end w:w="120" w:type="dxa"/>
            </w:tcMar>
          </w:tcPr>
          <w:p>
            <w:r>
              <w:rPr>
                <w:b/>
                <w:color w:val="FFFFFF"/>
              </w:rPr>
              <w:t>Metric</w:t>
            </w:r>
          </w:p>
        </w:tc>
        <w:tc>
          <w:tcPr>
            <w:tcW w:type="dxa" w:w="2498"/>
            <w:shd w:fill="243B53"/>
            <w:vAlign w:val="center"/>
            <w:tcMar>
              <w:top w:w="100" w:type="dxa"/>
              <w:start w:w="120" w:type="dxa"/>
              <w:bottom w:w="100" w:type="dxa"/>
              <w:end w:w="120" w:type="dxa"/>
            </w:tcMar>
          </w:tcPr>
          <w:p>
            <w:r>
              <w:rPr>
                <w:b/>
                <w:color w:val="FFFFFF"/>
              </w:rPr>
              <w:t>Base</w:t>
            </w:r>
          </w:p>
        </w:tc>
        <w:tc>
          <w:tcPr>
            <w:tcW w:type="dxa" w:w="2498"/>
            <w:shd w:fill="243B53"/>
            <w:vAlign w:val="center"/>
            <w:tcMar>
              <w:top w:w="100" w:type="dxa"/>
              <w:start w:w="120" w:type="dxa"/>
              <w:bottom w:w="100" w:type="dxa"/>
              <w:end w:w="120" w:type="dxa"/>
            </w:tcMar>
          </w:tcPr>
          <w:p>
            <w:r>
              <w:rPr>
                <w:b/>
                <w:color w:val="FFFFFF"/>
              </w:rPr>
              <w:t>Fine tuned</w:t>
            </w:r>
          </w:p>
        </w:tc>
        <w:tc>
          <w:tcPr>
            <w:tcW w:type="dxa" w:w="2498"/>
            <w:shd w:fill="243B53"/>
            <w:vAlign w:val="center"/>
            <w:tcMar>
              <w:top w:w="100" w:type="dxa"/>
              <w:start w:w="120" w:type="dxa"/>
              <w:bottom w:w="100" w:type="dxa"/>
              <w:end w:w="120" w:type="dxa"/>
            </w:tcMar>
          </w:tcPr>
          <w:p>
            <w:r>
              <w:rPr>
                <w:b/>
                <w:color w:val="FFFFFF"/>
              </w:rPr>
              <w:t>Delta</w:t>
            </w:r>
          </w:p>
        </w:tc>
      </w:tr>
      <w:tr>
        <w:tc>
          <w:tcPr>
            <w:tcW w:type="dxa" w:w="4320"/>
            <w:vAlign w:val="center"/>
            <w:tcMar>
              <w:top w:w="100" w:type="dxa"/>
              <w:start w:w="120" w:type="dxa"/>
              <w:bottom w:w="100" w:type="dxa"/>
              <w:end w:w="120" w:type="dxa"/>
            </w:tcMar>
          </w:tcPr>
          <w:p>
            <w:pPr>
              <w:jc w:val="left"/>
            </w:pPr>
            <w:r>
              <w:t>JSON validity</w:t>
            </w:r>
          </w:p>
        </w:tc>
        <w:tc>
          <w:tcPr>
            <w:tcW w:type="dxa" w:w="1800"/>
            <w:vAlign w:val="center"/>
            <w:tcMar>
              <w:top w:w="100" w:type="dxa"/>
              <w:start w:w="120" w:type="dxa"/>
              <w:bottom w:w="100" w:type="dxa"/>
              <w:end w:w="120" w:type="dxa"/>
            </w:tcMar>
          </w:tcPr>
          <w:p>
            <w:pPr>
              <w:jc w:val="center"/>
            </w:pPr>
            <w:r>
              <w:t>100%</w:t>
            </w:r>
          </w:p>
        </w:tc>
        <w:tc>
          <w:tcPr>
            <w:tcW w:type="dxa" w:w="1944"/>
            <w:vAlign w:val="center"/>
            <w:tcMar>
              <w:top w:w="100" w:type="dxa"/>
              <w:start w:w="120" w:type="dxa"/>
              <w:bottom w:w="100" w:type="dxa"/>
              <w:end w:w="120" w:type="dxa"/>
            </w:tcMar>
          </w:tcPr>
          <w:p>
            <w:pPr>
              <w:jc w:val="center"/>
            </w:pPr>
            <w:r>
              <w:t>100%</w:t>
            </w:r>
          </w:p>
        </w:tc>
        <w:tc>
          <w:tcPr>
            <w:tcW w:type="dxa" w:w="1584"/>
            <w:vAlign w:val="center"/>
            <w:tcMar>
              <w:top w:w="100" w:type="dxa"/>
              <w:start w:w="120" w:type="dxa"/>
              <w:bottom w:w="100" w:type="dxa"/>
              <w:end w:w="120" w:type="dxa"/>
            </w:tcMar>
          </w:tcPr>
          <w:p>
            <w:pPr>
              <w:jc w:val="center"/>
            </w:pPr>
            <w:r>
              <w:t>0 pp</w:t>
            </w:r>
          </w:p>
        </w:tc>
      </w:tr>
      <w:tr>
        <w:tc>
          <w:tcPr>
            <w:tcW w:type="dxa" w:w="4320"/>
            <w:shd w:fill="F3F6FA"/>
            <w:vAlign w:val="center"/>
            <w:tcMar>
              <w:top w:w="100" w:type="dxa"/>
              <w:start w:w="120" w:type="dxa"/>
              <w:bottom w:w="100" w:type="dxa"/>
              <w:end w:w="120" w:type="dxa"/>
            </w:tcMar>
          </w:tcPr>
          <w:p>
            <w:pPr>
              <w:jc w:val="left"/>
            </w:pPr>
            <w:r>
              <w:t>Schema validity</w:t>
            </w:r>
          </w:p>
        </w:tc>
        <w:tc>
          <w:tcPr>
            <w:tcW w:type="dxa" w:w="1800"/>
            <w:shd w:fill="F3F6FA"/>
            <w:vAlign w:val="center"/>
            <w:tcMar>
              <w:top w:w="100" w:type="dxa"/>
              <w:start w:w="120" w:type="dxa"/>
              <w:bottom w:w="100" w:type="dxa"/>
              <w:end w:w="120" w:type="dxa"/>
            </w:tcMar>
          </w:tcPr>
          <w:p>
            <w:pPr>
              <w:jc w:val="center"/>
            </w:pPr>
            <w:r>
              <w:t>80%</w:t>
            </w:r>
          </w:p>
        </w:tc>
        <w:tc>
          <w:tcPr>
            <w:tcW w:type="dxa" w:w="1944"/>
            <w:shd w:fill="F3F6FA"/>
            <w:vAlign w:val="center"/>
            <w:tcMar>
              <w:top w:w="100" w:type="dxa"/>
              <w:start w:w="120" w:type="dxa"/>
              <w:bottom w:w="100" w:type="dxa"/>
              <w:end w:w="120" w:type="dxa"/>
            </w:tcMar>
          </w:tcPr>
          <w:p>
            <w:pPr>
              <w:jc w:val="center"/>
            </w:pPr>
            <w:r>
              <w:t>75%</w:t>
            </w:r>
          </w:p>
        </w:tc>
        <w:tc>
          <w:tcPr>
            <w:tcW w:type="dxa" w:w="1584"/>
            <w:shd w:fill="F3F6FA"/>
            <w:vAlign w:val="center"/>
            <w:tcMar>
              <w:top w:w="100" w:type="dxa"/>
              <w:start w:w="120" w:type="dxa"/>
              <w:bottom w:w="100" w:type="dxa"/>
              <w:end w:w="120" w:type="dxa"/>
            </w:tcMar>
          </w:tcPr>
          <w:p>
            <w:pPr>
              <w:jc w:val="center"/>
            </w:pPr>
            <w:r>
              <w:t>-5 pp</w:t>
            </w:r>
          </w:p>
        </w:tc>
      </w:tr>
      <w:tr>
        <w:tc>
          <w:tcPr>
            <w:tcW w:type="dxa" w:w="4320"/>
            <w:vAlign w:val="center"/>
            <w:tcMar>
              <w:top w:w="100" w:type="dxa"/>
              <w:start w:w="120" w:type="dxa"/>
              <w:bottom w:w="100" w:type="dxa"/>
              <w:end w:w="120" w:type="dxa"/>
            </w:tcMar>
          </w:tcPr>
          <w:p>
            <w:pPr>
              <w:jc w:val="left"/>
            </w:pPr>
            <w:r>
              <w:t>AC coverage</w:t>
            </w:r>
          </w:p>
        </w:tc>
        <w:tc>
          <w:tcPr>
            <w:tcW w:type="dxa" w:w="1800"/>
            <w:vAlign w:val="center"/>
            <w:tcMar>
              <w:top w:w="100" w:type="dxa"/>
              <w:start w:w="120" w:type="dxa"/>
              <w:bottom w:w="100" w:type="dxa"/>
              <w:end w:w="120" w:type="dxa"/>
            </w:tcMar>
          </w:tcPr>
          <w:p>
            <w:pPr>
              <w:jc w:val="center"/>
            </w:pPr>
            <w:r>
              <w:t>100%</w:t>
            </w:r>
          </w:p>
        </w:tc>
        <w:tc>
          <w:tcPr>
            <w:tcW w:type="dxa" w:w="1944"/>
            <w:vAlign w:val="center"/>
            <w:tcMar>
              <w:top w:w="100" w:type="dxa"/>
              <w:start w:w="120" w:type="dxa"/>
              <w:bottom w:w="100" w:type="dxa"/>
              <w:end w:w="120" w:type="dxa"/>
            </w:tcMar>
          </w:tcPr>
          <w:p>
            <w:pPr>
              <w:jc w:val="center"/>
            </w:pPr>
            <w:r>
              <w:t>100%</w:t>
            </w:r>
          </w:p>
        </w:tc>
        <w:tc>
          <w:tcPr>
            <w:tcW w:type="dxa" w:w="1584"/>
            <w:vAlign w:val="center"/>
            <w:tcMar>
              <w:top w:w="100" w:type="dxa"/>
              <w:start w:w="120" w:type="dxa"/>
              <w:bottom w:w="100" w:type="dxa"/>
              <w:end w:w="120" w:type="dxa"/>
            </w:tcMar>
          </w:tcPr>
          <w:p>
            <w:pPr>
              <w:jc w:val="center"/>
            </w:pPr>
            <w:r>
              <w:t>0 pp</w:t>
            </w:r>
          </w:p>
        </w:tc>
      </w:tr>
      <w:tr>
        <w:tc>
          <w:tcPr>
            <w:tcW w:type="dxa" w:w="4320"/>
            <w:shd w:fill="F3F6FA"/>
            <w:vAlign w:val="center"/>
            <w:tcMar>
              <w:top w:w="100" w:type="dxa"/>
              <w:start w:w="120" w:type="dxa"/>
              <w:bottom w:w="100" w:type="dxa"/>
              <w:end w:w="120" w:type="dxa"/>
            </w:tcMar>
          </w:tcPr>
          <w:p>
            <w:pPr>
              <w:jc w:val="left"/>
            </w:pPr>
            <w:r>
              <w:t>Test type coverage</w:t>
            </w:r>
          </w:p>
        </w:tc>
        <w:tc>
          <w:tcPr>
            <w:tcW w:type="dxa" w:w="1800"/>
            <w:shd w:fill="F3F6FA"/>
            <w:vAlign w:val="center"/>
            <w:tcMar>
              <w:top w:w="100" w:type="dxa"/>
              <w:start w:w="120" w:type="dxa"/>
              <w:bottom w:w="100" w:type="dxa"/>
              <w:end w:w="120" w:type="dxa"/>
            </w:tcMar>
          </w:tcPr>
          <w:p>
            <w:pPr>
              <w:jc w:val="center"/>
            </w:pPr>
            <w:r>
              <w:t>50%</w:t>
            </w:r>
          </w:p>
        </w:tc>
        <w:tc>
          <w:tcPr>
            <w:tcW w:type="dxa" w:w="1944"/>
            <w:shd w:fill="F3F6FA"/>
            <w:vAlign w:val="center"/>
            <w:tcMar>
              <w:top w:w="100" w:type="dxa"/>
              <w:start w:w="120" w:type="dxa"/>
              <w:bottom w:w="100" w:type="dxa"/>
              <w:end w:w="120" w:type="dxa"/>
            </w:tcMar>
          </w:tcPr>
          <w:p>
            <w:pPr>
              <w:jc w:val="center"/>
            </w:pPr>
            <w:r>
              <w:t>52%</w:t>
            </w:r>
          </w:p>
        </w:tc>
        <w:tc>
          <w:tcPr>
            <w:tcW w:type="dxa" w:w="1584"/>
            <w:shd w:fill="F3F6FA"/>
            <w:vAlign w:val="center"/>
            <w:tcMar>
              <w:top w:w="100" w:type="dxa"/>
              <w:start w:w="120" w:type="dxa"/>
              <w:bottom w:w="100" w:type="dxa"/>
              <w:end w:w="120" w:type="dxa"/>
            </w:tcMar>
          </w:tcPr>
          <w:p>
            <w:pPr>
              <w:jc w:val="center"/>
            </w:pPr>
            <w:r>
              <w:t>+2 pp</w:t>
            </w:r>
          </w:p>
        </w:tc>
      </w:tr>
      <w:tr>
        <w:tc>
          <w:tcPr>
            <w:tcW w:type="dxa" w:w="4320"/>
            <w:vAlign w:val="center"/>
            <w:tcMar>
              <w:top w:w="100" w:type="dxa"/>
              <w:start w:w="120" w:type="dxa"/>
              <w:bottom w:w="100" w:type="dxa"/>
              <w:end w:w="120" w:type="dxa"/>
            </w:tcMar>
          </w:tcPr>
          <w:p>
            <w:pPr>
              <w:jc w:val="left"/>
            </w:pPr>
            <w:r>
              <w:t>ROUGE L</w:t>
            </w:r>
          </w:p>
        </w:tc>
        <w:tc>
          <w:tcPr>
            <w:tcW w:type="dxa" w:w="1800"/>
            <w:vAlign w:val="center"/>
            <w:tcMar>
              <w:top w:w="100" w:type="dxa"/>
              <w:start w:w="120" w:type="dxa"/>
              <w:bottom w:w="100" w:type="dxa"/>
              <w:end w:w="120" w:type="dxa"/>
            </w:tcMar>
          </w:tcPr>
          <w:p>
            <w:pPr>
              <w:jc w:val="center"/>
            </w:pPr>
            <w:r>
              <w:t>51%</w:t>
            </w:r>
          </w:p>
        </w:tc>
        <w:tc>
          <w:tcPr>
            <w:tcW w:type="dxa" w:w="1944"/>
            <w:vAlign w:val="center"/>
            <w:tcMar>
              <w:top w:w="100" w:type="dxa"/>
              <w:start w:w="120" w:type="dxa"/>
              <w:bottom w:w="100" w:type="dxa"/>
              <w:end w:w="120" w:type="dxa"/>
            </w:tcMar>
          </w:tcPr>
          <w:p>
            <w:pPr>
              <w:jc w:val="center"/>
            </w:pPr>
            <w:r>
              <w:t>52%</w:t>
            </w:r>
          </w:p>
        </w:tc>
        <w:tc>
          <w:tcPr>
            <w:tcW w:type="dxa" w:w="1584"/>
            <w:vAlign w:val="center"/>
            <w:tcMar>
              <w:top w:w="100" w:type="dxa"/>
              <w:start w:w="120" w:type="dxa"/>
              <w:bottom w:w="100" w:type="dxa"/>
              <w:end w:w="120" w:type="dxa"/>
            </w:tcMar>
          </w:tcPr>
          <w:p>
            <w:pPr>
              <w:jc w:val="center"/>
            </w:pPr>
            <w:r>
              <w:t>+1 pp</w:t>
            </w:r>
          </w:p>
        </w:tc>
      </w:tr>
      <w:tr>
        <w:tc>
          <w:tcPr>
            <w:tcW w:type="dxa" w:w="4320"/>
            <w:shd w:fill="F3F6FA"/>
            <w:vAlign w:val="center"/>
            <w:tcMar>
              <w:top w:w="100" w:type="dxa"/>
              <w:start w:w="120" w:type="dxa"/>
              <w:bottom w:w="100" w:type="dxa"/>
              <w:end w:w="120" w:type="dxa"/>
            </w:tcMar>
          </w:tcPr>
          <w:p>
            <w:pPr>
              <w:jc w:val="left"/>
            </w:pPr>
            <w:r>
              <w:rPr>
                <w:b/>
              </w:rPr>
              <w:t>Overall mean</w:t>
            </w:r>
          </w:p>
        </w:tc>
        <w:tc>
          <w:tcPr>
            <w:tcW w:type="dxa" w:w="1800"/>
            <w:shd w:fill="F3F6FA"/>
            <w:vAlign w:val="center"/>
            <w:tcMar>
              <w:top w:w="100" w:type="dxa"/>
              <w:start w:w="120" w:type="dxa"/>
              <w:bottom w:w="100" w:type="dxa"/>
              <w:end w:w="120" w:type="dxa"/>
            </w:tcMar>
          </w:tcPr>
          <w:p>
            <w:pPr>
              <w:jc w:val="center"/>
            </w:pPr>
            <w:r>
              <w:rPr>
                <w:b/>
              </w:rPr>
              <w:t>76.2%</w:t>
            </w:r>
          </w:p>
        </w:tc>
        <w:tc>
          <w:tcPr>
            <w:tcW w:type="dxa" w:w="1944"/>
            <w:shd w:fill="F3F6FA"/>
            <w:vAlign w:val="center"/>
            <w:tcMar>
              <w:top w:w="100" w:type="dxa"/>
              <w:start w:w="120" w:type="dxa"/>
              <w:bottom w:w="100" w:type="dxa"/>
              <w:end w:w="120" w:type="dxa"/>
            </w:tcMar>
          </w:tcPr>
          <w:p>
            <w:pPr>
              <w:jc w:val="center"/>
            </w:pPr>
            <w:r>
              <w:rPr>
                <w:b/>
              </w:rPr>
              <w:t>75.7%</w:t>
            </w:r>
          </w:p>
        </w:tc>
        <w:tc>
          <w:tcPr>
            <w:tcW w:type="dxa" w:w="1584"/>
            <w:shd w:fill="F3F6FA"/>
            <w:vAlign w:val="center"/>
            <w:tcMar>
              <w:top w:w="100" w:type="dxa"/>
              <w:start w:w="120" w:type="dxa"/>
              <w:bottom w:w="100" w:type="dxa"/>
              <w:end w:w="120" w:type="dxa"/>
            </w:tcMar>
          </w:tcPr>
          <w:p>
            <w:pPr>
              <w:jc w:val="center"/>
            </w:pPr>
            <w:r>
              <w:rPr>
                <w:b/>
              </w:rPr>
              <w:t>-0.5 pp</w:t>
            </w:r>
          </w:p>
        </w:tc>
      </w:tr>
    </w:tbl>
    <w:p>
      <w:pPr>
        <w:pStyle w:val="Heading1"/>
      </w:pPr>
      <w:r>
        <w:t>Interpretation</w:t>
      </w:r>
    </w:p>
    <w:p>
      <w:r>
        <w:t>Fine-tuning preserved perfect JSON validity and acceptance-criteria coverage and produced small gains in test-type coverage and ROUGE-L. Strict schema validity fell from 80% to 75%, leaving the composite score 0.5 percentage points below the base model. All five structural failures came from the held-out appointment-booking family, where expected_result was returned as a useful nonempty array rather than the required string.</w:t>
      </w:r>
    </w:p>
    <w:p>
      <w:r>
        <w:t>The content was coherent, but downstream integrations depend on the declared field types. I would not deploy this adapter over the base model on the current evidence. A further experiment should make every field type explicit, add diverse examples containing multi-part outcomes represented as single strings, and compare additional epochs against the same untouched validation set.</w:t>
      </w:r>
    </w:p>
    <w:p>
      <w:pPr>
        <w:pStyle w:val="Heading1"/>
      </w:pPr>
      <w:r>
        <w:t>Notebook evidence</w:t>
      </w:r>
    </w:p>
    <w:p>
      <w:r>
        <w:t>Before submitting, insert the screenshot from the final notebook cell directly below this paragraph. The screenshot should show EXPERIMENT COMPLETE, both model scores, the 20 held-out examples, and the -0.5 percentage-point result.</w:t>
      </w:r>
    </w:p>
    <w:p>
      <w:pPr>
        <w:jc w:val="center"/>
      </w:pPr>
      <w:r>
        <w:rPr>
          <w:b/>
          <w:color w:val="505050"/>
          <w:sz w:val="24"/>
        </w:rPr>
        <w:t>Insert final notebook screenshot here</w:t>
      </w:r>
    </w:p>
    <w:p>
      <w:pPr>
        <w:pStyle w:val="Heading1"/>
      </w:pPr>
      <w:r>
        <w:t>Limitations</w:t>
      </w:r>
    </w:p>
    <w:p>
      <w:r>
        <w:t>The dataset is synthetic and small. Structural metrics do not prove that every test is logically sufficient or free from unsupported assumptions. Production evaluation should use de-identified, QA-reviewed stories and human ratings for correctness, duplication, risk coverage, and actionability. Human review should remain in the workflow until performance is validated on real product requirements.</w:t>
      </w:r>
    </w:p>
    <w:sectPr w:rsidR="00FC693F" w:rsidRPr="0006063C" w:rsidSect="00034616">
      <w:pgSz w:w="12240" w:h="15840"/>
      <w:pgMar w:top="893"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