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ABAED" w14:textId="77777777" w:rsidR="00AA2EF0" w:rsidRPr="00AA2EF0" w:rsidRDefault="00AA2EF0" w:rsidP="00AA2EF0">
      <w:pPr>
        <w:rPr>
          <w:b/>
          <w:bCs/>
        </w:rPr>
      </w:pPr>
      <w:r w:rsidRPr="00AA2EF0">
        <w:rPr>
          <w:b/>
          <w:bCs/>
        </w:rPr>
        <w:t>  Analysis of the File:</w:t>
      </w:r>
    </w:p>
    <w:p w14:paraId="13C20811" w14:textId="77777777" w:rsidR="00AA2EF0" w:rsidRPr="00AA2EF0" w:rsidRDefault="00AA2EF0" w:rsidP="00AA2EF0">
      <w:pPr>
        <w:numPr>
          <w:ilvl w:val="0"/>
          <w:numId w:val="8"/>
        </w:numPr>
      </w:pPr>
      <w:r w:rsidRPr="00AA2EF0">
        <w:t xml:space="preserve">○ </w:t>
      </w:r>
      <w:r w:rsidRPr="00AA2EF0">
        <w:rPr>
          <w:b/>
          <w:bCs/>
        </w:rPr>
        <w:t>Dataset Overview</w:t>
      </w:r>
      <w:r w:rsidRPr="00AA2EF0">
        <w:t>: Understand the dataset's structure, including its dimensions and measures.</w:t>
      </w:r>
    </w:p>
    <w:p w14:paraId="15BC3238" w14:textId="77777777" w:rsidR="00AA2EF0" w:rsidRPr="00AA2EF0" w:rsidRDefault="00AA2EF0" w:rsidP="00AA2EF0">
      <w:pPr>
        <w:numPr>
          <w:ilvl w:val="0"/>
          <w:numId w:val="8"/>
        </w:numPr>
      </w:pPr>
      <w:r w:rsidRPr="00AA2EF0">
        <w:t xml:space="preserve">○ </w:t>
      </w:r>
      <w:r w:rsidRPr="00AA2EF0">
        <w:rPr>
          <w:b/>
          <w:bCs/>
        </w:rPr>
        <w:t>Data Cleaning</w:t>
      </w:r>
      <w:r w:rsidRPr="00AA2EF0">
        <w:t>: Verify if the data has been cleaned and prepared for visualization, ensuring there are no missing or inconsistent values.</w:t>
      </w:r>
    </w:p>
    <w:p w14:paraId="6FDF511A" w14:textId="77777777" w:rsidR="00AA2EF0" w:rsidRPr="00AA2EF0" w:rsidRDefault="00AA2EF0" w:rsidP="00AA2EF0">
      <w:pPr>
        <w:numPr>
          <w:ilvl w:val="0"/>
          <w:numId w:val="8"/>
        </w:numPr>
      </w:pPr>
      <w:r w:rsidRPr="00AA2EF0">
        <w:t xml:space="preserve">○ </w:t>
      </w:r>
      <w:r w:rsidRPr="00AA2EF0">
        <w:rPr>
          <w:b/>
          <w:bCs/>
        </w:rPr>
        <w:t>Visualization Review</w:t>
      </w:r>
      <w:r w:rsidRPr="00AA2EF0">
        <w:t>: Examine the existing visualizations to understand their insights, effectiveness, and areas for improvement.</w:t>
      </w:r>
    </w:p>
    <w:p w14:paraId="65374C94" w14:textId="77777777" w:rsidR="00AA2EF0" w:rsidRPr="00AA2EF0" w:rsidRDefault="00AA2EF0" w:rsidP="00AA2EF0">
      <w:pPr>
        <w:rPr>
          <w:b/>
          <w:bCs/>
        </w:rPr>
      </w:pPr>
      <w:r w:rsidRPr="00AA2EF0">
        <w:rPr>
          <w:b/>
          <w:bCs/>
        </w:rPr>
        <w:t>  Importance of Data Visualization:</w:t>
      </w:r>
    </w:p>
    <w:p w14:paraId="1581A69B" w14:textId="77777777" w:rsidR="00AA2EF0" w:rsidRPr="00AA2EF0" w:rsidRDefault="00AA2EF0" w:rsidP="00AA2EF0">
      <w:pPr>
        <w:numPr>
          <w:ilvl w:val="0"/>
          <w:numId w:val="9"/>
        </w:numPr>
      </w:pPr>
      <w:r w:rsidRPr="00AA2EF0">
        <w:t xml:space="preserve">○ </w:t>
      </w:r>
      <w:r w:rsidRPr="00AA2EF0">
        <w:rPr>
          <w:b/>
          <w:bCs/>
        </w:rPr>
        <w:t>Insight Generation</w:t>
      </w:r>
      <w:r w:rsidRPr="00AA2EF0">
        <w:t>: Data visualization helps in generating insights by presenting data in a graphical format.</w:t>
      </w:r>
    </w:p>
    <w:p w14:paraId="29E13DCF" w14:textId="77777777" w:rsidR="00AA2EF0" w:rsidRPr="00AA2EF0" w:rsidRDefault="00AA2EF0" w:rsidP="00AA2EF0">
      <w:pPr>
        <w:numPr>
          <w:ilvl w:val="0"/>
          <w:numId w:val="9"/>
        </w:numPr>
      </w:pPr>
      <w:r w:rsidRPr="00AA2EF0">
        <w:t xml:space="preserve">○ </w:t>
      </w:r>
      <w:r w:rsidRPr="00AA2EF0">
        <w:rPr>
          <w:b/>
          <w:bCs/>
        </w:rPr>
        <w:t>Trend Identification</w:t>
      </w:r>
      <w:r w:rsidRPr="00AA2EF0">
        <w:t>: Visualizations make it easier to identify trends, patterns, and anomalies in the data.</w:t>
      </w:r>
    </w:p>
    <w:p w14:paraId="410CFC33" w14:textId="77777777" w:rsidR="00AA2EF0" w:rsidRPr="00AA2EF0" w:rsidRDefault="00AA2EF0" w:rsidP="00AA2EF0">
      <w:pPr>
        <w:numPr>
          <w:ilvl w:val="0"/>
          <w:numId w:val="9"/>
        </w:numPr>
      </w:pPr>
      <w:r w:rsidRPr="00AA2EF0">
        <w:t xml:space="preserve">○ </w:t>
      </w:r>
      <w:r w:rsidRPr="00AA2EF0">
        <w:rPr>
          <w:b/>
          <w:bCs/>
        </w:rPr>
        <w:t>Decision Making</w:t>
      </w:r>
      <w:r w:rsidRPr="00AA2EF0">
        <w:t>: Effective visuals aid in making data-driven decisions.</w:t>
      </w:r>
    </w:p>
    <w:p w14:paraId="2A340DBD" w14:textId="77777777" w:rsidR="00AA2EF0" w:rsidRPr="00AA2EF0" w:rsidRDefault="00AA2EF0" w:rsidP="00AA2EF0">
      <w:pPr>
        <w:numPr>
          <w:ilvl w:val="0"/>
          <w:numId w:val="9"/>
        </w:numPr>
      </w:pPr>
      <w:r w:rsidRPr="00AA2EF0">
        <w:t xml:space="preserve">○ </w:t>
      </w:r>
      <w:r w:rsidRPr="00AA2EF0">
        <w:rPr>
          <w:b/>
          <w:bCs/>
        </w:rPr>
        <w:t>Communication</w:t>
      </w:r>
      <w:r w:rsidRPr="00AA2EF0">
        <w:t>: Visuals communicate complex data in a simple and understandable way.</w:t>
      </w:r>
    </w:p>
    <w:p w14:paraId="29FFE401" w14:textId="77777777" w:rsidR="00AA2EF0" w:rsidRPr="00AA2EF0" w:rsidRDefault="00AA2EF0" w:rsidP="00AA2EF0">
      <w:pPr>
        <w:rPr>
          <w:b/>
          <w:bCs/>
        </w:rPr>
      </w:pPr>
      <w:r w:rsidRPr="00AA2EF0">
        <w:rPr>
          <w:b/>
          <w:bCs/>
        </w:rPr>
        <w:t>  Visualization in Tableau:</w:t>
      </w:r>
    </w:p>
    <w:p w14:paraId="58DAB3C2" w14:textId="77777777" w:rsidR="00AA2EF0" w:rsidRPr="00AA2EF0" w:rsidRDefault="00AA2EF0" w:rsidP="00AA2EF0">
      <w:pPr>
        <w:numPr>
          <w:ilvl w:val="0"/>
          <w:numId w:val="10"/>
        </w:numPr>
      </w:pPr>
      <w:r w:rsidRPr="00AA2EF0">
        <w:t xml:space="preserve">○ </w:t>
      </w:r>
      <w:r w:rsidRPr="00AA2EF0">
        <w:rPr>
          <w:b/>
          <w:bCs/>
        </w:rPr>
        <w:t>Dashboards</w:t>
      </w:r>
      <w:r w:rsidRPr="00AA2EF0">
        <w:t>: Tableau dashboards combine multiple views and provide an interactive interface for exploring data.</w:t>
      </w:r>
    </w:p>
    <w:p w14:paraId="592EF88F" w14:textId="77777777" w:rsidR="00AA2EF0" w:rsidRPr="00AA2EF0" w:rsidRDefault="00AA2EF0" w:rsidP="00AA2EF0">
      <w:pPr>
        <w:numPr>
          <w:ilvl w:val="0"/>
          <w:numId w:val="10"/>
        </w:numPr>
      </w:pPr>
      <w:r w:rsidRPr="00AA2EF0">
        <w:t xml:space="preserve">○ </w:t>
      </w:r>
      <w:r w:rsidRPr="00AA2EF0">
        <w:rPr>
          <w:b/>
          <w:bCs/>
        </w:rPr>
        <w:t>Charts and Graphs</w:t>
      </w:r>
      <w:r w:rsidRPr="00AA2EF0">
        <w:t>: Use bar charts, line graphs, scatter plots, pie charts, and heat maps to represent different data aspects.</w:t>
      </w:r>
    </w:p>
    <w:p w14:paraId="7A02730B" w14:textId="77777777" w:rsidR="00AA2EF0" w:rsidRPr="00AA2EF0" w:rsidRDefault="00AA2EF0" w:rsidP="00AA2EF0">
      <w:pPr>
        <w:numPr>
          <w:ilvl w:val="0"/>
          <w:numId w:val="10"/>
        </w:numPr>
      </w:pPr>
      <w:r w:rsidRPr="00AA2EF0">
        <w:lastRenderedPageBreak/>
        <w:t xml:space="preserve">○ </w:t>
      </w:r>
      <w:r w:rsidRPr="00AA2EF0">
        <w:rPr>
          <w:b/>
          <w:bCs/>
        </w:rPr>
        <w:t>Filters and Parameters</w:t>
      </w:r>
      <w:r w:rsidRPr="00AA2EF0">
        <w:t>: Add interactivity with filters and parameters to allow users to customize their view.</w:t>
      </w:r>
    </w:p>
    <w:p w14:paraId="4B0458D1" w14:textId="77777777" w:rsidR="00AA2EF0" w:rsidRPr="00AA2EF0" w:rsidRDefault="00AA2EF0" w:rsidP="00AA2EF0">
      <w:pPr>
        <w:numPr>
          <w:ilvl w:val="0"/>
          <w:numId w:val="10"/>
        </w:numPr>
      </w:pPr>
      <w:r w:rsidRPr="00AA2EF0">
        <w:t xml:space="preserve">○ </w:t>
      </w:r>
      <w:r w:rsidRPr="00AA2EF0">
        <w:rPr>
          <w:b/>
          <w:bCs/>
        </w:rPr>
        <w:t>Calculated Fields</w:t>
      </w:r>
      <w:r w:rsidRPr="00AA2EF0">
        <w:t>: Create new fields to derive additional insights from the existing data.</w:t>
      </w:r>
    </w:p>
    <w:p w14:paraId="00D03274" w14:textId="77777777" w:rsidR="00AA2EF0" w:rsidRPr="00AA2EF0" w:rsidRDefault="00AA2EF0" w:rsidP="00AA2EF0">
      <w:r w:rsidRPr="00AA2EF0">
        <w:t xml:space="preserve">  </w:t>
      </w:r>
      <w:r w:rsidRPr="00AA2EF0">
        <w:rPr>
          <w:b/>
          <w:bCs/>
        </w:rPr>
        <w:t>To proceed with the analysis and visualization review, follow these steps</w:t>
      </w:r>
      <w:r w:rsidRPr="00AA2EF0">
        <w:t>:</w:t>
      </w:r>
    </w:p>
    <w:p w14:paraId="4E2C4E87" w14:textId="77777777" w:rsidR="00AA2EF0" w:rsidRPr="00AA2EF0" w:rsidRDefault="00AA2EF0" w:rsidP="00AA2EF0">
      <w:pPr>
        <w:numPr>
          <w:ilvl w:val="0"/>
          <w:numId w:val="11"/>
        </w:numPr>
      </w:pPr>
      <w:r w:rsidRPr="00AA2EF0">
        <w:t xml:space="preserve">○ </w:t>
      </w:r>
      <w:r w:rsidRPr="00AA2EF0">
        <w:rPr>
          <w:b/>
          <w:bCs/>
        </w:rPr>
        <w:t>Open the File</w:t>
      </w:r>
      <w:r w:rsidRPr="00AA2EF0">
        <w:t>: Open dashboard of super store.twb in Tableau Desktop or Tableau Public.</w:t>
      </w:r>
    </w:p>
    <w:p w14:paraId="14CD6857" w14:textId="77777777" w:rsidR="00AA2EF0" w:rsidRPr="00AA2EF0" w:rsidRDefault="00AA2EF0" w:rsidP="00AA2EF0">
      <w:pPr>
        <w:numPr>
          <w:ilvl w:val="0"/>
          <w:numId w:val="11"/>
        </w:numPr>
      </w:pPr>
      <w:r w:rsidRPr="00AA2EF0">
        <w:t xml:space="preserve">○ </w:t>
      </w:r>
      <w:r w:rsidRPr="00AA2EF0">
        <w:rPr>
          <w:b/>
          <w:bCs/>
        </w:rPr>
        <w:t>Analyze Calculated Fields and Parameters</w:t>
      </w:r>
      <w:r w:rsidRPr="00AA2EF0">
        <w:t>: Check for any calculated fields or parameters used in the visualizations and understand their role in enhancing the data insights.</w:t>
      </w:r>
    </w:p>
    <w:p w14:paraId="272881A3" w14:textId="77777777" w:rsidR="00AA2EF0" w:rsidRPr="00AA2EF0" w:rsidRDefault="00AA2EF0" w:rsidP="00AA2EF0">
      <w:pPr>
        <w:numPr>
          <w:ilvl w:val="0"/>
          <w:numId w:val="11"/>
        </w:numPr>
      </w:pPr>
      <w:r w:rsidRPr="00AA2EF0">
        <w:t xml:space="preserve">○ </w:t>
      </w:r>
      <w:r w:rsidRPr="00AA2EF0">
        <w:rPr>
          <w:b/>
          <w:bCs/>
        </w:rPr>
        <w:t>Evaluate Interactivity</w:t>
      </w:r>
      <w:r w:rsidRPr="00AA2EF0">
        <w:t>: Assess the interactivity of the dashboards, such as filters, actions, and tooltips.</w:t>
      </w:r>
    </w:p>
    <w:p w14:paraId="58020E40" w14:textId="77777777" w:rsidR="00AA2EF0" w:rsidRPr="00AA2EF0" w:rsidRDefault="00AA2EF0" w:rsidP="00AA2EF0">
      <w:pPr>
        <w:numPr>
          <w:ilvl w:val="0"/>
          <w:numId w:val="11"/>
        </w:numPr>
      </w:pPr>
      <w:r w:rsidRPr="00AA2EF0">
        <w:t xml:space="preserve">○ </w:t>
      </w:r>
      <w:r w:rsidRPr="00AA2EF0">
        <w:rPr>
          <w:b/>
          <w:bCs/>
        </w:rPr>
        <w:t>Identify Key Visualizations</w:t>
      </w:r>
      <w:r w:rsidRPr="00AA2EF0">
        <w:t>: Highlight the most important visualizations that provide valuable insights and consider creating new visualizations if there are gaps in the analysis.</w:t>
      </w:r>
    </w:p>
    <w:p w14:paraId="175438BF" w14:textId="4DB23E01" w:rsidR="00C433B2" w:rsidRPr="00AA2EF0" w:rsidRDefault="00C433B2" w:rsidP="00406590"/>
    <w:p w14:paraId="665E9939" w14:textId="5DD3F96F" w:rsidR="00FD7722" w:rsidRDefault="00FD7722" w:rsidP="00406590">
      <w:pPr>
        <w:rPr>
          <w:b/>
          <w:bCs/>
        </w:rPr>
      </w:pPr>
      <w:r>
        <w:rPr>
          <w:b/>
          <w:bCs/>
        </w:rPr>
        <w:t>1.</w:t>
      </w:r>
      <w:r w:rsidR="00160171" w:rsidRPr="000A31E2">
        <w:rPr>
          <w:b/>
          <w:bCs/>
          <w:sz w:val="24"/>
          <w:szCs w:val="32"/>
        </w:rPr>
        <w:t>Bar graph</w:t>
      </w:r>
      <w:r w:rsidR="00605895" w:rsidRPr="000A31E2">
        <w:rPr>
          <w:b/>
          <w:bCs/>
          <w:sz w:val="24"/>
          <w:szCs w:val="32"/>
        </w:rPr>
        <w:t xml:space="preserve"> of country</w:t>
      </w:r>
      <w:r w:rsidR="008E0EB8" w:rsidRPr="000A31E2">
        <w:rPr>
          <w:b/>
          <w:bCs/>
          <w:sz w:val="24"/>
          <w:szCs w:val="32"/>
        </w:rPr>
        <w:t xml:space="preserve"> and year wise total sales</w:t>
      </w:r>
    </w:p>
    <w:p w14:paraId="7F478C4D" w14:textId="77777777" w:rsidR="00FC72E8" w:rsidRPr="00FC72E8" w:rsidRDefault="00FC72E8" w:rsidP="00FC72E8">
      <w:pPr>
        <w:numPr>
          <w:ilvl w:val="0"/>
          <w:numId w:val="5"/>
        </w:numPr>
      </w:pPr>
      <w:r w:rsidRPr="00FC72E8">
        <w:rPr>
          <w:b/>
          <w:bCs/>
        </w:rPr>
        <w:t>Total Sales by Country</w:t>
      </w:r>
      <w:r w:rsidRPr="00FC72E8">
        <w:t>: Identify the most and least profitable markets by comparing total sales across countries.</w:t>
      </w:r>
    </w:p>
    <w:p w14:paraId="76DE61E7" w14:textId="77777777" w:rsidR="00FC72E8" w:rsidRPr="00FC72E8" w:rsidRDefault="00FC72E8" w:rsidP="00FC72E8">
      <w:pPr>
        <w:numPr>
          <w:ilvl w:val="0"/>
          <w:numId w:val="5"/>
        </w:numPr>
      </w:pPr>
      <w:r w:rsidRPr="00FC72E8">
        <w:rPr>
          <w:b/>
          <w:bCs/>
        </w:rPr>
        <w:lastRenderedPageBreak/>
        <w:t>Sales Distribution Across Order IDs</w:t>
      </w:r>
      <w:r w:rsidRPr="00FC72E8">
        <w:t>: Determine if sales are concentrated among a few large orders or spread across many smaller ones within each country.</w:t>
      </w:r>
    </w:p>
    <w:p w14:paraId="4C5EC58A" w14:textId="77777777" w:rsidR="00FC72E8" w:rsidRPr="00FC72E8" w:rsidRDefault="00FC72E8" w:rsidP="00FC72E8">
      <w:pPr>
        <w:numPr>
          <w:ilvl w:val="0"/>
          <w:numId w:val="5"/>
        </w:numPr>
      </w:pPr>
      <w:r w:rsidRPr="00FC72E8">
        <w:rPr>
          <w:b/>
          <w:bCs/>
        </w:rPr>
        <w:t>Sales Trends Over Years</w:t>
      </w:r>
      <w:r w:rsidRPr="00FC72E8">
        <w:t>: Recognize trends or patterns in sales over time if order IDs correspond to specific years.</w:t>
      </w:r>
    </w:p>
    <w:p w14:paraId="3630EADA" w14:textId="0E275812" w:rsidR="00FC72E8" w:rsidRPr="00FC72E8" w:rsidRDefault="00FC72E8" w:rsidP="00FC72E8">
      <w:pPr>
        <w:numPr>
          <w:ilvl w:val="0"/>
          <w:numId w:val="5"/>
        </w:numPr>
      </w:pPr>
      <w:r w:rsidRPr="00FC72E8">
        <w:rPr>
          <w:b/>
          <w:bCs/>
        </w:rPr>
        <w:t>Sales Performance Comparison</w:t>
      </w:r>
      <w:r w:rsidRPr="00FC72E8">
        <w:t>: Spot anomalies where certain order IDs outperform or underperform.</w:t>
      </w:r>
    </w:p>
    <w:p w14:paraId="0DAE71AF" w14:textId="77777777" w:rsidR="00FC72E8" w:rsidRPr="00FC72E8" w:rsidRDefault="00FC72E8" w:rsidP="00FC72E8">
      <w:r w:rsidRPr="00FC72E8">
        <w:t>For detailed insights, access to the visualization or data is necessary.</w:t>
      </w:r>
    </w:p>
    <w:p w14:paraId="4113AFE8" w14:textId="77777777" w:rsidR="00FC72E8" w:rsidRPr="00160171" w:rsidRDefault="00FC72E8" w:rsidP="00406590"/>
    <w:p w14:paraId="11E5F329" w14:textId="2D10C9EB" w:rsidR="00160171" w:rsidRDefault="008A5CFF" w:rsidP="00160171">
      <w:pPr>
        <w:rPr>
          <w:b/>
          <w:bCs/>
        </w:rPr>
      </w:pPr>
      <w:r>
        <w:rPr>
          <w:b/>
          <w:bCs/>
        </w:rPr>
        <w:t>2.HISTOGRAM OF</w:t>
      </w:r>
      <w:r w:rsidR="00FA59DB">
        <w:rPr>
          <w:b/>
          <w:bCs/>
        </w:rPr>
        <w:t xml:space="preserve"> REGION WISE SHIPPING CHARGE</w:t>
      </w:r>
    </w:p>
    <w:p w14:paraId="426F86CC" w14:textId="77777777" w:rsidR="00154B87" w:rsidRPr="00154B87" w:rsidRDefault="00154B87" w:rsidP="00154B87">
      <w:r w:rsidRPr="00154B87">
        <w:t>The Tableau histogram reveals the distribution of shipping charges across four regions: Central, East, South, and West. Key insights include:</w:t>
      </w:r>
    </w:p>
    <w:p w14:paraId="4B930EB5" w14:textId="77777777" w:rsidR="00154B87" w:rsidRPr="00154B87" w:rsidRDefault="00154B87" w:rsidP="00ED6D8D">
      <w:pPr>
        <w:numPr>
          <w:ilvl w:val="0"/>
          <w:numId w:val="1"/>
        </w:numPr>
        <w:jc w:val="both"/>
      </w:pPr>
      <w:r w:rsidRPr="00154B87">
        <w:rPr>
          <w:b/>
          <w:bCs/>
        </w:rPr>
        <w:t>Distribution of Shipping Charges</w:t>
      </w:r>
      <w:r w:rsidRPr="00154B87">
        <w:t>:</w:t>
      </w:r>
    </w:p>
    <w:p w14:paraId="63A82459" w14:textId="77777777" w:rsidR="00154B87" w:rsidRPr="00154B87" w:rsidRDefault="00154B87" w:rsidP="00ED6D8D">
      <w:pPr>
        <w:numPr>
          <w:ilvl w:val="1"/>
          <w:numId w:val="1"/>
        </w:numPr>
        <w:jc w:val="both"/>
      </w:pPr>
      <w:r w:rsidRPr="00154B87">
        <w:t>The histogram is divided into bins of shipping charges ranging from 0 to 420, with intervals of 35.</w:t>
      </w:r>
    </w:p>
    <w:p w14:paraId="44874811" w14:textId="77777777" w:rsidR="00154B87" w:rsidRPr="00154B87" w:rsidRDefault="00154B87" w:rsidP="00ED6D8D">
      <w:pPr>
        <w:numPr>
          <w:ilvl w:val="0"/>
          <w:numId w:val="1"/>
        </w:numPr>
        <w:jc w:val="both"/>
      </w:pPr>
      <w:r w:rsidRPr="00154B87">
        <w:rPr>
          <w:b/>
          <w:bCs/>
        </w:rPr>
        <w:t>Regional Sales Distribution</w:t>
      </w:r>
      <w:r w:rsidRPr="00154B87">
        <w:t>:</w:t>
      </w:r>
    </w:p>
    <w:p w14:paraId="14E496EF" w14:textId="77777777" w:rsidR="00154B87" w:rsidRPr="00154B87" w:rsidRDefault="00154B87" w:rsidP="00ED6D8D">
      <w:pPr>
        <w:numPr>
          <w:ilvl w:val="1"/>
          <w:numId w:val="1"/>
        </w:numPr>
        <w:jc w:val="both"/>
      </w:pPr>
      <w:r w:rsidRPr="00154B87">
        <w:rPr>
          <w:b/>
          <w:bCs/>
        </w:rPr>
        <w:t>West Region</w:t>
      </w:r>
      <w:r w:rsidRPr="00154B87">
        <w:t>: Predominantly contributes the highest count of Item IDs across all shipping charge bins, indicating it is the most active region in terms of item shipments.</w:t>
      </w:r>
    </w:p>
    <w:p w14:paraId="207F11BD" w14:textId="77777777" w:rsidR="00154B87" w:rsidRPr="00154B87" w:rsidRDefault="00154B87" w:rsidP="00ED6D8D">
      <w:pPr>
        <w:numPr>
          <w:ilvl w:val="1"/>
          <w:numId w:val="1"/>
        </w:numPr>
        <w:jc w:val="both"/>
      </w:pPr>
      <w:r w:rsidRPr="00154B87">
        <w:rPr>
          <w:b/>
          <w:bCs/>
        </w:rPr>
        <w:lastRenderedPageBreak/>
        <w:t>Central Region</w:t>
      </w:r>
      <w:r w:rsidRPr="00154B87">
        <w:t>: Shows significant counts but is less consistent compared to the West. It has a noticeable presence in the middle range of shipping charges.</w:t>
      </w:r>
    </w:p>
    <w:p w14:paraId="45D83B01" w14:textId="77777777" w:rsidR="00154B87" w:rsidRPr="00154B87" w:rsidRDefault="00154B87" w:rsidP="00ED6D8D">
      <w:pPr>
        <w:numPr>
          <w:ilvl w:val="1"/>
          <w:numId w:val="1"/>
        </w:numPr>
        <w:jc w:val="both"/>
      </w:pPr>
      <w:r w:rsidRPr="00154B87">
        <w:rPr>
          <w:b/>
          <w:bCs/>
        </w:rPr>
        <w:t>East Region</w:t>
      </w:r>
      <w:r w:rsidRPr="00154B87">
        <w:t>: Has a moderate count of Item IDs, with a relatively consistent distribution across different shipping charge bins.</w:t>
      </w:r>
    </w:p>
    <w:p w14:paraId="135C69CF" w14:textId="77777777" w:rsidR="00154B87" w:rsidRPr="00154B87" w:rsidRDefault="00154B87" w:rsidP="00ED6D8D">
      <w:pPr>
        <w:numPr>
          <w:ilvl w:val="1"/>
          <w:numId w:val="1"/>
        </w:numPr>
        <w:jc w:val="both"/>
      </w:pPr>
      <w:r w:rsidRPr="00154B87">
        <w:rPr>
          <w:b/>
          <w:bCs/>
        </w:rPr>
        <w:t>South Region</w:t>
      </w:r>
      <w:r w:rsidRPr="00154B87">
        <w:t>: Displays a lesser count of Item IDs in lower shipping charge bins, but it increases in higher shipping charge bins.</w:t>
      </w:r>
    </w:p>
    <w:p w14:paraId="5B53F8DF" w14:textId="77777777" w:rsidR="00154B87" w:rsidRPr="00154B87" w:rsidRDefault="00154B87" w:rsidP="00ED6D8D">
      <w:pPr>
        <w:numPr>
          <w:ilvl w:val="0"/>
          <w:numId w:val="1"/>
        </w:numPr>
        <w:jc w:val="both"/>
      </w:pPr>
      <w:r w:rsidRPr="00154B87">
        <w:rPr>
          <w:b/>
          <w:bCs/>
        </w:rPr>
        <w:t>Trend Analysis</w:t>
      </w:r>
      <w:r w:rsidRPr="00154B87">
        <w:t>:</w:t>
      </w:r>
    </w:p>
    <w:p w14:paraId="3F7F7893" w14:textId="77777777" w:rsidR="00154B87" w:rsidRPr="00154B87" w:rsidRDefault="00154B87" w:rsidP="00ED6D8D">
      <w:pPr>
        <w:numPr>
          <w:ilvl w:val="1"/>
          <w:numId w:val="1"/>
        </w:numPr>
        <w:jc w:val="both"/>
      </w:pPr>
      <w:r w:rsidRPr="00154B87">
        <w:t>As shipping charges increase, the West region maintains a high count of Item IDs, while the Central, East, and South regions show more variability.</w:t>
      </w:r>
    </w:p>
    <w:p w14:paraId="18417905" w14:textId="77777777" w:rsidR="00154B87" w:rsidRPr="00154B87" w:rsidRDefault="00154B87" w:rsidP="00ED6D8D">
      <w:pPr>
        <w:numPr>
          <w:ilvl w:val="1"/>
          <w:numId w:val="1"/>
        </w:numPr>
        <w:jc w:val="both"/>
      </w:pPr>
      <w:r w:rsidRPr="00154B87">
        <w:t>The higher shipping charge bins (350-420) still see a substantial number of shipments from all regions, indicating that higher shipping charges do not significantly deter shipments.</w:t>
      </w:r>
    </w:p>
    <w:p w14:paraId="22CC7196" w14:textId="77777777" w:rsidR="00154B87" w:rsidRPr="00154B87" w:rsidRDefault="00154B87" w:rsidP="00ED6D8D">
      <w:pPr>
        <w:numPr>
          <w:ilvl w:val="0"/>
          <w:numId w:val="1"/>
        </w:numPr>
        <w:jc w:val="both"/>
      </w:pPr>
      <w:r w:rsidRPr="00154B87">
        <w:rPr>
          <w:b/>
          <w:bCs/>
        </w:rPr>
        <w:t>Region Comparison</w:t>
      </w:r>
      <w:r w:rsidRPr="00154B87">
        <w:t>:</w:t>
      </w:r>
    </w:p>
    <w:p w14:paraId="182E46E2" w14:textId="77777777" w:rsidR="00154B87" w:rsidRPr="00154B87" w:rsidRDefault="00154B87" w:rsidP="00ED6D8D">
      <w:pPr>
        <w:numPr>
          <w:ilvl w:val="1"/>
          <w:numId w:val="1"/>
        </w:numPr>
        <w:jc w:val="both"/>
      </w:pPr>
      <w:r w:rsidRPr="00154B87">
        <w:t>The West region consistently outperforms other regions in the number of items shipped, suggesting it is a key market.</w:t>
      </w:r>
    </w:p>
    <w:p w14:paraId="42621934" w14:textId="77777777" w:rsidR="00154B87" w:rsidRPr="00154B87" w:rsidRDefault="00154B87" w:rsidP="00ED6D8D">
      <w:pPr>
        <w:numPr>
          <w:ilvl w:val="1"/>
          <w:numId w:val="1"/>
        </w:numPr>
        <w:jc w:val="both"/>
      </w:pPr>
      <w:r w:rsidRPr="00154B87">
        <w:t>The Central region has fluctuating counts, indicating varying shipment volumes across different shipping charges.</w:t>
      </w:r>
    </w:p>
    <w:p w14:paraId="486DB635" w14:textId="77777777" w:rsidR="00154B87" w:rsidRPr="00154B87" w:rsidRDefault="00154B87" w:rsidP="00ED6D8D">
      <w:pPr>
        <w:numPr>
          <w:ilvl w:val="1"/>
          <w:numId w:val="1"/>
        </w:numPr>
        <w:jc w:val="both"/>
      </w:pPr>
      <w:r w:rsidRPr="00154B87">
        <w:t>The East and South regions have a lower but consistent shipment volume.</w:t>
      </w:r>
    </w:p>
    <w:p w14:paraId="33F3F2AF" w14:textId="77777777" w:rsidR="00154B87" w:rsidRPr="00154B87" w:rsidRDefault="00154B87" w:rsidP="00ED6D8D">
      <w:pPr>
        <w:jc w:val="both"/>
        <w:rPr>
          <w:b/>
          <w:bCs/>
        </w:rPr>
      </w:pPr>
      <w:r w:rsidRPr="00154B87">
        <w:rPr>
          <w:b/>
          <w:bCs/>
        </w:rPr>
        <w:lastRenderedPageBreak/>
        <w:t>Specific Observations:</w:t>
      </w:r>
    </w:p>
    <w:p w14:paraId="30B1FED7" w14:textId="77777777" w:rsidR="00154B87" w:rsidRPr="00154B87" w:rsidRDefault="00154B87" w:rsidP="00ED6D8D">
      <w:pPr>
        <w:numPr>
          <w:ilvl w:val="0"/>
          <w:numId w:val="2"/>
        </w:numPr>
        <w:jc w:val="both"/>
      </w:pPr>
      <w:r w:rsidRPr="00154B87">
        <w:rPr>
          <w:b/>
          <w:bCs/>
        </w:rPr>
        <w:t>West Region</w:t>
      </w:r>
      <w:r w:rsidRPr="00154B87">
        <w:t>: High shipment volume across all bins suggests strong market activity regardless of shipping cost.</w:t>
      </w:r>
    </w:p>
    <w:p w14:paraId="378A3AB9" w14:textId="77777777" w:rsidR="00154B87" w:rsidRPr="00154B87" w:rsidRDefault="00154B87" w:rsidP="00ED6D8D">
      <w:pPr>
        <w:numPr>
          <w:ilvl w:val="0"/>
          <w:numId w:val="2"/>
        </w:numPr>
        <w:jc w:val="both"/>
      </w:pPr>
      <w:r w:rsidRPr="00154B87">
        <w:rPr>
          <w:b/>
          <w:bCs/>
        </w:rPr>
        <w:t>Central Region</w:t>
      </w:r>
      <w:r w:rsidRPr="00154B87">
        <w:t>: Strong in mid-range shipping costs but less consistent overall.</w:t>
      </w:r>
    </w:p>
    <w:p w14:paraId="4CFBA306" w14:textId="77777777" w:rsidR="00154B87" w:rsidRPr="00154B87" w:rsidRDefault="00154B87" w:rsidP="00ED6D8D">
      <w:pPr>
        <w:numPr>
          <w:ilvl w:val="0"/>
          <w:numId w:val="2"/>
        </w:numPr>
        <w:jc w:val="both"/>
      </w:pPr>
      <w:r w:rsidRPr="00154B87">
        <w:rPr>
          <w:b/>
          <w:bCs/>
        </w:rPr>
        <w:t>East Region</w:t>
      </w:r>
      <w:r w:rsidRPr="00154B87">
        <w:t>: Moderate activity, showing steadiness across different bins.</w:t>
      </w:r>
    </w:p>
    <w:p w14:paraId="6CA9F285" w14:textId="77777777" w:rsidR="00154B87" w:rsidRPr="00154B87" w:rsidRDefault="00154B87" w:rsidP="00ED6D8D">
      <w:pPr>
        <w:numPr>
          <w:ilvl w:val="0"/>
          <w:numId w:val="2"/>
        </w:numPr>
        <w:jc w:val="both"/>
      </w:pPr>
      <w:r w:rsidRPr="00154B87">
        <w:rPr>
          <w:b/>
          <w:bCs/>
        </w:rPr>
        <w:t>South Region</w:t>
      </w:r>
      <w:r w:rsidRPr="00154B87">
        <w:t>: Lower activity in lower shipping bins but increases in higher bins, indicating higher value or longer-distance shipments.</w:t>
      </w:r>
    </w:p>
    <w:p w14:paraId="4EC9D43F" w14:textId="77777777" w:rsidR="00154B87" w:rsidRPr="00154B87" w:rsidRDefault="00154B87" w:rsidP="00ED6D8D">
      <w:pPr>
        <w:jc w:val="both"/>
      </w:pPr>
      <w:r w:rsidRPr="00154B87">
        <w:t>These insights can guide strategic decisions on regional focus, shipping cost management, and market segmentation.</w:t>
      </w:r>
    </w:p>
    <w:p w14:paraId="37F527AD" w14:textId="4B11EC6E" w:rsidR="000963EA" w:rsidRDefault="00CC37F1" w:rsidP="00ED6D8D">
      <w:pPr>
        <w:jc w:val="both"/>
        <w:rPr>
          <w:b/>
          <w:bCs/>
        </w:rPr>
      </w:pPr>
      <w:r>
        <w:rPr>
          <w:b/>
          <w:bCs/>
        </w:rPr>
        <w:t>3.</w:t>
      </w:r>
      <w:r w:rsidR="00B60F03">
        <w:rPr>
          <w:b/>
          <w:bCs/>
        </w:rPr>
        <w:t>SCATTER PLOT REGION WISE SALES</w:t>
      </w:r>
      <w:r w:rsidR="009762FD">
        <w:rPr>
          <w:b/>
          <w:bCs/>
        </w:rPr>
        <w:t xml:space="preserve"> AND PROFIT</w:t>
      </w:r>
    </w:p>
    <w:p w14:paraId="23A59428" w14:textId="77777777" w:rsidR="002F62E8" w:rsidRPr="002F62E8" w:rsidRDefault="002F62E8" w:rsidP="002F62E8">
      <w:pPr>
        <w:numPr>
          <w:ilvl w:val="0"/>
          <w:numId w:val="3"/>
        </w:numPr>
        <w:jc w:val="both"/>
      </w:pPr>
      <w:r w:rsidRPr="002F62E8">
        <w:rPr>
          <w:b/>
          <w:bCs/>
        </w:rPr>
        <w:t>Sales vs. Profit Relationship</w:t>
      </w:r>
      <w:r w:rsidRPr="002F62E8">
        <w:t>:</w:t>
      </w:r>
    </w:p>
    <w:p w14:paraId="2231927B" w14:textId="77777777" w:rsidR="002F62E8" w:rsidRPr="002F62E8" w:rsidRDefault="002F62E8" w:rsidP="002F62E8">
      <w:pPr>
        <w:numPr>
          <w:ilvl w:val="1"/>
          <w:numId w:val="3"/>
        </w:numPr>
        <w:jc w:val="both"/>
      </w:pPr>
      <w:r w:rsidRPr="002F62E8">
        <w:t>There's a positive correlation between sales and profit, indicating that higher sales generally lead to higher profits.</w:t>
      </w:r>
    </w:p>
    <w:p w14:paraId="62CD4B41" w14:textId="77777777" w:rsidR="002F62E8" w:rsidRPr="002F62E8" w:rsidRDefault="002F62E8" w:rsidP="002F62E8">
      <w:pPr>
        <w:numPr>
          <w:ilvl w:val="0"/>
          <w:numId w:val="3"/>
        </w:numPr>
        <w:jc w:val="both"/>
      </w:pPr>
      <w:r w:rsidRPr="002F62E8">
        <w:rPr>
          <w:b/>
          <w:bCs/>
        </w:rPr>
        <w:t>Regional Distribution</w:t>
      </w:r>
      <w:r w:rsidRPr="002F62E8">
        <w:t>:</w:t>
      </w:r>
    </w:p>
    <w:p w14:paraId="78CCDCE5" w14:textId="77777777" w:rsidR="002F62E8" w:rsidRPr="002F62E8" w:rsidRDefault="002F62E8" w:rsidP="002F62E8">
      <w:pPr>
        <w:numPr>
          <w:ilvl w:val="1"/>
          <w:numId w:val="3"/>
        </w:numPr>
        <w:jc w:val="both"/>
      </w:pPr>
      <w:r w:rsidRPr="002F62E8">
        <w:rPr>
          <w:b/>
          <w:bCs/>
        </w:rPr>
        <w:t>Central Region</w:t>
      </w:r>
      <w:r w:rsidRPr="002F62E8">
        <w:t>: Exhibits a wide range of sales and profits, with several points showing negative profits even at higher sales levels, indicating some unprofitable transactions.</w:t>
      </w:r>
    </w:p>
    <w:p w14:paraId="664326B0" w14:textId="77777777" w:rsidR="002F62E8" w:rsidRPr="002F62E8" w:rsidRDefault="002F62E8" w:rsidP="002F62E8">
      <w:pPr>
        <w:numPr>
          <w:ilvl w:val="1"/>
          <w:numId w:val="3"/>
        </w:numPr>
        <w:jc w:val="both"/>
      </w:pPr>
      <w:r w:rsidRPr="002F62E8">
        <w:rPr>
          <w:b/>
          <w:bCs/>
        </w:rPr>
        <w:lastRenderedPageBreak/>
        <w:t>East Region</w:t>
      </w:r>
      <w:r w:rsidRPr="002F62E8">
        <w:t>: Shows a concentration of points with moderate sales and profits, with some outliers indicating significant profits at higher sales levels.</w:t>
      </w:r>
    </w:p>
    <w:p w14:paraId="3930248D" w14:textId="77777777" w:rsidR="002F62E8" w:rsidRPr="002F62E8" w:rsidRDefault="002F62E8" w:rsidP="002F62E8">
      <w:pPr>
        <w:numPr>
          <w:ilvl w:val="1"/>
          <w:numId w:val="3"/>
        </w:numPr>
        <w:jc w:val="both"/>
      </w:pPr>
      <w:r w:rsidRPr="002F62E8">
        <w:rPr>
          <w:b/>
          <w:bCs/>
        </w:rPr>
        <w:t>South Region</w:t>
      </w:r>
      <w:r w:rsidRPr="002F62E8">
        <w:t>: Displays a mix of points with both positive and negative profits. There are instances of high negative profits, suggesting some high-cost or low-revenue transactions.</w:t>
      </w:r>
    </w:p>
    <w:p w14:paraId="06F6FD4F" w14:textId="77777777" w:rsidR="002F62E8" w:rsidRDefault="002F62E8" w:rsidP="002F62E8">
      <w:pPr>
        <w:numPr>
          <w:ilvl w:val="1"/>
          <w:numId w:val="3"/>
        </w:numPr>
        <w:jc w:val="both"/>
      </w:pPr>
      <w:r w:rsidRPr="002F62E8">
        <w:rPr>
          <w:b/>
          <w:bCs/>
        </w:rPr>
        <w:t>West Region</w:t>
      </w:r>
      <w:r w:rsidRPr="002F62E8">
        <w:t>: Most points are clustered with positive profits, indicating overall profitable sales. There are a few points with high sales and profits, suggesting a few high-value transactions.</w:t>
      </w:r>
    </w:p>
    <w:p w14:paraId="6073BECE" w14:textId="77777777" w:rsidR="000A31E2" w:rsidRPr="002F62E8" w:rsidRDefault="000A31E2" w:rsidP="000A31E2">
      <w:pPr>
        <w:ind w:left="1440"/>
        <w:jc w:val="both"/>
      </w:pPr>
    </w:p>
    <w:p w14:paraId="4C606922" w14:textId="77777777" w:rsidR="002F62E8" w:rsidRPr="002F62E8" w:rsidRDefault="002F62E8" w:rsidP="002F62E8">
      <w:pPr>
        <w:numPr>
          <w:ilvl w:val="0"/>
          <w:numId w:val="3"/>
        </w:numPr>
        <w:jc w:val="both"/>
      </w:pPr>
      <w:r w:rsidRPr="002F62E8">
        <w:rPr>
          <w:b/>
          <w:bCs/>
        </w:rPr>
        <w:t>Outliers</w:t>
      </w:r>
      <w:r w:rsidRPr="002F62E8">
        <w:t>:</w:t>
      </w:r>
    </w:p>
    <w:p w14:paraId="29AE285A" w14:textId="77777777" w:rsidR="002F62E8" w:rsidRPr="002F62E8" w:rsidRDefault="002F62E8" w:rsidP="002F62E8">
      <w:pPr>
        <w:numPr>
          <w:ilvl w:val="1"/>
          <w:numId w:val="3"/>
        </w:numPr>
        <w:jc w:val="both"/>
      </w:pPr>
      <w:r w:rsidRPr="002F62E8">
        <w:t>Several outliers are noticeable across regions. These include points with extremely high sales and profits, particularly in the West and East regions, suggesting successful high-value transactions.</w:t>
      </w:r>
    </w:p>
    <w:p w14:paraId="194EC6DC" w14:textId="77777777" w:rsidR="002F62E8" w:rsidRPr="002F62E8" w:rsidRDefault="002F62E8" w:rsidP="002F62E8">
      <w:pPr>
        <w:numPr>
          <w:ilvl w:val="1"/>
          <w:numId w:val="3"/>
        </w:numPr>
        <w:jc w:val="both"/>
      </w:pPr>
      <w:r w:rsidRPr="002F62E8">
        <w:t>Negative profit outliers are seen in all regions, especially in Central and South, indicating losses on certain sales.</w:t>
      </w:r>
    </w:p>
    <w:p w14:paraId="7E2FA84E" w14:textId="77777777" w:rsidR="002F62E8" w:rsidRPr="002F62E8" w:rsidRDefault="002F62E8" w:rsidP="002F62E8">
      <w:pPr>
        <w:numPr>
          <w:ilvl w:val="0"/>
          <w:numId w:val="3"/>
        </w:numPr>
        <w:jc w:val="both"/>
      </w:pPr>
      <w:r w:rsidRPr="002F62E8">
        <w:rPr>
          <w:b/>
          <w:bCs/>
        </w:rPr>
        <w:t>Performance Comparison</w:t>
      </w:r>
      <w:r w:rsidRPr="002F62E8">
        <w:t>:</w:t>
      </w:r>
    </w:p>
    <w:p w14:paraId="0558B5FF" w14:textId="77777777" w:rsidR="002F62E8" w:rsidRPr="002F62E8" w:rsidRDefault="002F62E8" w:rsidP="002F62E8">
      <w:pPr>
        <w:numPr>
          <w:ilvl w:val="1"/>
          <w:numId w:val="3"/>
        </w:numPr>
        <w:jc w:val="both"/>
      </w:pPr>
      <w:r w:rsidRPr="002F62E8">
        <w:t>The West region stands out with consistently positive profits, indicating strong performance.</w:t>
      </w:r>
    </w:p>
    <w:p w14:paraId="374A9C47" w14:textId="77777777" w:rsidR="002F62E8" w:rsidRPr="002F62E8" w:rsidRDefault="002F62E8" w:rsidP="002F62E8">
      <w:pPr>
        <w:numPr>
          <w:ilvl w:val="1"/>
          <w:numId w:val="3"/>
        </w:numPr>
        <w:jc w:val="both"/>
      </w:pPr>
      <w:r w:rsidRPr="002F62E8">
        <w:lastRenderedPageBreak/>
        <w:t>The Central region shows variability with both high profits and significant losses, indicating potential areas for improvement.</w:t>
      </w:r>
    </w:p>
    <w:p w14:paraId="445A22D0" w14:textId="77777777" w:rsidR="002F62E8" w:rsidRPr="002F62E8" w:rsidRDefault="002F62E8" w:rsidP="002F62E8">
      <w:pPr>
        <w:numPr>
          <w:ilvl w:val="1"/>
          <w:numId w:val="3"/>
        </w:numPr>
        <w:jc w:val="both"/>
      </w:pPr>
      <w:r w:rsidRPr="002F62E8">
        <w:t>The East and South regions have a mix of profitable and unprofitable transactions, suggesting a need for targeted strategies to improve profitability.</w:t>
      </w:r>
    </w:p>
    <w:p w14:paraId="50F6694B" w14:textId="77777777" w:rsidR="002F62E8" w:rsidRPr="002F62E8" w:rsidRDefault="002F62E8" w:rsidP="002F62E8">
      <w:pPr>
        <w:jc w:val="both"/>
        <w:rPr>
          <w:b/>
          <w:bCs/>
        </w:rPr>
      </w:pPr>
      <w:r w:rsidRPr="002F62E8">
        <w:rPr>
          <w:b/>
          <w:bCs/>
        </w:rPr>
        <w:t>Specific Observations:</w:t>
      </w:r>
    </w:p>
    <w:p w14:paraId="18323306" w14:textId="77777777" w:rsidR="002F62E8" w:rsidRPr="002F62E8" w:rsidRDefault="002F62E8" w:rsidP="002F62E8">
      <w:pPr>
        <w:numPr>
          <w:ilvl w:val="0"/>
          <w:numId w:val="4"/>
        </w:numPr>
        <w:jc w:val="both"/>
      </w:pPr>
      <w:r w:rsidRPr="002F62E8">
        <w:rPr>
          <w:b/>
          <w:bCs/>
        </w:rPr>
        <w:t>Central Region</w:t>
      </w:r>
      <w:r w:rsidRPr="002F62E8">
        <w:t>: Needs attention to reduce losses and improve profitability.</w:t>
      </w:r>
    </w:p>
    <w:p w14:paraId="58DC1950" w14:textId="77777777" w:rsidR="002F62E8" w:rsidRPr="002F62E8" w:rsidRDefault="002F62E8" w:rsidP="002F62E8">
      <w:pPr>
        <w:numPr>
          <w:ilvl w:val="0"/>
          <w:numId w:val="4"/>
        </w:numPr>
        <w:jc w:val="both"/>
      </w:pPr>
      <w:r w:rsidRPr="002F62E8">
        <w:rPr>
          <w:b/>
          <w:bCs/>
        </w:rPr>
        <w:t>East Region</w:t>
      </w:r>
      <w:r w:rsidRPr="002F62E8">
        <w:t>: Shows potential with high-profit outliers but needs to address variability.</w:t>
      </w:r>
    </w:p>
    <w:p w14:paraId="0EC3EB61" w14:textId="77777777" w:rsidR="002F62E8" w:rsidRPr="002F62E8" w:rsidRDefault="002F62E8" w:rsidP="002F62E8">
      <w:pPr>
        <w:numPr>
          <w:ilvl w:val="0"/>
          <w:numId w:val="4"/>
        </w:numPr>
        <w:jc w:val="both"/>
      </w:pPr>
      <w:r w:rsidRPr="002F62E8">
        <w:rPr>
          <w:b/>
          <w:bCs/>
        </w:rPr>
        <w:t>South Region</w:t>
      </w:r>
      <w:r w:rsidRPr="002F62E8">
        <w:t>: Has instances of high negative profits, requiring cost control or pricing strategies.</w:t>
      </w:r>
    </w:p>
    <w:p w14:paraId="0D29AF80" w14:textId="77777777" w:rsidR="002F62E8" w:rsidRPr="002F62E8" w:rsidRDefault="002F62E8" w:rsidP="002F62E8">
      <w:pPr>
        <w:numPr>
          <w:ilvl w:val="0"/>
          <w:numId w:val="4"/>
        </w:numPr>
        <w:jc w:val="both"/>
      </w:pPr>
      <w:r w:rsidRPr="002F62E8">
        <w:rPr>
          <w:b/>
          <w:bCs/>
        </w:rPr>
        <w:t>West Region</w:t>
      </w:r>
      <w:r w:rsidRPr="002F62E8">
        <w:t>: Performs well with consistent profits, indicating effective sales strategies.</w:t>
      </w:r>
    </w:p>
    <w:p w14:paraId="133E6B03" w14:textId="77777777" w:rsidR="002F62E8" w:rsidRPr="002F62E8" w:rsidRDefault="002F62E8" w:rsidP="002F62E8">
      <w:pPr>
        <w:jc w:val="both"/>
      </w:pPr>
      <w:r w:rsidRPr="002F62E8">
        <w:t>These insights can help in making strategic decisions to enhance profitability and manage regional performance effectively.</w:t>
      </w:r>
    </w:p>
    <w:p w14:paraId="5C9C1DB1" w14:textId="3CE00D56" w:rsidR="002F62E8" w:rsidRDefault="00F96277" w:rsidP="002F62E8">
      <w:pPr>
        <w:jc w:val="both"/>
        <w:rPr>
          <w:b/>
          <w:bCs/>
        </w:rPr>
      </w:pPr>
      <w:r>
        <w:rPr>
          <w:b/>
          <w:bCs/>
        </w:rPr>
        <w:t>4</w:t>
      </w:r>
      <w:r w:rsidR="00E40A70">
        <w:rPr>
          <w:b/>
          <w:bCs/>
        </w:rPr>
        <w:t>.</w:t>
      </w:r>
      <w:r>
        <w:rPr>
          <w:b/>
          <w:bCs/>
        </w:rPr>
        <w:t>DUAL CHARTS FOR  SUB CATEGORY</w:t>
      </w:r>
      <w:r w:rsidR="00E40A70">
        <w:rPr>
          <w:b/>
          <w:bCs/>
        </w:rPr>
        <w:t xml:space="preserve"> WISE TOTAL SALES AND PROFIT</w:t>
      </w:r>
    </w:p>
    <w:p w14:paraId="3B781870" w14:textId="77777777" w:rsidR="00AC1F11" w:rsidRPr="00AC1F11" w:rsidRDefault="00AC1F11" w:rsidP="00AC1F11">
      <w:pPr>
        <w:numPr>
          <w:ilvl w:val="0"/>
          <w:numId w:val="6"/>
        </w:numPr>
        <w:jc w:val="both"/>
      </w:pPr>
      <w:r w:rsidRPr="00AC1F11">
        <w:rPr>
          <w:b/>
          <w:bCs/>
        </w:rPr>
        <w:t>Sales and Profit Distribution by Sub-Category</w:t>
      </w:r>
      <w:r w:rsidRPr="00AC1F11">
        <w:t>:</w:t>
      </w:r>
    </w:p>
    <w:p w14:paraId="094E48FF" w14:textId="77777777" w:rsidR="00AC1F11" w:rsidRPr="00AC1F11" w:rsidRDefault="00AC1F11" w:rsidP="00AC1F11">
      <w:pPr>
        <w:numPr>
          <w:ilvl w:val="1"/>
          <w:numId w:val="6"/>
        </w:numPr>
        <w:jc w:val="both"/>
      </w:pPr>
      <w:r w:rsidRPr="00AC1F11">
        <w:rPr>
          <w:b/>
          <w:bCs/>
        </w:rPr>
        <w:t>Phones</w:t>
      </w:r>
      <w:r w:rsidRPr="00AC1F11">
        <w:t xml:space="preserve">: This sub-category has high sales across all regions, especially in the West and Central regions. Despite high sales, the </w:t>
      </w:r>
      <w:r w:rsidRPr="00AC1F11">
        <w:lastRenderedPageBreak/>
        <w:t>profit margins are relatively low, indicating possible high costs or low pricing strategies.</w:t>
      </w:r>
    </w:p>
    <w:p w14:paraId="1B531CFB" w14:textId="77777777" w:rsidR="00AC1F11" w:rsidRPr="00AC1F11" w:rsidRDefault="00AC1F11" w:rsidP="00AC1F11">
      <w:pPr>
        <w:numPr>
          <w:ilvl w:val="1"/>
          <w:numId w:val="6"/>
        </w:numPr>
        <w:jc w:val="both"/>
      </w:pPr>
      <w:r w:rsidRPr="00AC1F11">
        <w:rPr>
          <w:b/>
          <w:bCs/>
        </w:rPr>
        <w:t>Chairs</w:t>
      </w:r>
      <w:r w:rsidRPr="00AC1F11">
        <w:t>: Sales are also substantial in this sub-category, with significant contributions from the West and Central regions. Profits for chairs appear more consistent and higher compared to phones, indicating better profitability.</w:t>
      </w:r>
    </w:p>
    <w:p w14:paraId="5E8B8174" w14:textId="77777777" w:rsidR="00AC1F11" w:rsidRPr="00AC1F11" w:rsidRDefault="00AC1F11" w:rsidP="00AC1F11">
      <w:pPr>
        <w:numPr>
          <w:ilvl w:val="1"/>
          <w:numId w:val="6"/>
        </w:numPr>
        <w:jc w:val="both"/>
      </w:pPr>
      <w:r w:rsidRPr="00AC1F11">
        <w:rPr>
          <w:b/>
          <w:bCs/>
        </w:rPr>
        <w:t>Storage</w:t>
      </w:r>
      <w:r w:rsidRPr="00AC1F11">
        <w:t>: This sub-category shows lower sales across all regions. Profits are also minimal, with the East and South regions showing very low or negative profits, suggesting that storage items might not be a strong product line in these regions.</w:t>
      </w:r>
    </w:p>
    <w:p w14:paraId="28F228CB" w14:textId="77777777" w:rsidR="00AC1F11" w:rsidRPr="00AC1F11" w:rsidRDefault="00AC1F11" w:rsidP="00AC1F11">
      <w:pPr>
        <w:numPr>
          <w:ilvl w:val="0"/>
          <w:numId w:val="6"/>
        </w:numPr>
        <w:jc w:val="both"/>
      </w:pPr>
      <w:r w:rsidRPr="00AC1F11">
        <w:rPr>
          <w:b/>
          <w:bCs/>
        </w:rPr>
        <w:t>Regional Performance</w:t>
      </w:r>
      <w:r w:rsidRPr="00AC1F11">
        <w:t>:</w:t>
      </w:r>
    </w:p>
    <w:p w14:paraId="6D13AB91" w14:textId="77777777" w:rsidR="00AC1F11" w:rsidRPr="00AC1F11" w:rsidRDefault="00AC1F11" w:rsidP="00AC1F11">
      <w:pPr>
        <w:numPr>
          <w:ilvl w:val="1"/>
          <w:numId w:val="6"/>
        </w:numPr>
        <w:jc w:val="both"/>
      </w:pPr>
      <w:r w:rsidRPr="00AC1F11">
        <w:rPr>
          <w:b/>
          <w:bCs/>
        </w:rPr>
        <w:t>West Region</w:t>
      </w:r>
      <w:r w:rsidRPr="00AC1F11">
        <w:t>: Consistently contributes significantly to both sales and profits across all sub-categories. It stands out as a key market for both phones and chairs.</w:t>
      </w:r>
    </w:p>
    <w:p w14:paraId="26A9BFE1" w14:textId="77777777" w:rsidR="00AC1F11" w:rsidRPr="00AC1F11" w:rsidRDefault="00AC1F11" w:rsidP="00AC1F11">
      <w:pPr>
        <w:numPr>
          <w:ilvl w:val="1"/>
          <w:numId w:val="6"/>
        </w:numPr>
        <w:jc w:val="both"/>
      </w:pPr>
      <w:r w:rsidRPr="00AC1F11">
        <w:rPr>
          <w:b/>
          <w:bCs/>
        </w:rPr>
        <w:t>Central Region</w:t>
      </w:r>
      <w:r w:rsidRPr="00AC1F11">
        <w:t>: Also shows strong performance in terms of sales, particularly for phones and chairs. However, profit margins for phones are lower compared to the West, indicating potential for cost optimization or pricing strategies.</w:t>
      </w:r>
    </w:p>
    <w:p w14:paraId="5932EB49" w14:textId="77777777" w:rsidR="00AC1F11" w:rsidRPr="00AC1F11" w:rsidRDefault="00AC1F11" w:rsidP="00AC1F11">
      <w:pPr>
        <w:numPr>
          <w:ilvl w:val="1"/>
          <w:numId w:val="6"/>
        </w:numPr>
        <w:jc w:val="both"/>
      </w:pPr>
      <w:r w:rsidRPr="00AC1F11">
        <w:rPr>
          <w:b/>
          <w:bCs/>
        </w:rPr>
        <w:t>East and South Regions</w:t>
      </w:r>
      <w:r w:rsidRPr="00AC1F11">
        <w:t>: Show moderate sales across all sub-categories but struggle with lower profit margins, particularly in the storage category, suggesting a need for strategic improvement.</w:t>
      </w:r>
    </w:p>
    <w:p w14:paraId="1179337A" w14:textId="77777777" w:rsidR="00AC1F11" w:rsidRPr="00AC1F11" w:rsidRDefault="00AC1F11" w:rsidP="00AC1F11">
      <w:pPr>
        <w:numPr>
          <w:ilvl w:val="0"/>
          <w:numId w:val="6"/>
        </w:numPr>
        <w:jc w:val="both"/>
      </w:pPr>
      <w:r w:rsidRPr="00AC1F11">
        <w:rPr>
          <w:b/>
          <w:bCs/>
        </w:rPr>
        <w:t>Product Performance</w:t>
      </w:r>
      <w:r w:rsidRPr="00AC1F11">
        <w:t>:</w:t>
      </w:r>
    </w:p>
    <w:p w14:paraId="71B88EA2" w14:textId="77777777" w:rsidR="00AC1F11" w:rsidRPr="00AC1F11" w:rsidRDefault="00AC1F11" w:rsidP="00AC1F11">
      <w:pPr>
        <w:numPr>
          <w:ilvl w:val="1"/>
          <w:numId w:val="6"/>
        </w:numPr>
        <w:jc w:val="both"/>
      </w:pPr>
      <w:r w:rsidRPr="00AC1F11">
        <w:rPr>
          <w:b/>
          <w:bCs/>
        </w:rPr>
        <w:lastRenderedPageBreak/>
        <w:t>Phones and Chairs</w:t>
      </w:r>
      <w:r w:rsidRPr="00AC1F11">
        <w:t>: These are the top-performing sub-categories in terms of sales, but their profitability varies. Phones have high sales but lower profit margins, while chairs maintain better profitability.</w:t>
      </w:r>
    </w:p>
    <w:p w14:paraId="5044C959" w14:textId="77777777" w:rsidR="00AC1F11" w:rsidRPr="00AC1F11" w:rsidRDefault="00AC1F11" w:rsidP="00AC1F11">
      <w:pPr>
        <w:numPr>
          <w:ilvl w:val="1"/>
          <w:numId w:val="6"/>
        </w:numPr>
        <w:jc w:val="both"/>
      </w:pPr>
      <w:r w:rsidRPr="00AC1F11">
        <w:rPr>
          <w:b/>
          <w:bCs/>
        </w:rPr>
        <w:t>Storage</w:t>
      </w:r>
      <w:r w:rsidRPr="00AC1F11">
        <w:t>: This sub-category has low sales and profits across all regions, highlighting it as a potential area for reevaluation or discontinuation. The low or negative profits in some regions suggest that the storage category may not be a viable product line without strategic changes.</w:t>
      </w:r>
    </w:p>
    <w:p w14:paraId="79ED35C4" w14:textId="77777777" w:rsidR="00AC1F11" w:rsidRPr="00AC1F11" w:rsidRDefault="00AC1F11" w:rsidP="00AC1F11">
      <w:pPr>
        <w:jc w:val="both"/>
      </w:pPr>
      <w:r w:rsidRPr="00AC1F11">
        <w:t>These insights suggest focusing on improving profitability in high-sales categories like phones and chairs, while reevaluating the strategy for lower-performing sub-categories like storage. Additionally, regional strategies could be tailored to boost profitability in the East and South regions.</w:t>
      </w:r>
    </w:p>
    <w:p w14:paraId="1C34A9A0" w14:textId="5503C11D" w:rsidR="00AC1F11" w:rsidRDefault="00AC1F11" w:rsidP="00AC1F11">
      <w:pPr>
        <w:jc w:val="both"/>
        <w:rPr>
          <w:b/>
          <w:bCs/>
        </w:rPr>
      </w:pPr>
      <w:r>
        <w:rPr>
          <w:b/>
          <w:bCs/>
        </w:rPr>
        <w:t>5.</w:t>
      </w:r>
      <w:r w:rsidR="005D5486">
        <w:rPr>
          <w:b/>
          <w:bCs/>
        </w:rPr>
        <w:t xml:space="preserve">TOP 10 CUSTOMERS PACKED BUBBLE </w:t>
      </w:r>
      <w:r w:rsidR="00CC72AB">
        <w:rPr>
          <w:b/>
          <w:bCs/>
        </w:rPr>
        <w:t>ON THE BASIS OF TOTAL QUANTITY</w:t>
      </w:r>
    </w:p>
    <w:p w14:paraId="752722E4" w14:textId="4EC92BA2" w:rsidR="00072AC3" w:rsidRPr="00072AC3" w:rsidRDefault="00072AC3" w:rsidP="00072AC3">
      <w:pPr>
        <w:pStyle w:val="ListParagraph"/>
        <w:numPr>
          <w:ilvl w:val="0"/>
          <w:numId w:val="7"/>
        </w:numPr>
        <w:jc w:val="both"/>
      </w:pPr>
      <w:r w:rsidRPr="00072AC3">
        <w:rPr>
          <w:b/>
          <w:bCs/>
        </w:rPr>
        <w:t>Top Customer</w:t>
      </w:r>
      <w:r w:rsidRPr="00072AC3">
        <w:t>: John Lee stands out as the top customer with the largest bubble, indicating the highest total quantity purchased.</w:t>
      </w:r>
    </w:p>
    <w:p w14:paraId="79727D16" w14:textId="43114AAF" w:rsidR="00072AC3" w:rsidRPr="00072AC3" w:rsidRDefault="00072AC3" w:rsidP="00072AC3">
      <w:pPr>
        <w:pStyle w:val="ListParagraph"/>
        <w:numPr>
          <w:ilvl w:val="0"/>
          <w:numId w:val="7"/>
        </w:numPr>
        <w:jc w:val="both"/>
      </w:pPr>
      <w:r w:rsidRPr="00072AC3">
        <w:rPr>
          <w:b/>
          <w:bCs/>
        </w:rPr>
        <w:t>High-Value Customers</w:t>
      </w:r>
      <w:r w:rsidRPr="00072AC3">
        <w:t>: Arthur Prichep, Chloris Kastensmidt, and Edward Hooks also have sizable bubbles, showing they are significant contributors to total quantity purchased.</w:t>
      </w:r>
    </w:p>
    <w:p w14:paraId="05B3DF55" w14:textId="00196593" w:rsidR="00CC72AB" w:rsidRDefault="00072AC3" w:rsidP="00072AC3">
      <w:pPr>
        <w:pStyle w:val="ListParagraph"/>
        <w:numPr>
          <w:ilvl w:val="0"/>
          <w:numId w:val="7"/>
        </w:numPr>
        <w:jc w:val="both"/>
      </w:pPr>
      <w:r w:rsidRPr="00072AC3">
        <w:rPr>
          <w:b/>
          <w:bCs/>
        </w:rPr>
        <w:t>Customer Distribution</w:t>
      </w:r>
      <w:r w:rsidRPr="00072AC3">
        <w:t>: The packed bubbles indicate a mix of customers with varying quantities. While some, like Emily Phan and Jonathan</w:t>
      </w:r>
      <w:r w:rsidR="007E41C2">
        <w:t>.</w:t>
      </w:r>
    </w:p>
    <w:p w14:paraId="1EB9D28A" w14:textId="77777777" w:rsidR="00857F3D" w:rsidRDefault="00857F3D" w:rsidP="00857F3D">
      <w:pPr>
        <w:pStyle w:val="ListParagraph"/>
        <w:jc w:val="both"/>
        <w:rPr>
          <w:b/>
          <w:bCs/>
        </w:rPr>
      </w:pPr>
    </w:p>
    <w:p w14:paraId="6CDBC054" w14:textId="77777777" w:rsidR="00857F3D" w:rsidRDefault="00857F3D" w:rsidP="00857F3D">
      <w:pPr>
        <w:pStyle w:val="ListParagraph"/>
        <w:jc w:val="both"/>
        <w:rPr>
          <w:b/>
          <w:bCs/>
        </w:rPr>
      </w:pPr>
    </w:p>
    <w:p w14:paraId="36154779" w14:textId="7277134B" w:rsidR="005D5486" w:rsidRPr="00AC1F11" w:rsidRDefault="00F60D4A" w:rsidP="00AC1F11">
      <w:pPr>
        <w:jc w:val="both"/>
        <w:rPr>
          <w:b/>
          <w:bCs/>
        </w:rPr>
      </w:pPr>
      <w:r>
        <w:rPr>
          <w:b/>
          <w:bCs/>
        </w:rPr>
        <w:lastRenderedPageBreak/>
        <w:t xml:space="preserve">            </w:t>
      </w:r>
      <w:r w:rsidRPr="00F60D4A">
        <w:rPr>
          <w:b/>
          <w:bCs/>
        </w:rPr>
        <w:t>At last, we created a dashboard to make analysis easy in one view.</w:t>
      </w:r>
    </w:p>
    <w:p w14:paraId="00B77CF3" w14:textId="77777777" w:rsidR="00C250CA" w:rsidRPr="002F62E8" w:rsidRDefault="00C250CA" w:rsidP="002F62E8">
      <w:pPr>
        <w:jc w:val="both"/>
      </w:pPr>
    </w:p>
    <w:p w14:paraId="1C7867CA" w14:textId="77777777" w:rsidR="002F62E8" w:rsidRPr="002F62E8" w:rsidRDefault="002F62E8" w:rsidP="00ED6D8D">
      <w:pPr>
        <w:jc w:val="both"/>
      </w:pPr>
    </w:p>
    <w:sectPr w:rsidR="002F62E8" w:rsidRPr="002F6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2159"/>
    <w:multiLevelType w:val="multilevel"/>
    <w:tmpl w:val="3372F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21592"/>
    <w:multiLevelType w:val="multilevel"/>
    <w:tmpl w:val="57E42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721E1"/>
    <w:multiLevelType w:val="multilevel"/>
    <w:tmpl w:val="D7DA4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F6A4B"/>
    <w:multiLevelType w:val="multilevel"/>
    <w:tmpl w:val="0190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02359"/>
    <w:multiLevelType w:val="multilevel"/>
    <w:tmpl w:val="AA44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4257B"/>
    <w:multiLevelType w:val="multilevel"/>
    <w:tmpl w:val="4B5E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66A76"/>
    <w:multiLevelType w:val="hybridMultilevel"/>
    <w:tmpl w:val="756E9F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E72B0B"/>
    <w:multiLevelType w:val="multilevel"/>
    <w:tmpl w:val="257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741EF"/>
    <w:multiLevelType w:val="multilevel"/>
    <w:tmpl w:val="781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F09A6"/>
    <w:multiLevelType w:val="multilevel"/>
    <w:tmpl w:val="D126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349D2"/>
    <w:multiLevelType w:val="multilevel"/>
    <w:tmpl w:val="6D94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422947">
    <w:abstractNumId w:val="1"/>
  </w:num>
  <w:num w:numId="2" w16cid:durableId="1425952341">
    <w:abstractNumId w:val="9"/>
  </w:num>
  <w:num w:numId="3" w16cid:durableId="1638877623">
    <w:abstractNumId w:val="0"/>
  </w:num>
  <w:num w:numId="4" w16cid:durableId="534540702">
    <w:abstractNumId w:val="5"/>
  </w:num>
  <w:num w:numId="5" w16cid:durableId="361320911">
    <w:abstractNumId w:val="10"/>
  </w:num>
  <w:num w:numId="6" w16cid:durableId="1033461938">
    <w:abstractNumId w:val="2"/>
  </w:num>
  <w:num w:numId="7" w16cid:durableId="1218128860">
    <w:abstractNumId w:val="6"/>
  </w:num>
  <w:num w:numId="8" w16cid:durableId="324743531">
    <w:abstractNumId w:val="7"/>
  </w:num>
  <w:num w:numId="9" w16cid:durableId="1756825494">
    <w:abstractNumId w:val="3"/>
  </w:num>
  <w:num w:numId="10" w16cid:durableId="539125195">
    <w:abstractNumId w:val="4"/>
  </w:num>
  <w:num w:numId="11" w16cid:durableId="1679828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80"/>
    <w:rsid w:val="00001E2C"/>
    <w:rsid w:val="000504BE"/>
    <w:rsid w:val="00072AC3"/>
    <w:rsid w:val="000963EA"/>
    <w:rsid w:val="000A31E2"/>
    <w:rsid w:val="000D3777"/>
    <w:rsid w:val="00154B87"/>
    <w:rsid w:val="00160171"/>
    <w:rsid w:val="00183E85"/>
    <w:rsid w:val="002F62E8"/>
    <w:rsid w:val="003C7BC1"/>
    <w:rsid w:val="00406590"/>
    <w:rsid w:val="00414C2E"/>
    <w:rsid w:val="0042251F"/>
    <w:rsid w:val="004674E4"/>
    <w:rsid w:val="00475954"/>
    <w:rsid w:val="004A493E"/>
    <w:rsid w:val="0050378E"/>
    <w:rsid w:val="00524ABD"/>
    <w:rsid w:val="005726EE"/>
    <w:rsid w:val="005D5486"/>
    <w:rsid w:val="005D7A30"/>
    <w:rsid w:val="00605895"/>
    <w:rsid w:val="00620C5C"/>
    <w:rsid w:val="00626EB4"/>
    <w:rsid w:val="00640FAE"/>
    <w:rsid w:val="00653064"/>
    <w:rsid w:val="007E41C2"/>
    <w:rsid w:val="00857F3D"/>
    <w:rsid w:val="008628EE"/>
    <w:rsid w:val="00870EDC"/>
    <w:rsid w:val="008A2E6C"/>
    <w:rsid w:val="008A5CFF"/>
    <w:rsid w:val="008E0EB8"/>
    <w:rsid w:val="008E4D0F"/>
    <w:rsid w:val="00907023"/>
    <w:rsid w:val="009762FD"/>
    <w:rsid w:val="009F17C2"/>
    <w:rsid w:val="00A16B3E"/>
    <w:rsid w:val="00AA2EF0"/>
    <w:rsid w:val="00AC1F11"/>
    <w:rsid w:val="00B02F39"/>
    <w:rsid w:val="00B60F03"/>
    <w:rsid w:val="00B71148"/>
    <w:rsid w:val="00BE5FE7"/>
    <w:rsid w:val="00C250CA"/>
    <w:rsid w:val="00C433B2"/>
    <w:rsid w:val="00CA0179"/>
    <w:rsid w:val="00CC37F1"/>
    <w:rsid w:val="00CC72AB"/>
    <w:rsid w:val="00D52E41"/>
    <w:rsid w:val="00D97D80"/>
    <w:rsid w:val="00DA4EDA"/>
    <w:rsid w:val="00E40A70"/>
    <w:rsid w:val="00E67D78"/>
    <w:rsid w:val="00ED6D8D"/>
    <w:rsid w:val="00F60D4A"/>
    <w:rsid w:val="00F96277"/>
    <w:rsid w:val="00FA59DB"/>
    <w:rsid w:val="00FC72E8"/>
    <w:rsid w:val="00FD772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A4B9"/>
  <w15:chartTrackingRefBased/>
  <w15:docId w15:val="{8688E884-0DF2-42E9-8343-2F2FD1D7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29788">
      <w:bodyDiv w:val="1"/>
      <w:marLeft w:val="0"/>
      <w:marRight w:val="0"/>
      <w:marTop w:val="0"/>
      <w:marBottom w:val="0"/>
      <w:divBdr>
        <w:top w:val="none" w:sz="0" w:space="0" w:color="auto"/>
        <w:left w:val="none" w:sz="0" w:space="0" w:color="auto"/>
        <w:bottom w:val="none" w:sz="0" w:space="0" w:color="auto"/>
        <w:right w:val="none" w:sz="0" w:space="0" w:color="auto"/>
      </w:divBdr>
    </w:div>
    <w:div w:id="291180926">
      <w:bodyDiv w:val="1"/>
      <w:marLeft w:val="0"/>
      <w:marRight w:val="0"/>
      <w:marTop w:val="0"/>
      <w:marBottom w:val="0"/>
      <w:divBdr>
        <w:top w:val="none" w:sz="0" w:space="0" w:color="auto"/>
        <w:left w:val="none" w:sz="0" w:space="0" w:color="auto"/>
        <w:bottom w:val="none" w:sz="0" w:space="0" w:color="auto"/>
        <w:right w:val="none" w:sz="0" w:space="0" w:color="auto"/>
      </w:divBdr>
      <w:divsChild>
        <w:div w:id="398679033">
          <w:marLeft w:val="0"/>
          <w:marRight w:val="0"/>
          <w:marTop w:val="0"/>
          <w:marBottom w:val="0"/>
          <w:divBdr>
            <w:top w:val="none" w:sz="0" w:space="0" w:color="auto"/>
            <w:left w:val="none" w:sz="0" w:space="0" w:color="auto"/>
            <w:bottom w:val="none" w:sz="0" w:space="0" w:color="auto"/>
            <w:right w:val="none" w:sz="0" w:space="0" w:color="auto"/>
          </w:divBdr>
          <w:divsChild>
            <w:div w:id="1853376988">
              <w:marLeft w:val="0"/>
              <w:marRight w:val="0"/>
              <w:marTop w:val="0"/>
              <w:marBottom w:val="0"/>
              <w:divBdr>
                <w:top w:val="none" w:sz="0" w:space="0" w:color="auto"/>
                <w:left w:val="none" w:sz="0" w:space="0" w:color="auto"/>
                <w:bottom w:val="none" w:sz="0" w:space="0" w:color="auto"/>
                <w:right w:val="none" w:sz="0" w:space="0" w:color="auto"/>
              </w:divBdr>
              <w:divsChild>
                <w:div w:id="305403745">
                  <w:marLeft w:val="0"/>
                  <w:marRight w:val="0"/>
                  <w:marTop w:val="0"/>
                  <w:marBottom w:val="0"/>
                  <w:divBdr>
                    <w:top w:val="none" w:sz="0" w:space="0" w:color="auto"/>
                    <w:left w:val="none" w:sz="0" w:space="0" w:color="auto"/>
                    <w:bottom w:val="none" w:sz="0" w:space="0" w:color="auto"/>
                    <w:right w:val="none" w:sz="0" w:space="0" w:color="auto"/>
                  </w:divBdr>
                  <w:divsChild>
                    <w:div w:id="21030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88183">
          <w:marLeft w:val="0"/>
          <w:marRight w:val="0"/>
          <w:marTop w:val="0"/>
          <w:marBottom w:val="0"/>
          <w:divBdr>
            <w:top w:val="none" w:sz="0" w:space="0" w:color="auto"/>
            <w:left w:val="none" w:sz="0" w:space="0" w:color="auto"/>
            <w:bottom w:val="none" w:sz="0" w:space="0" w:color="auto"/>
            <w:right w:val="none" w:sz="0" w:space="0" w:color="auto"/>
          </w:divBdr>
          <w:divsChild>
            <w:div w:id="1288781560">
              <w:marLeft w:val="0"/>
              <w:marRight w:val="0"/>
              <w:marTop w:val="0"/>
              <w:marBottom w:val="0"/>
              <w:divBdr>
                <w:top w:val="none" w:sz="0" w:space="0" w:color="auto"/>
                <w:left w:val="none" w:sz="0" w:space="0" w:color="auto"/>
                <w:bottom w:val="none" w:sz="0" w:space="0" w:color="auto"/>
                <w:right w:val="none" w:sz="0" w:space="0" w:color="auto"/>
              </w:divBdr>
              <w:divsChild>
                <w:div w:id="1452475014">
                  <w:marLeft w:val="0"/>
                  <w:marRight w:val="0"/>
                  <w:marTop w:val="0"/>
                  <w:marBottom w:val="0"/>
                  <w:divBdr>
                    <w:top w:val="none" w:sz="0" w:space="0" w:color="auto"/>
                    <w:left w:val="none" w:sz="0" w:space="0" w:color="auto"/>
                    <w:bottom w:val="none" w:sz="0" w:space="0" w:color="auto"/>
                    <w:right w:val="none" w:sz="0" w:space="0" w:color="auto"/>
                  </w:divBdr>
                  <w:divsChild>
                    <w:div w:id="934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81791">
      <w:bodyDiv w:val="1"/>
      <w:marLeft w:val="0"/>
      <w:marRight w:val="0"/>
      <w:marTop w:val="0"/>
      <w:marBottom w:val="0"/>
      <w:divBdr>
        <w:top w:val="none" w:sz="0" w:space="0" w:color="auto"/>
        <w:left w:val="none" w:sz="0" w:space="0" w:color="auto"/>
        <w:bottom w:val="none" w:sz="0" w:space="0" w:color="auto"/>
        <w:right w:val="none" w:sz="0" w:space="0" w:color="auto"/>
      </w:divBdr>
      <w:divsChild>
        <w:div w:id="1856846804">
          <w:marLeft w:val="0"/>
          <w:marRight w:val="0"/>
          <w:marTop w:val="0"/>
          <w:marBottom w:val="0"/>
          <w:divBdr>
            <w:top w:val="none" w:sz="0" w:space="0" w:color="auto"/>
            <w:left w:val="none" w:sz="0" w:space="0" w:color="auto"/>
            <w:bottom w:val="none" w:sz="0" w:space="0" w:color="auto"/>
            <w:right w:val="none" w:sz="0" w:space="0" w:color="auto"/>
          </w:divBdr>
          <w:divsChild>
            <w:div w:id="966543675">
              <w:marLeft w:val="0"/>
              <w:marRight w:val="0"/>
              <w:marTop w:val="0"/>
              <w:marBottom w:val="0"/>
              <w:divBdr>
                <w:top w:val="none" w:sz="0" w:space="0" w:color="auto"/>
                <w:left w:val="none" w:sz="0" w:space="0" w:color="auto"/>
                <w:bottom w:val="none" w:sz="0" w:space="0" w:color="auto"/>
                <w:right w:val="none" w:sz="0" w:space="0" w:color="auto"/>
              </w:divBdr>
              <w:divsChild>
                <w:div w:id="1454060205">
                  <w:marLeft w:val="0"/>
                  <w:marRight w:val="0"/>
                  <w:marTop w:val="0"/>
                  <w:marBottom w:val="0"/>
                  <w:divBdr>
                    <w:top w:val="none" w:sz="0" w:space="0" w:color="auto"/>
                    <w:left w:val="none" w:sz="0" w:space="0" w:color="auto"/>
                    <w:bottom w:val="none" w:sz="0" w:space="0" w:color="auto"/>
                    <w:right w:val="none" w:sz="0" w:space="0" w:color="auto"/>
                  </w:divBdr>
                  <w:divsChild>
                    <w:div w:id="306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50036">
          <w:marLeft w:val="0"/>
          <w:marRight w:val="0"/>
          <w:marTop w:val="0"/>
          <w:marBottom w:val="0"/>
          <w:divBdr>
            <w:top w:val="none" w:sz="0" w:space="0" w:color="auto"/>
            <w:left w:val="none" w:sz="0" w:space="0" w:color="auto"/>
            <w:bottom w:val="none" w:sz="0" w:space="0" w:color="auto"/>
            <w:right w:val="none" w:sz="0" w:space="0" w:color="auto"/>
          </w:divBdr>
          <w:divsChild>
            <w:div w:id="33115608">
              <w:marLeft w:val="0"/>
              <w:marRight w:val="0"/>
              <w:marTop w:val="0"/>
              <w:marBottom w:val="0"/>
              <w:divBdr>
                <w:top w:val="none" w:sz="0" w:space="0" w:color="auto"/>
                <w:left w:val="none" w:sz="0" w:space="0" w:color="auto"/>
                <w:bottom w:val="none" w:sz="0" w:space="0" w:color="auto"/>
                <w:right w:val="none" w:sz="0" w:space="0" w:color="auto"/>
              </w:divBdr>
              <w:divsChild>
                <w:div w:id="51320627">
                  <w:marLeft w:val="0"/>
                  <w:marRight w:val="0"/>
                  <w:marTop w:val="0"/>
                  <w:marBottom w:val="0"/>
                  <w:divBdr>
                    <w:top w:val="none" w:sz="0" w:space="0" w:color="auto"/>
                    <w:left w:val="none" w:sz="0" w:space="0" w:color="auto"/>
                    <w:bottom w:val="none" w:sz="0" w:space="0" w:color="auto"/>
                    <w:right w:val="none" w:sz="0" w:space="0" w:color="auto"/>
                  </w:divBdr>
                  <w:divsChild>
                    <w:div w:id="13722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48110">
      <w:bodyDiv w:val="1"/>
      <w:marLeft w:val="0"/>
      <w:marRight w:val="0"/>
      <w:marTop w:val="0"/>
      <w:marBottom w:val="0"/>
      <w:divBdr>
        <w:top w:val="none" w:sz="0" w:space="0" w:color="auto"/>
        <w:left w:val="none" w:sz="0" w:space="0" w:color="auto"/>
        <w:bottom w:val="none" w:sz="0" w:space="0" w:color="auto"/>
        <w:right w:val="none" w:sz="0" w:space="0" w:color="auto"/>
      </w:divBdr>
    </w:div>
    <w:div w:id="573660565">
      <w:bodyDiv w:val="1"/>
      <w:marLeft w:val="0"/>
      <w:marRight w:val="0"/>
      <w:marTop w:val="0"/>
      <w:marBottom w:val="0"/>
      <w:divBdr>
        <w:top w:val="none" w:sz="0" w:space="0" w:color="auto"/>
        <w:left w:val="none" w:sz="0" w:space="0" w:color="auto"/>
        <w:bottom w:val="none" w:sz="0" w:space="0" w:color="auto"/>
        <w:right w:val="none" w:sz="0" w:space="0" w:color="auto"/>
      </w:divBdr>
    </w:div>
    <w:div w:id="710148747">
      <w:bodyDiv w:val="1"/>
      <w:marLeft w:val="0"/>
      <w:marRight w:val="0"/>
      <w:marTop w:val="0"/>
      <w:marBottom w:val="0"/>
      <w:divBdr>
        <w:top w:val="none" w:sz="0" w:space="0" w:color="auto"/>
        <w:left w:val="none" w:sz="0" w:space="0" w:color="auto"/>
        <w:bottom w:val="none" w:sz="0" w:space="0" w:color="auto"/>
        <w:right w:val="none" w:sz="0" w:space="0" w:color="auto"/>
      </w:divBdr>
    </w:div>
    <w:div w:id="771247517">
      <w:bodyDiv w:val="1"/>
      <w:marLeft w:val="0"/>
      <w:marRight w:val="0"/>
      <w:marTop w:val="0"/>
      <w:marBottom w:val="0"/>
      <w:divBdr>
        <w:top w:val="none" w:sz="0" w:space="0" w:color="auto"/>
        <w:left w:val="none" w:sz="0" w:space="0" w:color="auto"/>
        <w:bottom w:val="none" w:sz="0" w:space="0" w:color="auto"/>
        <w:right w:val="none" w:sz="0" w:space="0" w:color="auto"/>
      </w:divBdr>
    </w:div>
    <w:div w:id="772282949">
      <w:bodyDiv w:val="1"/>
      <w:marLeft w:val="0"/>
      <w:marRight w:val="0"/>
      <w:marTop w:val="0"/>
      <w:marBottom w:val="0"/>
      <w:divBdr>
        <w:top w:val="none" w:sz="0" w:space="0" w:color="auto"/>
        <w:left w:val="none" w:sz="0" w:space="0" w:color="auto"/>
        <w:bottom w:val="none" w:sz="0" w:space="0" w:color="auto"/>
        <w:right w:val="none" w:sz="0" w:space="0" w:color="auto"/>
      </w:divBdr>
    </w:div>
    <w:div w:id="786117033">
      <w:bodyDiv w:val="1"/>
      <w:marLeft w:val="0"/>
      <w:marRight w:val="0"/>
      <w:marTop w:val="0"/>
      <w:marBottom w:val="0"/>
      <w:divBdr>
        <w:top w:val="none" w:sz="0" w:space="0" w:color="auto"/>
        <w:left w:val="none" w:sz="0" w:space="0" w:color="auto"/>
        <w:bottom w:val="none" w:sz="0" w:space="0" w:color="auto"/>
        <w:right w:val="none" w:sz="0" w:space="0" w:color="auto"/>
      </w:divBdr>
    </w:div>
    <w:div w:id="942416662">
      <w:bodyDiv w:val="1"/>
      <w:marLeft w:val="0"/>
      <w:marRight w:val="0"/>
      <w:marTop w:val="0"/>
      <w:marBottom w:val="0"/>
      <w:divBdr>
        <w:top w:val="none" w:sz="0" w:space="0" w:color="auto"/>
        <w:left w:val="none" w:sz="0" w:space="0" w:color="auto"/>
        <w:bottom w:val="none" w:sz="0" w:space="0" w:color="auto"/>
        <w:right w:val="none" w:sz="0" w:space="0" w:color="auto"/>
      </w:divBdr>
      <w:divsChild>
        <w:div w:id="1156997572">
          <w:marLeft w:val="0"/>
          <w:marRight w:val="0"/>
          <w:marTop w:val="0"/>
          <w:marBottom w:val="0"/>
          <w:divBdr>
            <w:top w:val="none" w:sz="0" w:space="0" w:color="auto"/>
            <w:left w:val="none" w:sz="0" w:space="0" w:color="auto"/>
            <w:bottom w:val="none" w:sz="0" w:space="0" w:color="auto"/>
            <w:right w:val="none" w:sz="0" w:space="0" w:color="auto"/>
          </w:divBdr>
          <w:divsChild>
            <w:div w:id="570697445">
              <w:marLeft w:val="0"/>
              <w:marRight w:val="0"/>
              <w:marTop w:val="0"/>
              <w:marBottom w:val="0"/>
              <w:divBdr>
                <w:top w:val="none" w:sz="0" w:space="0" w:color="auto"/>
                <w:left w:val="none" w:sz="0" w:space="0" w:color="auto"/>
                <w:bottom w:val="none" w:sz="0" w:space="0" w:color="auto"/>
                <w:right w:val="none" w:sz="0" w:space="0" w:color="auto"/>
              </w:divBdr>
              <w:divsChild>
                <w:div w:id="1492141465">
                  <w:marLeft w:val="0"/>
                  <w:marRight w:val="0"/>
                  <w:marTop w:val="0"/>
                  <w:marBottom w:val="0"/>
                  <w:divBdr>
                    <w:top w:val="none" w:sz="0" w:space="0" w:color="auto"/>
                    <w:left w:val="none" w:sz="0" w:space="0" w:color="auto"/>
                    <w:bottom w:val="none" w:sz="0" w:space="0" w:color="auto"/>
                    <w:right w:val="none" w:sz="0" w:space="0" w:color="auto"/>
                  </w:divBdr>
                  <w:divsChild>
                    <w:div w:id="7935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5934">
          <w:marLeft w:val="0"/>
          <w:marRight w:val="0"/>
          <w:marTop w:val="0"/>
          <w:marBottom w:val="0"/>
          <w:divBdr>
            <w:top w:val="none" w:sz="0" w:space="0" w:color="auto"/>
            <w:left w:val="none" w:sz="0" w:space="0" w:color="auto"/>
            <w:bottom w:val="none" w:sz="0" w:space="0" w:color="auto"/>
            <w:right w:val="none" w:sz="0" w:space="0" w:color="auto"/>
          </w:divBdr>
          <w:divsChild>
            <w:div w:id="235361889">
              <w:marLeft w:val="0"/>
              <w:marRight w:val="0"/>
              <w:marTop w:val="0"/>
              <w:marBottom w:val="0"/>
              <w:divBdr>
                <w:top w:val="none" w:sz="0" w:space="0" w:color="auto"/>
                <w:left w:val="none" w:sz="0" w:space="0" w:color="auto"/>
                <w:bottom w:val="none" w:sz="0" w:space="0" w:color="auto"/>
                <w:right w:val="none" w:sz="0" w:space="0" w:color="auto"/>
              </w:divBdr>
              <w:divsChild>
                <w:div w:id="367609908">
                  <w:marLeft w:val="0"/>
                  <w:marRight w:val="0"/>
                  <w:marTop w:val="0"/>
                  <w:marBottom w:val="0"/>
                  <w:divBdr>
                    <w:top w:val="none" w:sz="0" w:space="0" w:color="auto"/>
                    <w:left w:val="none" w:sz="0" w:space="0" w:color="auto"/>
                    <w:bottom w:val="none" w:sz="0" w:space="0" w:color="auto"/>
                    <w:right w:val="none" w:sz="0" w:space="0" w:color="auto"/>
                  </w:divBdr>
                  <w:divsChild>
                    <w:div w:id="13012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13302">
      <w:bodyDiv w:val="1"/>
      <w:marLeft w:val="0"/>
      <w:marRight w:val="0"/>
      <w:marTop w:val="0"/>
      <w:marBottom w:val="0"/>
      <w:divBdr>
        <w:top w:val="none" w:sz="0" w:space="0" w:color="auto"/>
        <w:left w:val="none" w:sz="0" w:space="0" w:color="auto"/>
        <w:bottom w:val="none" w:sz="0" w:space="0" w:color="auto"/>
        <w:right w:val="none" w:sz="0" w:space="0" w:color="auto"/>
      </w:divBdr>
    </w:div>
    <w:div w:id="1008100350">
      <w:bodyDiv w:val="1"/>
      <w:marLeft w:val="0"/>
      <w:marRight w:val="0"/>
      <w:marTop w:val="0"/>
      <w:marBottom w:val="0"/>
      <w:divBdr>
        <w:top w:val="none" w:sz="0" w:space="0" w:color="auto"/>
        <w:left w:val="none" w:sz="0" w:space="0" w:color="auto"/>
        <w:bottom w:val="none" w:sz="0" w:space="0" w:color="auto"/>
        <w:right w:val="none" w:sz="0" w:space="0" w:color="auto"/>
      </w:divBdr>
      <w:divsChild>
        <w:div w:id="2009215259">
          <w:marLeft w:val="0"/>
          <w:marRight w:val="0"/>
          <w:marTop w:val="0"/>
          <w:marBottom w:val="0"/>
          <w:divBdr>
            <w:top w:val="none" w:sz="0" w:space="0" w:color="auto"/>
            <w:left w:val="none" w:sz="0" w:space="0" w:color="auto"/>
            <w:bottom w:val="none" w:sz="0" w:space="0" w:color="auto"/>
            <w:right w:val="none" w:sz="0" w:space="0" w:color="auto"/>
          </w:divBdr>
          <w:divsChild>
            <w:div w:id="1997877525">
              <w:marLeft w:val="0"/>
              <w:marRight w:val="0"/>
              <w:marTop w:val="0"/>
              <w:marBottom w:val="0"/>
              <w:divBdr>
                <w:top w:val="none" w:sz="0" w:space="0" w:color="auto"/>
                <w:left w:val="none" w:sz="0" w:space="0" w:color="auto"/>
                <w:bottom w:val="none" w:sz="0" w:space="0" w:color="auto"/>
                <w:right w:val="none" w:sz="0" w:space="0" w:color="auto"/>
              </w:divBdr>
              <w:divsChild>
                <w:div w:id="604773077">
                  <w:marLeft w:val="0"/>
                  <w:marRight w:val="0"/>
                  <w:marTop w:val="0"/>
                  <w:marBottom w:val="0"/>
                  <w:divBdr>
                    <w:top w:val="none" w:sz="0" w:space="0" w:color="auto"/>
                    <w:left w:val="none" w:sz="0" w:space="0" w:color="auto"/>
                    <w:bottom w:val="none" w:sz="0" w:space="0" w:color="auto"/>
                    <w:right w:val="none" w:sz="0" w:space="0" w:color="auto"/>
                  </w:divBdr>
                  <w:divsChild>
                    <w:div w:id="4314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4711">
          <w:marLeft w:val="0"/>
          <w:marRight w:val="0"/>
          <w:marTop w:val="0"/>
          <w:marBottom w:val="0"/>
          <w:divBdr>
            <w:top w:val="none" w:sz="0" w:space="0" w:color="auto"/>
            <w:left w:val="none" w:sz="0" w:space="0" w:color="auto"/>
            <w:bottom w:val="none" w:sz="0" w:space="0" w:color="auto"/>
            <w:right w:val="none" w:sz="0" w:space="0" w:color="auto"/>
          </w:divBdr>
          <w:divsChild>
            <w:div w:id="367686638">
              <w:marLeft w:val="0"/>
              <w:marRight w:val="0"/>
              <w:marTop w:val="0"/>
              <w:marBottom w:val="0"/>
              <w:divBdr>
                <w:top w:val="none" w:sz="0" w:space="0" w:color="auto"/>
                <w:left w:val="none" w:sz="0" w:space="0" w:color="auto"/>
                <w:bottom w:val="none" w:sz="0" w:space="0" w:color="auto"/>
                <w:right w:val="none" w:sz="0" w:space="0" w:color="auto"/>
              </w:divBdr>
              <w:divsChild>
                <w:div w:id="762192502">
                  <w:marLeft w:val="0"/>
                  <w:marRight w:val="0"/>
                  <w:marTop w:val="0"/>
                  <w:marBottom w:val="0"/>
                  <w:divBdr>
                    <w:top w:val="none" w:sz="0" w:space="0" w:color="auto"/>
                    <w:left w:val="none" w:sz="0" w:space="0" w:color="auto"/>
                    <w:bottom w:val="none" w:sz="0" w:space="0" w:color="auto"/>
                    <w:right w:val="none" w:sz="0" w:space="0" w:color="auto"/>
                  </w:divBdr>
                  <w:divsChild>
                    <w:div w:id="2029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769274">
      <w:bodyDiv w:val="1"/>
      <w:marLeft w:val="0"/>
      <w:marRight w:val="0"/>
      <w:marTop w:val="0"/>
      <w:marBottom w:val="0"/>
      <w:divBdr>
        <w:top w:val="none" w:sz="0" w:space="0" w:color="auto"/>
        <w:left w:val="none" w:sz="0" w:space="0" w:color="auto"/>
        <w:bottom w:val="none" w:sz="0" w:space="0" w:color="auto"/>
        <w:right w:val="none" w:sz="0" w:space="0" w:color="auto"/>
      </w:divBdr>
    </w:div>
    <w:div w:id="1276979587">
      <w:bodyDiv w:val="1"/>
      <w:marLeft w:val="0"/>
      <w:marRight w:val="0"/>
      <w:marTop w:val="0"/>
      <w:marBottom w:val="0"/>
      <w:divBdr>
        <w:top w:val="none" w:sz="0" w:space="0" w:color="auto"/>
        <w:left w:val="none" w:sz="0" w:space="0" w:color="auto"/>
        <w:bottom w:val="none" w:sz="0" w:space="0" w:color="auto"/>
        <w:right w:val="none" w:sz="0" w:space="0" w:color="auto"/>
      </w:divBdr>
    </w:div>
    <w:div w:id="1443693214">
      <w:bodyDiv w:val="1"/>
      <w:marLeft w:val="0"/>
      <w:marRight w:val="0"/>
      <w:marTop w:val="0"/>
      <w:marBottom w:val="0"/>
      <w:divBdr>
        <w:top w:val="none" w:sz="0" w:space="0" w:color="auto"/>
        <w:left w:val="none" w:sz="0" w:space="0" w:color="auto"/>
        <w:bottom w:val="none" w:sz="0" w:space="0" w:color="auto"/>
        <w:right w:val="none" w:sz="0" w:space="0" w:color="auto"/>
      </w:divBdr>
    </w:div>
    <w:div w:id="1553465984">
      <w:bodyDiv w:val="1"/>
      <w:marLeft w:val="0"/>
      <w:marRight w:val="0"/>
      <w:marTop w:val="0"/>
      <w:marBottom w:val="0"/>
      <w:divBdr>
        <w:top w:val="none" w:sz="0" w:space="0" w:color="auto"/>
        <w:left w:val="none" w:sz="0" w:space="0" w:color="auto"/>
        <w:bottom w:val="none" w:sz="0" w:space="0" w:color="auto"/>
        <w:right w:val="none" w:sz="0" w:space="0" w:color="auto"/>
      </w:divBdr>
    </w:div>
    <w:div w:id="1641157397">
      <w:bodyDiv w:val="1"/>
      <w:marLeft w:val="0"/>
      <w:marRight w:val="0"/>
      <w:marTop w:val="0"/>
      <w:marBottom w:val="0"/>
      <w:divBdr>
        <w:top w:val="none" w:sz="0" w:space="0" w:color="auto"/>
        <w:left w:val="none" w:sz="0" w:space="0" w:color="auto"/>
        <w:bottom w:val="none" w:sz="0" w:space="0" w:color="auto"/>
        <w:right w:val="none" w:sz="0" w:space="0" w:color="auto"/>
      </w:divBdr>
    </w:div>
    <w:div w:id="1650985760">
      <w:bodyDiv w:val="1"/>
      <w:marLeft w:val="0"/>
      <w:marRight w:val="0"/>
      <w:marTop w:val="0"/>
      <w:marBottom w:val="0"/>
      <w:divBdr>
        <w:top w:val="none" w:sz="0" w:space="0" w:color="auto"/>
        <w:left w:val="none" w:sz="0" w:space="0" w:color="auto"/>
        <w:bottom w:val="none" w:sz="0" w:space="0" w:color="auto"/>
        <w:right w:val="none" w:sz="0" w:space="0" w:color="auto"/>
      </w:divBdr>
    </w:div>
    <w:div w:id="1672370733">
      <w:bodyDiv w:val="1"/>
      <w:marLeft w:val="0"/>
      <w:marRight w:val="0"/>
      <w:marTop w:val="0"/>
      <w:marBottom w:val="0"/>
      <w:divBdr>
        <w:top w:val="none" w:sz="0" w:space="0" w:color="auto"/>
        <w:left w:val="none" w:sz="0" w:space="0" w:color="auto"/>
        <w:bottom w:val="none" w:sz="0" w:space="0" w:color="auto"/>
        <w:right w:val="none" w:sz="0" w:space="0" w:color="auto"/>
      </w:divBdr>
      <w:divsChild>
        <w:div w:id="1377393155">
          <w:marLeft w:val="0"/>
          <w:marRight w:val="0"/>
          <w:marTop w:val="0"/>
          <w:marBottom w:val="0"/>
          <w:divBdr>
            <w:top w:val="none" w:sz="0" w:space="0" w:color="auto"/>
            <w:left w:val="none" w:sz="0" w:space="0" w:color="auto"/>
            <w:bottom w:val="none" w:sz="0" w:space="0" w:color="auto"/>
            <w:right w:val="none" w:sz="0" w:space="0" w:color="auto"/>
          </w:divBdr>
          <w:divsChild>
            <w:div w:id="927037574">
              <w:marLeft w:val="0"/>
              <w:marRight w:val="0"/>
              <w:marTop w:val="0"/>
              <w:marBottom w:val="0"/>
              <w:divBdr>
                <w:top w:val="none" w:sz="0" w:space="0" w:color="auto"/>
                <w:left w:val="none" w:sz="0" w:space="0" w:color="auto"/>
                <w:bottom w:val="none" w:sz="0" w:space="0" w:color="auto"/>
                <w:right w:val="none" w:sz="0" w:space="0" w:color="auto"/>
              </w:divBdr>
              <w:divsChild>
                <w:div w:id="1073158027">
                  <w:marLeft w:val="0"/>
                  <w:marRight w:val="0"/>
                  <w:marTop w:val="0"/>
                  <w:marBottom w:val="0"/>
                  <w:divBdr>
                    <w:top w:val="none" w:sz="0" w:space="0" w:color="auto"/>
                    <w:left w:val="none" w:sz="0" w:space="0" w:color="auto"/>
                    <w:bottom w:val="none" w:sz="0" w:space="0" w:color="auto"/>
                    <w:right w:val="none" w:sz="0" w:space="0" w:color="auto"/>
                  </w:divBdr>
                  <w:divsChild>
                    <w:div w:id="7886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0955">
          <w:marLeft w:val="0"/>
          <w:marRight w:val="0"/>
          <w:marTop w:val="0"/>
          <w:marBottom w:val="0"/>
          <w:divBdr>
            <w:top w:val="none" w:sz="0" w:space="0" w:color="auto"/>
            <w:left w:val="none" w:sz="0" w:space="0" w:color="auto"/>
            <w:bottom w:val="none" w:sz="0" w:space="0" w:color="auto"/>
            <w:right w:val="none" w:sz="0" w:space="0" w:color="auto"/>
          </w:divBdr>
          <w:divsChild>
            <w:div w:id="1769807343">
              <w:marLeft w:val="0"/>
              <w:marRight w:val="0"/>
              <w:marTop w:val="0"/>
              <w:marBottom w:val="0"/>
              <w:divBdr>
                <w:top w:val="none" w:sz="0" w:space="0" w:color="auto"/>
                <w:left w:val="none" w:sz="0" w:space="0" w:color="auto"/>
                <w:bottom w:val="none" w:sz="0" w:space="0" w:color="auto"/>
                <w:right w:val="none" w:sz="0" w:space="0" w:color="auto"/>
              </w:divBdr>
              <w:divsChild>
                <w:div w:id="222059682">
                  <w:marLeft w:val="0"/>
                  <w:marRight w:val="0"/>
                  <w:marTop w:val="0"/>
                  <w:marBottom w:val="0"/>
                  <w:divBdr>
                    <w:top w:val="none" w:sz="0" w:space="0" w:color="auto"/>
                    <w:left w:val="none" w:sz="0" w:space="0" w:color="auto"/>
                    <w:bottom w:val="none" w:sz="0" w:space="0" w:color="auto"/>
                    <w:right w:val="none" w:sz="0" w:space="0" w:color="auto"/>
                  </w:divBdr>
                  <w:divsChild>
                    <w:div w:id="9295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4313">
      <w:bodyDiv w:val="1"/>
      <w:marLeft w:val="0"/>
      <w:marRight w:val="0"/>
      <w:marTop w:val="0"/>
      <w:marBottom w:val="0"/>
      <w:divBdr>
        <w:top w:val="none" w:sz="0" w:space="0" w:color="auto"/>
        <w:left w:val="none" w:sz="0" w:space="0" w:color="auto"/>
        <w:bottom w:val="none" w:sz="0" w:space="0" w:color="auto"/>
        <w:right w:val="none" w:sz="0" w:space="0" w:color="auto"/>
      </w:divBdr>
    </w:div>
    <w:div w:id="1821770527">
      <w:bodyDiv w:val="1"/>
      <w:marLeft w:val="0"/>
      <w:marRight w:val="0"/>
      <w:marTop w:val="0"/>
      <w:marBottom w:val="0"/>
      <w:divBdr>
        <w:top w:val="none" w:sz="0" w:space="0" w:color="auto"/>
        <w:left w:val="none" w:sz="0" w:space="0" w:color="auto"/>
        <w:bottom w:val="none" w:sz="0" w:space="0" w:color="auto"/>
        <w:right w:val="none" w:sz="0" w:space="0" w:color="auto"/>
      </w:divBdr>
    </w:div>
    <w:div w:id="1879972506">
      <w:bodyDiv w:val="1"/>
      <w:marLeft w:val="0"/>
      <w:marRight w:val="0"/>
      <w:marTop w:val="0"/>
      <w:marBottom w:val="0"/>
      <w:divBdr>
        <w:top w:val="none" w:sz="0" w:space="0" w:color="auto"/>
        <w:left w:val="none" w:sz="0" w:space="0" w:color="auto"/>
        <w:bottom w:val="none" w:sz="0" w:space="0" w:color="auto"/>
        <w:right w:val="none" w:sz="0" w:space="0" w:color="auto"/>
      </w:divBdr>
    </w:div>
    <w:div w:id="2039423651">
      <w:bodyDiv w:val="1"/>
      <w:marLeft w:val="0"/>
      <w:marRight w:val="0"/>
      <w:marTop w:val="0"/>
      <w:marBottom w:val="0"/>
      <w:divBdr>
        <w:top w:val="none" w:sz="0" w:space="0" w:color="auto"/>
        <w:left w:val="none" w:sz="0" w:space="0" w:color="auto"/>
        <w:bottom w:val="none" w:sz="0" w:space="0" w:color="auto"/>
        <w:right w:val="none" w:sz="0" w:space="0" w:color="auto"/>
      </w:divBdr>
      <w:divsChild>
        <w:div w:id="1849523159">
          <w:marLeft w:val="0"/>
          <w:marRight w:val="0"/>
          <w:marTop w:val="0"/>
          <w:marBottom w:val="0"/>
          <w:divBdr>
            <w:top w:val="none" w:sz="0" w:space="0" w:color="auto"/>
            <w:left w:val="none" w:sz="0" w:space="0" w:color="auto"/>
            <w:bottom w:val="none" w:sz="0" w:space="0" w:color="auto"/>
            <w:right w:val="none" w:sz="0" w:space="0" w:color="auto"/>
          </w:divBdr>
          <w:divsChild>
            <w:div w:id="1686590790">
              <w:marLeft w:val="0"/>
              <w:marRight w:val="0"/>
              <w:marTop w:val="0"/>
              <w:marBottom w:val="0"/>
              <w:divBdr>
                <w:top w:val="none" w:sz="0" w:space="0" w:color="auto"/>
                <w:left w:val="none" w:sz="0" w:space="0" w:color="auto"/>
                <w:bottom w:val="none" w:sz="0" w:space="0" w:color="auto"/>
                <w:right w:val="none" w:sz="0" w:space="0" w:color="auto"/>
              </w:divBdr>
              <w:divsChild>
                <w:div w:id="1383018398">
                  <w:marLeft w:val="0"/>
                  <w:marRight w:val="0"/>
                  <w:marTop w:val="0"/>
                  <w:marBottom w:val="0"/>
                  <w:divBdr>
                    <w:top w:val="none" w:sz="0" w:space="0" w:color="auto"/>
                    <w:left w:val="none" w:sz="0" w:space="0" w:color="auto"/>
                    <w:bottom w:val="none" w:sz="0" w:space="0" w:color="auto"/>
                    <w:right w:val="none" w:sz="0" w:space="0" w:color="auto"/>
                  </w:divBdr>
                  <w:divsChild>
                    <w:div w:id="14221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6721">
          <w:marLeft w:val="0"/>
          <w:marRight w:val="0"/>
          <w:marTop w:val="0"/>
          <w:marBottom w:val="0"/>
          <w:divBdr>
            <w:top w:val="none" w:sz="0" w:space="0" w:color="auto"/>
            <w:left w:val="none" w:sz="0" w:space="0" w:color="auto"/>
            <w:bottom w:val="none" w:sz="0" w:space="0" w:color="auto"/>
            <w:right w:val="none" w:sz="0" w:space="0" w:color="auto"/>
          </w:divBdr>
          <w:divsChild>
            <w:div w:id="709450841">
              <w:marLeft w:val="0"/>
              <w:marRight w:val="0"/>
              <w:marTop w:val="0"/>
              <w:marBottom w:val="0"/>
              <w:divBdr>
                <w:top w:val="none" w:sz="0" w:space="0" w:color="auto"/>
                <w:left w:val="none" w:sz="0" w:space="0" w:color="auto"/>
                <w:bottom w:val="none" w:sz="0" w:space="0" w:color="auto"/>
                <w:right w:val="none" w:sz="0" w:space="0" w:color="auto"/>
              </w:divBdr>
              <w:divsChild>
                <w:div w:id="314379116">
                  <w:marLeft w:val="0"/>
                  <w:marRight w:val="0"/>
                  <w:marTop w:val="0"/>
                  <w:marBottom w:val="0"/>
                  <w:divBdr>
                    <w:top w:val="none" w:sz="0" w:space="0" w:color="auto"/>
                    <w:left w:val="none" w:sz="0" w:space="0" w:color="auto"/>
                    <w:bottom w:val="none" w:sz="0" w:space="0" w:color="auto"/>
                    <w:right w:val="none" w:sz="0" w:space="0" w:color="auto"/>
                  </w:divBdr>
                  <w:divsChild>
                    <w:div w:id="5829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1436</Words>
  <Characters>8186</Characters>
  <Application>Microsoft Office Word</Application>
  <DocSecurity>0</DocSecurity>
  <Lines>68</Lines>
  <Paragraphs>19</Paragraphs>
  <ScaleCrop>false</ScaleCrop>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supriyapatil3152@outlook.com</dc:creator>
  <cp:keywords/>
  <dc:description/>
  <cp:lastModifiedBy>supriyapatil3152@outlook.com</cp:lastModifiedBy>
  <cp:revision>2</cp:revision>
  <dcterms:created xsi:type="dcterms:W3CDTF">2024-07-24T14:31:00Z</dcterms:created>
  <dcterms:modified xsi:type="dcterms:W3CDTF">2024-07-24T14:31:00Z</dcterms:modified>
</cp:coreProperties>
</file>