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aps/>
          <w:color w:val="2D6A4F"/>
          <w:sz w:val="22"/>
          <w:szCs w:val="22"/>
        </w:rPr>
        <w:t xml:space="preserve">BUSINESS REQUIREMENTS DOCUMENT — VERSION 2.0</w:t>
      </w:r>
    </w:p>
    <w:p>
      <w:pPr>
        <w:spacing w:after="120" w:before="120"/>
        <w:jc w:val="center"/>
      </w:pPr>
      <w:r>
        <w:rPr>
          <w:rFonts w:ascii="Arial" w:cs="Arial" w:eastAsia="Arial" w:hAnsi="Arial"/>
          <w:b/>
          <w:bCs/>
          <w:color w:val="1F5C3E"/>
          <w:sz w:val="56"/>
          <w:szCs w:val="56"/>
        </w:rPr>
        <w:t xml:space="preserve">SLA Command Centre</w:t>
      </w:r>
    </w:p>
    <w:p>
      <w:pPr>
        <w:spacing w:after="240" w:before="80"/>
        <w:jc w:val="center"/>
      </w:pPr>
      <w:r>
        <w:rPr>
          <w:rFonts w:ascii="Arial" w:cs="Arial" w:eastAsia="Arial" w:hAnsi="Arial"/>
          <w:color w:val="2D6A4F"/>
          <w:sz w:val="26"/>
          <w:szCs w:val="26"/>
        </w:rPr>
        <w:t xml:space="preserve">Service Cloud Implementation — Sai Dance Academy</w:t>
      </w:r>
    </w:p>
    <w:p>
      <w:pPr>
        <w:pBdr>
          <w:bottom w:val="single" w:color="CCCCCC" w:sz="4"/>
        </w:pBdr>
        <w:spacing w:after="120" w:before="120"/>
      </w:pPr>
      <w:r>
        <w:t xml:space="preserve"/>
      </w:r>
    </w:p>
    <w:p>
      <w:pPr>
        <w:spacing w:after="0" w:before="200"/>
      </w:pPr>
      <w:r>
        <w:t xml:space="preserve"/>
      </w:r>
    </w:p>
    <w:p>
      <w:pPr>
        <w:spacing w:after="40" w:before="60"/>
        <w:jc w:val="center"/>
      </w:pPr>
      <w:r>
        <w:rPr>
          <w:rFonts w:ascii="Arial" w:cs="Arial" w:eastAsia="Arial" w:hAnsi="Arial"/>
          <w:color w:val="666666"/>
          <w:sz w:val="22"/>
          <w:szCs w:val="22"/>
        </w:rPr>
        <w:t xml:space="preserve">Client: Sai Dance Academy</w:t>
      </w:r>
    </w:p>
    <w:p>
      <w:pPr>
        <w:spacing w:after="40" w:before="40"/>
        <w:jc w:val="center"/>
      </w:pPr>
      <w:r>
        <w:rPr>
          <w:rFonts w:ascii="Arial" w:cs="Arial" w:eastAsia="Arial" w:hAnsi="Arial"/>
          <w:color w:val="666666"/>
          <w:sz w:val="22"/>
          <w:szCs w:val="22"/>
        </w:rPr>
        <w:t xml:space="preserve">Prepared by: Supriya Nagesh</w:t>
      </w:r>
    </w:p>
    <w:p>
      <w:pPr>
        <w:spacing w:after="40" w:before="40"/>
        <w:jc w:val="center"/>
      </w:pPr>
      <w:r>
        <w:rPr>
          <w:rFonts w:ascii="Arial" w:cs="Arial" w:eastAsia="Arial" w:hAnsi="Arial"/>
          <w:color w:val="666666"/>
          <w:sz w:val="22"/>
          <w:szCs w:val="22"/>
        </w:rPr>
        <w:t xml:space="preserve">Date: May 2026</w:t>
      </w:r>
    </w:p>
    <w:p>
      <w:pPr>
        <w:spacing w:after="40" w:before="40"/>
        <w:jc w:val="center"/>
      </w:pPr>
      <w:r>
        <w:rPr>
          <w:rFonts w:ascii="Arial" w:cs="Arial" w:eastAsia="Arial" w:hAnsi="Arial"/>
          <w:color w:val="666666"/>
          <w:sz w:val="22"/>
          <w:szCs w:val="22"/>
        </w:rPr>
        <w:t xml:space="preserve">Version: 2.0 — Updated post-build</w:t>
      </w:r>
    </w:p>
    <w:p>
      <w:pPr>
        <w:spacing w:after="40" w:before="40"/>
        <w:jc w:val="center"/>
      </w:pPr>
      <w:r>
        <w:rPr>
          <w:rFonts w:ascii="Arial" w:cs="Arial" w:eastAsia="Arial" w:hAnsi="Arial"/>
          <w:color w:val="666666"/>
          <w:sz w:val="22"/>
          <w:szCs w:val="22"/>
        </w:rPr>
        <w:t xml:space="preserve">Project Code: SLA-COMMAND</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F5C3E"/>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360"/>
        <w:gridCol w:w="3200"/>
      </w:tblGrid>
      <w:tr>
        <w:tc>
          <w:tcPr>
            <w:tcW w:type="dxa" w:w="12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33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Changes</w:t>
            </w:r>
          </w:p>
        </w:tc>
        <w:tc>
          <w:tcPr>
            <w:tcW w:type="dxa" w:w="32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May 2026</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Initial draft — pre-build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Supriya Nagesh</w:t>
            </w:r>
          </w:p>
        </w:tc>
      </w:tr>
      <w:tr>
        <w:tc>
          <w:tcPr>
            <w:tcW w:type="dxa" w:w="12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2.0</w:t>
            </w:r>
          </w:p>
        </w:tc>
        <w:tc>
          <w:tcPr>
            <w:tcW w:type="dxa" w:w="1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May 2026</w:t>
            </w:r>
          </w:p>
        </w:tc>
        <w:tc>
          <w:tcPr>
            <w:tcW w:type="dxa" w:w="33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Updated post-build: SLA Health formula updated to First Response, Auto-Entitlement Flow added, Milestone Completion Flow removed, Known Issues section added, Escalation Rule criteria updated, Acceptance Criteria revised</w:t>
            </w:r>
          </w:p>
        </w:tc>
        <w:tc>
          <w:tcPr>
            <w:tcW w:type="dxa" w:w="32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Supriya Nagesh</w:t>
            </w:r>
          </w:p>
        </w:tc>
      </w:tr>
    </w:tbl>
    <w:p>
      <w:pPr>
        <w:spacing w:after="0" w:before="160"/>
      </w:pPr>
      <w:r>
        <w:t xml:space="preserve"/>
      </w:r>
    </w:p>
    <w:p>
      <w:pPr>
        <w:pStyle w:val="Heading1"/>
        <w:spacing w:after="160" w:before="360"/>
      </w:pPr>
      <w:r>
        <w:rPr>
          <w:rFonts w:ascii="Arial" w:cs="Arial" w:eastAsia="Arial" w:hAnsi="Arial"/>
          <w:b/>
          <w:bCs/>
          <w:color w:val="1F5C3E"/>
          <w:sz w:val="32"/>
          <w:szCs w:val="32"/>
        </w:rPr>
        <w:t xml:space="preserve">1. Executive Summary</w:t>
      </w:r>
    </w:p>
    <w:p>
      <w:pPr>
        <w:spacing w:after="80" w:before="60"/>
      </w:pPr>
      <w:r>
        <w:rPr>
          <w:rFonts w:ascii="Arial" w:cs="Arial" w:eastAsia="Arial" w:hAnsi="Arial"/>
          <w:color w:val="1A1A18"/>
          <w:sz w:val="22"/>
          <w:szCs w:val="22"/>
        </w:rPr>
        <w:t xml:space="preserve">Sai Dance Academy is a growing performing arts organisation operating across three locations. As student enrolment increases, so does the volume of parent and student support requests managed through Salesforce Service Cloud. The support team had no visibility into which cases were approaching their SLA deadlines — resulting in missed response times, escalated complaints, and frustrated parents.</w:t>
      </w:r>
    </w:p>
    <w:p>
      <w:pPr>
        <w:spacing w:after="0" w:before="120"/>
      </w:pPr>
      <w:r>
        <w:t xml:space="preserve"/>
      </w:r>
    </w:p>
    <w:p>
      <w:pPr>
        <w:spacing w:after="80" w:before="60"/>
      </w:pPr>
      <w:r>
        <w:rPr>
          <w:rFonts w:ascii="Arial" w:cs="Arial" w:eastAsia="Arial" w:hAnsi="Arial"/>
          <w:color w:val="1A1A18"/>
          <w:sz w:val="22"/>
          <w:szCs w:val="22"/>
        </w:rPr>
        <w:t xml:space="preserve">This document defines the business requirements for the SLA Command Centre — a fully declarative Service Cloud implementation providing real-time SLA visibility, automated early-warning alerts, escalation flows, and a live dashboard. It has been updated post-build to reflect all configuration decisions, limitations discovered, and changes made during implementation.</w:t>
      </w:r>
    </w:p>
    <w:p>
      <w:pPr>
        <w:spacing w:after="0" w:before="160"/>
      </w:pPr>
      <w:r>
        <w:t xml:space="preserve"/>
      </w:r>
    </w:p>
    <w:p>
      <w:pPr>
        <w:pStyle w:val="Heading1"/>
        <w:spacing w:after="160" w:before="360"/>
      </w:pPr>
      <w:r>
        <w:rPr>
          <w:rFonts w:ascii="Arial" w:cs="Arial" w:eastAsia="Arial" w:hAnsi="Arial"/>
          <w:b/>
          <w:bCs/>
          <w:color w:val="1F5C3E"/>
          <w:sz w:val="32"/>
          <w:szCs w:val="32"/>
        </w:rPr>
        <w:t xml:space="preserve">2. Business Context</w:t>
      </w:r>
    </w:p>
    <w:p>
      <w:pPr>
        <w:pStyle w:val="Heading2"/>
        <w:spacing w:after="120" w:before="240"/>
      </w:pPr>
      <w:r>
        <w:rPr>
          <w:rFonts w:ascii="Arial" w:cs="Arial" w:eastAsia="Arial" w:hAnsi="Arial"/>
          <w:b/>
          <w:bCs/>
          <w:color w:val="2D6A4F"/>
          <w:sz w:val="26"/>
          <w:szCs w:val="26"/>
        </w:rPr>
        <w:t xml:space="preserve">2.1 About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8"/>
                <w:sz w:val="20"/>
                <w:szCs w:val="20"/>
              </w:rPr>
              <w:t xml:space="preserve">Organisation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Sai Dance Academy</w:t>
            </w:r>
          </w:p>
        </w:tc>
      </w:tr>
      <w:tr>
        <w:tc>
          <w:tcPr>
            <w:tcW w:type="dxa" w:w="2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bCs/>
                <w:color w:val="1A1A18"/>
                <w:sz w:val="20"/>
                <w:szCs w:val="20"/>
              </w:rPr>
              <w:t xml:space="preserve">Industry</w:t>
            </w:r>
          </w:p>
        </w:tc>
        <w:tc>
          <w:tcPr>
            <w:tcW w:type="dxa" w:w="6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Performing Arts / Dance Education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8"/>
                <w:sz w:val="20"/>
                <w:szCs w:val="20"/>
              </w:rPr>
              <w:t xml:space="preserve">Locations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3 branches</w:t>
            </w:r>
          </w:p>
        </w:tc>
      </w:tr>
      <w:tr>
        <w:tc>
          <w:tcPr>
            <w:tcW w:type="dxa" w:w="2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bCs/>
                <w:color w:val="1A1A18"/>
                <w:sz w:val="20"/>
                <w:szCs w:val="20"/>
              </w:rPr>
              <w:t xml:space="preserve">CRM Platform</w:t>
            </w:r>
          </w:p>
        </w:tc>
        <w:tc>
          <w:tcPr>
            <w:tcW w:type="dxa" w:w="6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Salesforce — Service Cloud (existing org)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8"/>
                <w:sz w:val="20"/>
                <w:szCs w:val="20"/>
              </w:rPr>
              <w:t xml:space="preserve">Key Stakeholder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Priya — Operations Manager</w:t>
            </w:r>
          </w:p>
        </w:tc>
      </w:tr>
      <w:tr>
        <w:tc>
          <w:tcPr>
            <w:tcW w:type="dxa" w:w="2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bCs/>
                <w:color w:val="1A1A18"/>
                <w:sz w:val="20"/>
                <w:szCs w:val="20"/>
              </w:rPr>
              <w:t xml:space="preserve">Project Sponsor</w:t>
            </w:r>
          </w:p>
        </w:tc>
        <w:tc>
          <w:tcPr>
            <w:tcW w:type="dxa" w:w="6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Academy Director</w:t>
            </w:r>
          </w:p>
        </w:tc>
      </w:tr>
    </w:tbl>
    <w:p>
      <w:pPr>
        <w:spacing w:after="0" w:before="160"/>
      </w:pPr>
      <w:r>
        <w:t xml:space="preserve"/>
      </w:r>
    </w:p>
    <w:p>
      <w:pPr>
        <w:pStyle w:val="Heading2"/>
        <w:spacing w:after="120" w:before="240"/>
      </w:pPr>
      <w:r>
        <w:rPr>
          <w:rFonts w:ascii="Arial" w:cs="Arial" w:eastAsia="Arial" w:hAnsi="Arial"/>
          <w:b/>
          <w:bCs/>
          <w:color w:val="2D6A4F"/>
          <w:sz w:val="26"/>
          <w:szCs w:val="26"/>
        </w:rPr>
        <w:t xml:space="preserve">2.2 Business Problem</w:t>
      </w:r>
    </w:p>
    <w:p>
      <w:pPr>
        <w:spacing w:after="80" w:before="60"/>
      </w:pPr>
      <w:r>
        <w:rPr>
          <w:rFonts w:ascii="Arial" w:cs="Arial" w:eastAsia="Arial" w:hAnsi="Arial"/>
          <w:color w:val="1A1A18"/>
          <w:sz w:val="22"/>
          <w:szCs w:val="22"/>
        </w:rPr>
        <w:t xml:space="preserve">The academy admin and support team manage a high volume of parent and student requests daily across three case types:</w:t>
      </w:r>
    </w:p>
    <w:p>
      <w:pPr>
        <w:pStyle w:val="ListParagraph"/>
        <w:numPr>
          <w:ilvl w:val="0"/>
          <w:numId w:val="2"/>
        </w:numPr>
        <w:spacing w:after="40" w:before="40"/>
      </w:pPr>
      <w:r>
        <w:rPr>
          <w:rFonts w:ascii="Arial" w:cs="Arial" w:eastAsia="Arial" w:hAnsi="Arial"/>
          <w:sz w:val="22"/>
          <w:szCs w:val="22"/>
        </w:rPr>
        <w:t xml:space="preserve">Payment issues and fee disputes</w:t>
      </w:r>
    </w:p>
    <w:p>
      <w:pPr>
        <w:pStyle w:val="ListParagraph"/>
        <w:numPr>
          <w:ilvl w:val="0"/>
          <w:numId w:val="2"/>
        </w:numPr>
        <w:spacing w:after="40" w:before="40"/>
      </w:pPr>
      <w:r>
        <w:rPr>
          <w:rFonts w:ascii="Arial" w:cs="Arial" w:eastAsia="Arial" w:hAnsi="Arial"/>
          <w:sz w:val="22"/>
          <w:szCs w:val="22"/>
        </w:rPr>
        <w:t xml:space="preserve">Enrollment queries and schedule changes</w:t>
      </w:r>
    </w:p>
    <w:p>
      <w:pPr>
        <w:pStyle w:val="ListParagraph"/>
        <w:numPr>
          <w:ilvl w:val="0"/>
          <w:numId w:val="2"/>
        </w:numPr>
        <w:spacing w:after="40" w:before="40"/>
      </w:pPr>
      <w:r>
        <w:rPr>
          <w:rFonts w:ascii="Arial" w:cs="Arial" w:eastAsia="Arial" w:hAnsi="Arial"/>
          <w:sz w:val="22"/>
          <w:szCs w:val="22"/>
        </w:rPr>
        <w:t xml:space="preserve">Costume orders, recital coordination, and general feedback</w:t>
      </w:r>
    </w:p>
    <w:p>
      <w:pPr>
        <w:spacing w:after="0" w:before="120"/>
      </w:pPr>
      <w:r>
        <w:t xml:space="preserve"/>
      </w:r>
    </w:p>
    <w:p>
      <w:pPr>
        <w:spacing w:after="80" w:before="60"/>
      </w:pPr>
      <w:r>
        <w:rPr>
          <w:rFonts w:ascii="Arial" w:cs="Arial" w:eastAsia="Arial" w:hAnsi="Arial"/>
          <w:color w:val="1A1A18"/>
          <w:sz w:val="22"/>
          <w:szCs w:val="22"/>
        </w:rPr>
        <w:t xml:space="preserve">A recent incident illustrated the cost of this gap: a parent's payment error case sat unresolved for four days. By the time the team responded, the parent had shared their frustration publicly on social media — causing reputational damage to the academy.</w:t>
      </w:r>
    </w:p>
    <w:p>
      <w:pPr>
        <w:spacing w:after="0" w:before="160"/>
      </w:pPr>
      <w:r>
        <w:t xml:space="preserve"/>
      </w:r>
    </w:p>
    <w:p>
      <w:pPr>
        <w:pStyle w:val="Heading2"/>
        <w:spacing w:after="120" w:before="240"/>
      </w:pPr>
      <w:r>
        <w:rPr>
          <w:rFonts w:ascii="Arial" w:cs="Arial" w:eastAsia="Arial" w:hAnsi="Arial"/>
          <w:b/>
          <w:bCs/>
          <w:color w:val="2D6A4F"/>
          <w:sz w:val="26"/>
          <w:szCs w:val="26"/>
        </w:rPr>
        <w:t xml:space="preserve">2.3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c>
          <w:tcPr>
            <w:tcW w:type="dxa" w:w="4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Goal</w:t>
            </w:r>
          </w:p>
        </w:tc>
        <w:tc>
          <w:tcPr>
            <w:tcW w:type="dxa" w:w="37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Metric</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Real-time SLA visibility on every case record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SLA Health field adopted by 100% of support team</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2</w:t>
            </w:r>
          </w:p>
        </w:tc>
        <w:tc>
          <w:tcPr>
            <w:tcW w:type="dxa" w:w="52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Alert agents before SLA breach — not after</w:t>
            </w:r>
          </w:p>
        </w:tc>
        <w:tc>
          <w:tcPr>
            <w:tcW w:type="dxa" w:w="37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Warning Action fires at 75% SLA usage every time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Notify Operations Manager automatically on escalation risk</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Zero manual escalation handoffs</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4</w:t>
            </w:r>
          </w:p>
        </w:tc>
        <w:tc>
          <w:tcPr>
            <w:tcW w:type="dxa" w:w="52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Reduce overall SLA breach rate</w:t>
            </w:r>
          </w:p>
        </w:tc>
        <w:tc>
          <w:tcPr>
            <w:tcW w:type="dxa" w:w="37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60% reduction within 30 days of go-live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Eliminate daily manual report runs by managers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Zero manual report pulls needed</w:t>
            </w:r>
          </w:p>
        </w:tc>
      </w:tr>
    </w:tbl>
    <w:p>
      <w:pPr>
        <w:spacing w:after="0" w:before="160"/>
      </w:pPr>
      <w:r>
        <w:t xml:space="preserve"/>
      </w:r>
    </w:p>
    <w:p>
      <w:r>
        <w:br w:type="page"/>
      </w:r>
    </w:p>
    <w:p>
      <w:pPr>
        <w:pStyle w:val="Heading1"/>
        <w:spacing w:after="160" w:before="360"/>
      </w:pPr>
      <w:r>
        <w:rPr>
          <w:rFonts w:ascii="Arial" w:cs="Arial" w:eastAsia="Arial" w:hAnsi="Arial"/>
          <w:b/>
          <w:bCs/>
          <w:color w:val="1F5C3E"/>
          <w:sz w:val="32"/>
          <w:szCs w:val="32"/>
        </w:rP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 / Role</w:t>
            </w:r>
          </w:p>
        </w:tc>
        <w:tc>
          <w:tcPr>
            <w:tcW w:type="dxa" w:w="22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Department</w:t>
            </w:r>
          </w:p>
        </w:tc>
        <w:tc>
          <w:tcPr>
            <w:tcW w:type="dxa" w:w="45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Interest in Project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Priya (Operations Manager)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Operations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Primary stakeholder. Wants manager-level visibility and automatic escalation notifications.</w:t>
            </w:r>
          </w:p>
        </w:tc>
      </w:tr>
      <w:tr>
        <w:tc>
          <w:tcPr>
            <w:tcW w:type="dxa" w:w="2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Support Agents (x3)</w:t>
            </w:r>
          </w:p>
        </w:tc>
        <w:tc>
          <w:tcPr>
            <w:tcW w:type="dxa" w:w="22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Customer Support</w:t>
            </w:r>
          </w:p>
        </w:tc>
        <w:tc>
          <w:tcPr>
            <w:tcW w:type="dxa" w:w="4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End users. Need SLA Health field on case records and timely alert emails.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Academy Director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Executive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Cares about parent satisfaction and reputational risk reduction.</w:t>
            </w:r>
          </w:p>
        </w:tc>
      </w:tr>
      <w:tr>
        <w:tc>
          <w:tcPr>
            <w:tcW w:type="dxa" w:w="2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Supriya Nagesh</w:t>
            </w:r>
          </w:p>
        </w:tc>
        <w:tc>
          <w:tcPr>
            <w:tcW w:type="dxa" w:w="22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Salesforce Consultant</w:t>
            </w:r>
          </w:p>
        </w:tc>
        <w:tc>
          <w:tcPr>
            <w:tcW w:type="dxa" w:w="4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Implementing the solution. Responsible for all configuration, testing, and documentation.</w:t>
            </w:r>
          </w:p>
        </w:tc>
      </w:tr>
    </w:tbl>
    <w:p>
      <w:pPr>
        <w:spacing w:after="0" w:before="160"/>
      </w:pPr>
      <w:r>
        <w:t xml:space="preserve"/>
      </w:r>
    </w:p>
    <w:p>
      <w:pPr>
        <w:pStyle w:val="Heading1"/>
        <w:spacing w:after="160" w:before="360"/>
      </w:pPr>
      <w:r>
        <w:rPr>
          <w:rFonts w:ascii="Arial" w:cs="Arial" w:eastAsia="Arial" w:hAnsi="Arial"/>
          <w:b/>
          <w:bCs/>
          <w:color w:val="1F5C3E"/>
          <w:sz w:val="32"/>
          <w:szCs w:val="32"/>
        </w:rPr>
        <w:t xml:space="preserve">4. SLA Tiers</w:t>
      </w:r>
    </w:p>
    <w:p>
      <w:pPr>
        <w:spacing w:after="80" w:before="60"/>
      </w:pPr>
      <w:r>
        <w:rPr>
          <w:rFonts w:ascii="Arial" w:cs="Arial" w:eastAsia="Arial" w:hAnsi="Arial"/>
          <w:color w:val="1A1A18"/>
          <w:sz w:val="22"/>
          <w:szCs w:val="22"/>
        </w:rPr>
        <w:t xml:space="preserve">The system supports three case priority levels. Priority picklist values were customised from Salesforce defaults (High/Medium/Low deactivated) to Urgent/Standard/General to align with academy terminology. Each tier has distinct SLA windows tracked by the SLA Health formula field against the First Response milestone.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1400"/>
        <w:gridCol w:w="1000"/>
        <w:gridCol w:w="1000"/>
        <w:gridCol w:w="1160"/>
      </w:tblGrid>
      <w:tr>
        <w:tc>
          <w:tcPr>
            <w:tcW w:type="dxa" w:w="14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Case Types</w:t>
            </w:r>
          </w:p>
        </w:tc>
        <w:tc>
          <w:tcPr>
            <w:tcW w:type="dxa" w:w="14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First Response</w:t>
            </w:r>
          </w:p>
        </w:tc>
        <w:tc>
          <w:tcPr>
            <w:tcW w:type="dxa" w:w="14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Resolution</w:t>
            </w:r>
          </w:p>
        </w:tc>
        <w:tc>
          <w:tcPr>
            <w:tcW w:type="dxa" w:w="10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At Risk</w:t>
            </w:r>
          </w:p>
        </w:tc>
        <w:tc>
          <w:tcPr>
            <w:tcW w:type="dxa" w:w="10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Breached</w:t>
            </w:r>
          </w:p>
        </w:tc>
        <w:tc>
          <w:tcPr>
            <w:tcW w:type="dxa" w:w="11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SF Process</w:t>
            </w:r>
          </w:p>
        </w:tc>
      </w:tr>
      <w:tr>
        <w:tc>
          <w:tcPr>
            <w:tcW w:type="dxa" w:w="1400"/>
            <w:tcBorders>
              <w:top w:val="single" w:color="CCCCCC" w:sz="1"/>
              <w:left w:val="single" w:color="CCCCCC" w:sz="1"/>
              <w:bottom w:val="single" w:color="CCCCCC" w:sz="1"/>
              <w:right w:val="single" w:color="CCCCCC" w:sz="1"/>
            </w:tcBorders>
            <w:shd w:fill="FDE8E0" w:val="clear"/>
            <w:tcMar>
              <w:top w:type="dxa" w:w="100"/>
              <w:left w:type="dxa" w:w="140"/>
              <w:bottom w:type="dxa" w:w="100"/>
              <w:right w:type="dxa" w:w="140"/>
            </w:tcMar>
          </w:tcPr>
          <w:p>
            <w:r>
              <w:rPr>
                <w:rFonts w:ascii="Arial" w:cs="Arial" w:eastAsia="Arial" w:hAnsi="Arial"/>
                <w:b/>
                <w:bCs/>
                <w:color w:val="B5451B"/>
                <w:sz w:val="20"/>
                <w:szCs w:val="20"/>
              </w:rPr>
              <w:t xml:space="preserve">Urgent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Payment failures, access issues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4 hours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8 hours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3 hrs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4 hrs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SDA_Urgent_SLA</w:t>
            </w:r>
          </w:p>
        </w:tc>
      </w:tr>
      <w:tr>
        <w:tc>
          <w:tcPr>
            <w:tcW w:type="dxa" w:w="1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bCs/>
                <w:color w:val="2D6A4F"/>
                <w:sz w:val="20"/>
                <w:szCs w:val="20"/>
              </w:rPr>
              <w:t xml:space="preserve">Standard</w:t>
            </w:r>
          </w:p>
        </w:tc>
        <w:tc>
          <w:tcPr>
            <w:tcW w:type="dxa" w:w="22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Enrollment, schedule changes</w:t>
            </w:r>
          </w:p>
        </w:tc>
        <w:tc>
          <w:tcPr>
            <w:tcW w:type="dxa" w:w="1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24 hours</w:t>
            </w:r>
          </w:p>
        </w:tc>
        <w:tc>
          <w:tcPr>
            <w:tcW w:type="dxa" w:w="1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48 hours</w:t>
            </w:r>
          </w:p>
        </w:tc>
        <w:tc>
          <w:tcPr>
            <w:tcW w:type="dxa" w:w="1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18 hrs</w:t>
            </w:r>
          </w:p>
        </w:tc>
        <w:tc>
          <w:tcPr>
            <w:tcW w:type="dxa" w:w="1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24 hrs</w:t>
            </w:r>
          </w:p>
        </w:tc>
        <w:tc>
          <w:tcPr>
            <w:tcW w:type="dxa" w:w="11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SDA_Standard_SLA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666666"/>
                <w:sz w:val="20"/>
                <w:szCs w:val="20"/>
              </w:rPr>
              <w:t xml:space="preserve">General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Feedback, newsletter requests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48 hours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120 hours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36 hrs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48 hrs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SDA_General_SLA</w:t>
            </w:r>
          </w:p>
        </w:tc>
      </w:tr>
    </w:tbl>
    <w:p>
      <w:pPr>
        <w:spacing w:after="0" w:before="120"/>
      </w:pPr>
      <w:r>
        <w:t xml:space="preserve"/>
      </w:r>
    </w:p>
    <w:p>
      <w:pPr>
        <w:spacing w:after="80" w:before="60"/>
      </w:pPr>
      <w:r>
        <w:rPr>
          <w:rFonts w:ascii="Arial" w:cs="Arial" w:eastAsia="Arial" w:hAnsi="Arial"/>
          <w:i/>
          <w:iCs/>
          <w:color w:val="666666"/>
          <w:sz w:val="22"/>
          <w:szCs w:val="22"/>
        </w:rPr>
        <w:t xml:space="preserve">Note: SLA Health formula tracks the First Response window. At Risk = 75% of First Response elapsed. Breached = First Response window expired.</w:t>
      </w:r>
    </w:p>
    <w:p>
      <w:pPr>
        <w:spacing w:after="0" w:before="160"/>
      </w:pPr>
      <w:r>
        <w:t xml:space="preserve"/>
      </w:r>
    </w:p>
    <w:p>
      <w:r>
        <w:br w:type="page"/>
      </w:r>
    </w:p>
    <w:p>
      <w:pPr>
        <w:pStyle w:val="Heading1"/>
        <w:spacing w:after="160" w:before="360"/>
      </w:pPr>
      <w:r>
        <w:rPr>
          <w:rFonts w:ascii="Arial" w:cs="Arial" w:eastAsia="Arial" w:hAnsi="Arial"/>
          <w:b/>
          <w:bCs/>
          <w:color w:val="1F5C3E"/>
          <w:sz w:val="32"/>
          <w:szCs w:val="32"/>
        </w:rPr>
        <w:t xml:space="preserve">5.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960"/>
        <w:gridCol w:w="2000"/>
      </w:tblGrid>
      <w:tr>
        <w:tc>
          <w:tcPr>
            <w:tcW w:type="dxa" w:w="6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49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SLA Tracking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System must track First Response and Resolution milestones per case priority using Salesforce Entitlements &amp; Milestone Processes</w:t>
            </w:r>
          </w:p>
        </w:tc>
        <w:tc>
          <w:tcPr>
            <w:tcW w:type="dxa" w:w="20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FR-02</w:t>
            </w:r>
          </w:p>
        </w:tc>
        <w:tc>
          <w:tcPr>
            <w:tcW w:type="dxa" w:w="1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Alerting</w:t>
            </w:r>
          </w:p>
        </w:tc>
        <w:tc>
          <w:tcPr>
            <w:tcW w:type="dxa" w:w="49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Automated email alert to assigned agent when case reaches 75% of First Response SLA window via Milestone Warning Actions</w:t>
            </w:r>
          </w:p>
        </w:tc>
        <w:tc>
          <w:tcPr>
            <w:tcW w:type="dxa" w:w="20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Visibility</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Formula field SLA Health on Case record showing live status based on First Response window: On Track (&lt;75%), At Risk (75%+), Breached (100%+), Escalated, Closed</w:t>
            </w:r>
          </w:p>
        </w:tc>
        <w:tc>
          <w:tcPr>
            <w:tcW w:type="dxa" w:w="20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FR-04</w:t>
            </w:r>
          </w:p>
        </w:tc>
        <w:tc>
          <w:tcPr>
            <w:tcW w:type="dxa" w:w="1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Escalation</w:t>
            </w:r>
          </w:p>
        </w:tc>
        <w:tc>
          <w:tcPr>
            <w:tcW w:type="dxa" w:w="49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Cases open beyond threshold hours (Status = New only) must auto-reassign to Operations queue and notify Operations Manager</w:t>
            </w:r>
          </w:p>
        </w:tc>
        <w:tc>
          <w:tcPr>
            <w:tcW w:type="dxa" w:w="20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Automation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Auto-Entitlement Assignment Flow must assign correct Entitlement to every new case based on Priority — no hardcoded IDs</w:t>
            </w:r>
          </w:p>
        </w:tc>
        <w:tc>
          <w:tcPr>
            <w:tcW w:type="dxa" w:w="20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FR-06</w:t>
            </w:r>
          </w:p>
        </w:tc>
        <w:tc>
          <w:tcPr>
            <w:tcW w:type="dxa" w:w="1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Dashboard</w:t>
            </w:r>
          </w:p>
        </w:tc>
        <w:tc>
          <w:tcPr>
            <w:tcW w:type="dxa" w:w="49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Real-time Service Cloud dashboard showing open cases by milestone status, breach risk by owner, 30-day compliance trend</w:t>
            </w:r>
          </w:p>
        </w:tc>
        <w:tc>
          <w:tcPr>
            <w:tcW w:type="dxa" w:w="20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Reporting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Historical SLA breach report by priority, owner, and week for coaching and process improvement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Should Have</w:t>
            </w:r>
          </w:p>
        </w:tc>
      </w:tr>
      <w:tr>
        <w:tc>
          <w:tcPr>
            <w:tcW w:type="dxa" w:w="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FR-08</w:t>
            </w:r>
          </w:p>
        </w:tc>
        <w:tc>
          <w:tcPr>
            <w:tcW w:type="dxa" w:w="1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Access</w:t>
            </w:r>
          </w:p>
        </w:tc>
        <w:tc>
          <w:tcPr>
            <w:tcW w:type="dxa" w:w="49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Dashboard visible to all agents (view only); edit access restricted to System Admin</w:t>
            </w:r>
          </w:p>
        </w:tc>
        <w:tc>
          <w:tcPr>
            <w:tcW w:type="dxa" w:w="20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FR-09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Case Intake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Email-to-Case to be configured as a future enhancement (Stage 6) to auto-create cases from parent emails to support@saidanceacademy.com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Future Phase</w:t>
            </w:r>
          </w:p>
        </w:tc>
      </w:tr>
    </w:tbl>
    <w:p>
      <w:pPr>
        <w:spacing w:after="0" w:before="160"/>
      </w:pPr>
      <w:r>
        <w:t xml:space="preserve"/>
      </w:r>
    </w:p>
    <w:p>
      <w:pPr>
        <w:pStyle w:val="Heading1"/>
        <w:spacing w:after="160" w:before="360"/>
      </w:pPr>
      <w:r>
        <w:rPr>
          <w:rFonts w:ascii="Arial" w:cs="Arial" w:eastAsia="Arial" w:hAnsi="Arial"/>
          <w:b/>
          <w:bCs/>
          <w:color w:val="1F5C3E"/>
          <w:sz w:val="32"/>
          <w:szCs w:val="32"/>
        </w:rPr>
        <w:t xml:space="preserve">6. Non-Functional Requirements</w:t>
      </w:r>
    </w:p>
    <w:p>
      <w:pPr>
        <w:pStyle w:val="ListParagraph"/>
        <w:numPr>
          <w:ilvl w:val="0"/>
          <w:numId w:val="2"/>
        </w:numPr>
        <w:spacing w:after="40" w:before="40"/>
      </w:pPr>
      <w:r>
        <w:rPr>
          <w:rFonts w:ascii="Arial" w:cs="Arial" w:eastAsia="Arial" w:hAnsi="Arial"/>
          <w:sz w:val="22"/>
          <w:szCs w:val="22"/>
        </w:rPr>
        <w:t xml:space="preserve">No custom Apex code — solution must be 100% declarative</w:t>
      </w:r>
    </w:p>
    <w:p>
      <w:pPr>
        <w:pStyle w:val="ListParagraph"/>
        <w:numPr>
          <w:ilvl w:val="0"/>
          <w:numId w:val="2"/>
        </w:numPr>
        <w:spacing w:after="40" w:before="40"/>
      </w:pPr>
      <w:r>
        <w:rPr>
          <w:rFonts w:ascii="Arial" w:cs="Arial" w:eastAsia="Arial" w:hAnsi="Arial"/>
          <w:sz w:val="22"/>
          <w:szCs w:val="22"/>
        </w:rPr>
        <w:t xml:space="preserve">No third-party apps or AppExchange packages required</w:t>
      </w:r>
    </w:p>
    <w:p>
      <w:pPr>
        <w:pStyle w:val="ListParagraph"/>
        <w:numPr>
          <w:ilvl w:val="0"/>
          <w:numId w:val="2"/>
        </w:numPr>
        <w:spacing w:after="40" w:before="40"/>
      </w:pPr>
      <w:r>
        <w:rPr>
          <w:rFonts w:ascii="Arial" w:cs="Arial" w:eastAsia="Arial" w:hAnsi="Arial"/>
          <w:sz w:val="22"/>
          <w:szCs w:val="22"/>
        </w:rPr>
        <w:t xml:space="preserve">SLA Health formula field must reflect case status without manual refresh</w:t>
      </w:r>
    </w:p>
    <w:p>
      <w:pPr>
        <w:pStyle w:val="ListParagraph"/>
        <w:numPr>
          <w:ilvl w:val="0"/>
          <w:numId w:val="2"/>
        </w:numPr>
        <w:spacing w:after="40" w:before="40"/>
      </w:pPr>
      <w:r>
        <w:rPr>
          <w:rFonts w:ascii="Arial" w:cs="Arial" w:eastAsia="Arial" w:hAnsi="Arial"/>
          <w:sz w:val="22"/>
          <w:szCs w:val="22"/>
        </w:rPr>
        <w:t xml:space="preserve">Alert emails must be delivered within 5 minutes of threshold being crossed</w:t>
      </w:r>
    </w:p>
    <w:p>
      <w:pPr>
        <w:pStyle w:val="ListParagraph"/>
        <w:numPr>
          <w:ilvl w:val="0"/>
          <w:numId w:val="2"/>
        </w:numPr>
        <w:spacing w:after="40" w:before="40"/>
      </w:pPr>
      <w:r>
        <w:rPr>
          <w:rFonts w:ascii="Arial" w:cs="Arial" w:eastAsia="Arial" w:hAnsi="Arial"/>
          <w:sz w:val="22"/>
          <w:szCs w:val="22"/>
        </w:rPr>
        <w:t xml:space="preserve">Solution built within existing Sai Dance Academy Salesforce org — no new org required</w:t>
      </w:r>
    </w:p>
    <w:p>
      <w:pPr>
        <w:pStyle w:val="ListParagraph"/>
        <w:numPr>
          <w:ilvl w:val="0"/>
          <w:numId w:val="2"/>
        </w:numPr>
        <w:spacing w:after="40" w:before="40"/>
      </w:pPr>
      <w:r>
        <w:rPr>
          <w:rFonts w:ascii="Arial" w:cs="Arial" w:eastAsia="Arial" w:hAnsi="Arial"/>
          <w:sz w:val="22"/>
          <w:szCs w:val="22"/>
        </w:rPr>
        <w:t xml:space="preserve">Escalation Rules must include Status = New criteria to prevent alerts firing on closed cases</w:t>
      </w:r>
    </w:p>
    <w:p>
      <w:pPr>
        <w:pStyle w:val="ListParagraph"/>
        <w:numPr>
          <w:ilvl w:val="0"/>
          <w:numId w:val="2"/>
        </w:numPr>
        <w:spacing w:after="40" w:before="40"/>
      </w:pPr>
      <w:r>
        <w:rPr>
          <w:rFonts w:ascii="Arial" w:cs="Arial" w:eastAsia="Arial" w:hAnsi="Arial"/>
          <w:sz w:val="22"/>
          <w:szCs w:val="22"/>
        </w:rPr>
        <w:t xml:space="preserve">Auto-Entitlement Flow must use Get Records — no hardcoded Record IDs</w:t>
      </w:r>
    </w:p>
    <w:p>
      <w:pPr>
        <w:spacing w:after="0" w:before="160"/>
      </w:pPr>
      <w:r>
        <w:t xml:space="preserve"/>
      </w:r>
    </w:p>
    <w:p>
      <w:r>
        <w:br w:type="page"/>
      </w:r>
    </w:p>
    <w:p>
      <w:pPr>
        <w:pStyle w:val="Heading1"/>
        <w:spacing w:after="160" w:before="360"/>
      </w:pPr>
      <w:r>
        <w:rPr>
          <w:rFonts w:ascii="Arial" w:cs="Arial" w:eastAsia="Arial" w:hAnsi="Arial"/>
          <w:b/>
          <w:bCs/>
          <w:color w:val="1F5C3E"/>
          <w:sz w:val="32"/>
          <w:szCs w:val="32"/>
        </w:rPr>
        <w:t xml:space="preserve">7. Solution Components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560"/>
        <w:gridCol w:w="2400"/>
      </w:tblGrid>
      <w:tr>
        <w:tc>
          <w:tcPr>
            <w:tcW w:type="dxa" w:w="4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 / Status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Entitlements &amp; Entitlement Processes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Define SLA windows per priority tier (3 processes)</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1 ✅</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2</w:t>
            </w:r>
          </w:p>
        </w:tc>
        <w:tc>
          <w:tcPr>
            <w:tcW w:type="dxa" w:w="3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Milestones — First Response &amp; Resolution</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Track SLA checkpoints per case. Locked after first use — cannot be edited retroactively</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1 ✅</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Milestone Warning Actions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Fire 75% alert emails to assigned agents on all 6 milestones across 3 processes</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2 ✅</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4</w:t>
            </w:r>
          </w:p>
        </w:tc>
        <w:tc>
          <w:tcPr>
            <w:tcW w:type="dxa" w:w="3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Email Alert — SLA Warning Alert</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Email template and alert triggered by Warning Actions. Tested end-to-end</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2 ✅</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Formula Field — SLA Health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Visual SLA status indicator on every Case record. Tracks First Response window using ISPICKVAL()</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2 ✅</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6</w:t>
            </w:r>
          </w:p>
        </w:tc>
        <w:tc>
          <w:tcPr>
            <w:tcW w:type="dxa" w:w="3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Custom Field — SLA_Alert_Sent__c</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Checkbox reserved for future duplicate alert guard via Apex</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2 ✅</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Auto-Entitlement Assignment Flow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Record-Triggered Flow assigns correct Entitlement on case creation. Uses Get Records — no hardcoded IDs</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5 ✅</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8</w:t>
            </w:r>
          </w:p>
        </w:tc>
        <w:tc>
          <w:tcPr>
            <w:tcW w:type="dxa" w:w="3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Escalation Rules</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Auto-reassign and notify manager. Status = New criteria prevents closed case triggers</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3 ✅</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Reports &amp; Dashboard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3-component real-time SLA dashboard. Running user = Operations Manager</w:t>
            </w:r>
          </w:p>
        </w:tc>
        <w:tc>
          <w:tcPr>
            <w:tcW w:type="dxa" w:w="24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Stage 4 ✅</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10</w:t>
            </w:r>
          </w:p>
        </w:tc>
        <w:tc>
          <w:tcPr>
            <w:tcW w:type="dxa" w:w="3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Milestone Completion Flow</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NOT BUILT — MilestoneName field not accessible via Flow on CaseMilestone object. Apex required. Documented as future enhancement</w:t>
            </w:r>
          </w:p>
        </w:tc>
        <w:tc>
          <w:tcPr>
            <w:tcW w:type="dxa" w:w="240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tcPr>
          <w:p>
            <w:r>
              <w:rPr>
                <w:rFonts w:ascii="Arial" w:cs="Arial" w:eastAsia="Arial" w:hAnsi="Arial"/>
                <w:color w:val="C9A84C"/>
                <w:sz w:val="20"/>
                <w:szCs w:val="20"/>
              </w:rPr>
              <w:t xml:space="preserve">Not Built — Apex Required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Email-to-Case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Auto-create cases from parent emails to support@saidanceacademy.com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Stage 6 — Future</w:t>
            </w:r>
          </w:p>
        </w:tc>
      </w:tr>
    </w:tbl>
    <w:p>
      <w:pPr>
        <w:spacing w:after="0" w:before="160"/>
      </w:pPr>
      <w:r>
        <w:t xml:space="preserve"/>
      </w:r>
    </w:p>
    <w:p>
      <w:r>
        <w:br w:type="page"/>
      </w:r>
    </w:p>
    <w:p>
      <w:pPr>
        <w:pStyle w:val="Heading1"/>
        <w:spacing w:after="160" w:before="360"/>
      </w:pPr>
      <w:r>
        <w:rPr>
          <w:rFonts w:ascii="Arial" w:cs="Arial" w:eastAsia="Arial" w:hAnsi="Arial"/>
          <w:b/>
          <w:bCs/>
          <w:color w:val="1F5C3E"/>
          <w:sz w:val="32"/>
          <w:szCs w:val="32"/>
        </w:rPr>
        <w:t xml:space="preserve">8. Out of Scope</w:t>
      </w:r>
    </w:p>
    <w:p>
      <w:pPr>
        <w:pStyle w:val="ListParagraph"/>
        <w:numPr>
          <w:ilvl w:val="0"/>
          <w:numId w:val="2"/>
        </w:numPr>
        <w:spacing w:after="40" w:before="40"/>
      </w:pPr>
      <w:r>
        <w:rPr>
          <w:rFonts w:ascii="Arial" w:cs="Arial" w:eastAsia="Arial" w:hAnsi="Arial"/>
          <w:sz w:val="22"/>
          <w:szCs w:val="22"/>
        </w:rPr>
        <w:t xml:space="preserve">Customer-facing portal or Experience Cloud site</w:t>
      </w:r>
    </w:p>
    <w:p>
      <w:pPr>
        <w:pStyle w:val="ListParagraph"/>
        <w:numPr>
          <w:ilvl w:val="0"/>
          <w:numId w:val="2"/>
        </w:numPr>
        <w:spacing w:after="40" w:before="40"/>
      </w:pPr>
      <w:r>
        <w:rPr>
          <w:rFonts w:ascii="Arial" w:cs="Arial" w:eastAsia="Arial" w:hAnsi="Arial"/>
          <w:sz w:val="22"/>
          <w:szCs w:val="22"/>
        </w:rPr>
        <w:t xml:space="preserve">Web-to-Case (covered under a separate portfolio project)</w:t>
      </w:r>
    </w:p>
    <w:p>
      <w:pPr>
        <w:pStyle w:val="ListParagraph"/>
        <w:numPr>
          <w:ilvl w:val="0"/>
          <w:numId w:val="2"/>
        </w:numPr>
        <w:spacing w:after="40" w:before="40"/>
      </w:pPr>
      <w:r>
        <w:rPr>
          <w:rFonts w:ascii="Arial" w:cs="Arial" w:eastAsia="Arial" w:hAnsi="Arial"/>
          <w:sz w:val="22"/>
          <w:szCs w:val="22"/>
        </w:rPr>
        <w:t xml:space="preserve">Live chat or omni-channel routing</w:t>
      </w:r>
    </w:p>
    <w:p>
      <w:pPr>
        <w:pStyle w:val="ListParagraph"/>
        <w:numPr>
          <w:ilvl w:val="0"/>
          <w:numId w:val="2"/>
        </w:numPr>
        <w:spacing w:after="40" w:before="40"/>
      </w:pPr>
      <w:r>
        <w:rPr>
          <w:rFonts w:ascii="Arial" w:cs="Arial" w:eastAsia="Arial" w:hAnsi="Arial"/>
          <w:sz w:val="22"/>
          <w:szCs w:val="22"/>
        </w:rPr>
        <w:t xml:space="preserve">Integration with external helpdesk tools</w:t>
      </w:r>
    </w:p>
    <w:p>
      <w:pPr>
        <w:pStyle w:val="ListParagraph"/>
        <w:numPr>
          <w:ilvl w:val="0"/>
          <w:numId w:val="2"/>
        </w:numPr>
        <w:spacing w:after="40" w:before="40"/>
      </w:pPr>
      <w:r>
        <w:rPr>
          <w:rFonts w:ascii="Arial" w:cs="Arial" w:eastAsia="Arial" w:hAnsi="Arial"/>
          <w:sz w:val="22"/>
          <w:szCs w:val="22"/>
        </w:rPr>
        <w:t xml:space="preserve">Custom Apex triggers or Visualforce pages — except where noted as future enhancements</w:t>
      </w:r>
    </w:p>
    <w:p>
      <w:pPr>
        <w:pStyle w:val="ListParagraph"/>
        <w:numPr>
          <w:ilvl w:val="0"/>
          <w:numId w:val="2"/>
        </w:numPr>
        <w:spacing w:after="40" w:before="40"/>
      </w:pPr>
      <w:r>
        <w:rPr>
          <w:rFonts w:ascii="Arial" w:cs="Arial" w:eastAsia="Arial" w:hAnsi="Arial"/>
          <w:sz w:val="22"/>
          <w:szCs w:val="22"/>
        </w:rPr>
        <w:t xml:space="preserve">Mobile app configuration</w:t>
      </w:r>
    </w:p>
    <w:p>
      <w:pPr>
        <w:pStyle w:val="ListParagraph"/>
        <w:numPr>
          <w:ilvl w:val="0"/>
          <w:numId w:val="2"/>
        </w:numPr>
        <w:spacing w:after="40" w:before="40"/>
      </w:pPr>
      <w:r>
        <w:rPr>
          <w:rFonts w:ascii="Arial" w:cs="Arial" w:eastAsia="Arial" w:hAnsi="Arial"/>
          <w:sz w:val="22"/>
          <w:szCs w:val="22"/>
        </w:rPr>
        <w:t xml:space="preserve">Milestone completion automation via Flow — Salesforce platform limitation. MilestoneName not accessible on CaseMilestone object in Flow Builder. Requires Apex.</w:t>
      </w:r>
    </w:p>
    <w:p>
      <w:pPr>
        <w:pStyle w:val="ListParagraph"/>
        <w:numPr>
          <w:ilvl w:val="0"/>
          <w:numId w:val="2"/>
        </w:numPr>
        <w:spacing w:after="40" w:before="40"/>
      </w:pPr>
      <w:r>
        <w:rPr>
          <w:rFonts w:ascii="Arial" w:cs="Arial" w:eastAsia="Arial" w:hAnsi="Arial"/>
          <w:sz w:val="22"/>
          <w:szCs w:val="22"/>
        </w:rPr>
        <w:t xml:space="preserve">Duplicate alert guard via Flow — MilestoneStatus not accessible on Case object in Flow Builder. Requires CaseMilestone-triggered Flow or Apex.</w:t>
      </w:r>
    </w:p>
    <w:p>
      <w:pPr>
        <w:spacing w:after="0" w:before="160"/>
      </w:pPr>
      <w:r>
        <w:t xml:space="preserve"/>
      </w:r>
    </w:p>
    <w:p>
      <w:pPr>
        <w:pStyle w:val="Heading1"/>
        <w:spacing w:after="160" w:before="360"/>
      </w:pPr>
      <w:r>
        <w:rPr>
          <w:rFonts w:ascii="Arial" w:cs="Arial" w:eastAsia="Arial" w:hAnsi="Arial"/>
          <w:b/>
          <w:bCs/>
          <w:color w:val="1F5C3E"/>
          <w:sz w:val="32"/>
          <w:szCs w:val="32"/>
        </w:rPr>
        <w:t xml:space="preserve">9. Assumptions &amp; Constraints</w:t>
      </w:r>
    </w:p>
    <w:p>
      <w:pPr>
        <w:pStyle w:val="Heading2"/>
        <w:spacing w:after="120" w:before="240"/>
      </w:pPr>
      <w:r>
        <w:rPr>
          <w:rFonts w:ascii="Arial" w:cs="Arial" w:eastAsia="Arial" w:hAnsi="Arial"/>
          <w:b/>
          <w:bCs/>
          <w:color w:val="2D6A4F"/>
          <w:sz w:val="26"/>
          <w:szCs w:val="26"/>
        </w:rPr>
        <w:t xml:space="preserve">9.1 Assumptions</w:t>
      </w:r>
    </w:p>
    <w:p>
      <w:pPr>
        <w:pStyle w:val="ListParagraph"/>
        <w:numPr>
          <w:ilvl w:val="0"/>
          <w:numId w:val="2"/>
        </w:numPr>
        <w:spacing w:after="40" w:before="40"/>
      </w:pPr>
      <w:r>
        <w:rPr>
          <w:rFonts w:ascii="Arial" w:cs="Arial" w:eastAsia="Arial" w:hAnsi="Arial"/>
          <w:sz w:val="22"/>
          <w:szCs w:val="22"/>
        </w:rPr>
        <w:t xml:space="preserve">Salesforce org has Service Cloud enabled</w:t>
      </w:r>
    </w:p>
    <w:p>
      <w:pPr>
        <w:pStyle w:val="ListParagraph"/>
        <w:numPr>
          <w:ilvl w:val="0"/>
          <w:numId w:val="2"/>
        </w:numPr>
        <w:spacing w:after="40" w:before="40"/>
      </w:pPr>
      <w:r>
        <w:rPr>
          <w:rFonts w:ascii="Arial" w:cs="Arial" w:eastAsia="Arial" w:hAnsi="Arial"/>
          <w:sz w:val="22"/>
          <w:szCs w:val="22"/>
        </w:rPr>
        <w:t xml:space="preserve">Entitlements feature enabled in org settings</w:t>
      </w:r>
    </w:p>
    <w:p>
      <w:pPr>
        <w:pStyle w:val="ListParagraph"/>
        <w:numPr>
          <w:ilvl w:val="0"/>
          <w:numId w:val="2"/>
        </w:numPr>
        <w:spacing w:after="40" w:before="40"/>
      </w:pPr>
      <w:r>
        <w:rPr>
          <w:rFonts w:ascii="Arial" w:cs="Arial" w:eastAsia="Arial" w:hAnsi="Arial"/>
          <w:sz w:val="22"/>
          <w:szCs w:val="22"/>
        </w:rPr>
        <w:t xml:space="preserve">Cases are being logged in Salesforce by the support team</w:t>
      </w:r>
    </w:p>
    <w:p>
      <w:pPr>
        <w:pStyle w:val="ListParagraph"/>
        <w:numPr>
          <w:ilvl w:val="0"/>
          <w:numId w:val="2"/>
        </w:numPr>
        <w:spacing w:after="40" w:before="40"/>
      </w:pPr>
      <w:r>
        <w:rPr>
          <w:rFonts w:ascii="Arial" w:cs="Arial" w:eastAsia="Arial" w:hAnsi="Arial"/>
          <w:sz w:val="22"/>
          <w:szCs w:val="22"/>
        </w:rPr>
        <w:t xml:space="preserve">Assigned agents have valid email addresses in Salesforce</w:t>
      </w:r>
    </w:p>
    <w:p>
      <w:pPr>
        <w:pStyle w:val="ListParagraph"/>
        <w:numPr>
          <w:ilvl w:val="0"/>
          <w:numId w:val="2"/>
        </w:numPr>
        <w:spacing w:after="40" w:before="40"/>
      </w:pPr>
      <w:r>
        <w:rPr>
          <w:rFonts w:ascii="Arial" w:cs="Arial" w:eastAsia="Arial" w:hAnsi="Arial"/>
          <w:sz w:val="22"/>
          <w:szCs w:val="22"/>
        </w:rPr>
        <w:t xml:space="preserve">Operations Manager (Priya) has a Salesforce licence and can receive alert emails</w:t>
      </w:r>
    </w:p>
    <w:p>
      <w:pPr>
        <w:pStyle w:val="ListParagraph"/>
        <w:numPr>
          <w:ilvl w:val="0"/>
          <w:numId w:val="2"/>
        </w:numPr>
        <w:spacing w:after="40" w:before="40"/>
      </w:pPr>
      <w:r>
        <w:rPr>
          <w:rFonts w:ascii="Arial" w:cs="Arial" w:eastAsia="Arial" w:hAnsi="Arial"/>
          <w:sz w:val="22"/>
          <w:szCs w:val="22"/>
        </w:rPr>
        <w:t xml:space="preserve">Standard pre-existing Entitlement Process in org left inactive — no impact on custom processes</w:t>
      </w:r>
    </w:p>
    <w:p>
      <w:pPr>
        <w:pStyle w:val="ListParagraph"/>
        <w:numPr>
          <w:ilvl w:val="0"/>
          <w:numId w:val="2"/>
        </w:numPr>
        <w:spacing w:after="40" w:before="40"/>
      </w:pPr>
      <w:r>
        <w:rPr>
          <w:rFonts w:ascii="Arial" w:cs="Arial" w:eastAsia="Arial" w:hAnsi="Arial"/>
          <w:sz w:val="22"/>
          <w:szCs w:val="22"/>
        </w:rPr>
        <w:t xml:space="preserve">Milestones become locked after first use on a case — this is expected Salesforce behaviour and cannot be changed</w:t>
      </w:r>
    </w:p>
    <w:p>
      <w:pPr>
        <w:pStyle w:val="ListParagraph"/>
        <w:numPr>
          <w:ilvl w:val="0"/>
          <w:numId w:val="2"/>
        </w:numPr>
        <w:spacing w:after="40" w:before="40"/>
      </w:pPr>
      <w:r>
        <w:rPr>
          <w:rFonts w:ascii="Arial" w:cs="Arial" w:eastAsia="Arial" w:hAnsi="Arial"/>
          <w:sz w:val="22"/>
          <w:szCs w:val="22"/>
        </w:rPr>
        <w:t xml:space="preserve">Priority picklist rebuilt: High/Medium/Low deactivated. Urgent/Standard/General added as custom values</w:t>
      </w:r>
    </w:p>
    <w:p>
      <w:pPr>
        <w:spacing w:after="0" w:before="120"/>
      </w:pPr>
      <w:r>
        <w:t xml:space="preserve"/>
      </w:r>
    </w:p>
    <w:p>
      <w:pPr>
        <w:pStyle w:val="Heading2"/>
        <w:spacing w:after="120" w:before="240"/>
      </w:pPr>
      <w:r>
        <w:rPr>
          <w:rFonts w:ascii="Arial" w:cs="Arial" w:eastAsia="Arial" w:hAnsi="Arial"/>
          <w:b/>
          <w:bCs/>
          <w:color w:val="2D6A4F"/>
          <w:sz w:val="26"/>
          <w:szCs w:val="26"/>
        </w:rPr>
        <w:t xml:space="preserve">9.2 Constraints</w:t>
      </w:r>
    </w:p>
    <w:p>
      <w:pPr>
        <w:pStyle w:val="ListParagraph"/>
        <w:numPr>
          <w:ilvl w:val="0"/>
          <w:numId w:val="2"/>
        </w:numPr>
        <w:spacing w:after="40" w:before="40"/>
      </w:pPr>
      <w:r>
        <w:rPr>
          <w:rFonts w:ascii="Arial" w:cs="Arial" w:eastAsia="Arial" w:hAnsi="Arial"/>
          <w:sz w:val="22"/>
          <w:szCs w:val="22"/>
        </w:rPr>
        <w:t xml:space="preserve">Build completed within 2-week sprint cycle</w:t>
      </w:r>
    </w:p>
    <w:p>
      <w:pPr>
        <w:pStyle w:val="ListParagraph"/>
        <w:numPr>
          <w:ilvl w:val="0"/>
          <w:numId w:val="2"/>
        </w:numPr>
        <w:spacing w:after="40" w:before="40"/>
      </w:pPr>
      <w:r>
        <w:rPr>
          <w:rFonts w:ascii="Arial" w:cs="Arial" w:eastAsia="Arial" w:hAnsi="Arial"/>
          <w:sz w:val="22"/>
          <w:szCs w:val="22"/>
        </w:rPr>
        <w:t xml:space="preserve">No budget for additional Salesforce licences or paid AppExchange apps</w:t>
      </w:r>
    </w:p>
    <w:p>
      <w:pPr>
        <w:pStyle w:val="ListParagraph"/>
        <w:numPr>
          <w:ilvl w:val="0"/>
          <w:numId w:val="2"/>
        </w:numPr>
        <w:spacing w:after="40" w:before="40"/>
      </w:pPr>
      <w:r>
        <w:rPr>
          <w:rFonts w:ascii="Arial" w:cs="Arial" w:eastAsia="Arial" w:hAnsi="Arial"/>
          <w:sz w:val="22"/>
          <w:szCs w:val="22"/>
        </w:rPr>
        <w:t xml:space="preserve">Solution built directly in dev org — no sandbox-to-production deployment</w:t>
      </w:r>
    </w:p>
    <w:p>
      <w:pPr>
        <w:pStyle w:val="ListParagraph"/>
        <w:numPr>
          <w:ilvl w:val="0"/>
          <w:numId w:val="2"/>
        </w:numPr>
        <w:spacing w:after="40" w:before="40"/>
      </w:pPr>
      <w:r>
        <w:rPr>
          <w:rFonts w:ascii="Arial" w:cs="Arial" w:eastAsia="Arial" w:hAnsi="Arial"/>
          <w:sz w:val="22"/>
          <w:szCs w:val="22"/>
        </w:rPr>
        <w:t xml:space="preserve">MilestoneName field not accessible via Flow Builder on CaseMilestone object — prevents declarative milestone completion automation</w:t>
      </w:r>
    </w:p>
    <w:p>
      <w:pPr>
        <w:pStyle w:val="ListParagraph"/>
        <w:numPr>
          <w:ilvl w:val="0"/>
          <w:numId w:val="2"/>
        </w:numPr>
        <w:spacing w:after="40" w:before="40"/>
      </w:pPr>
      <w:r>
        <w:rPr>
          <w:rFonts w:ascii="Arial" w:cs="Arial" w:eastAsia="Arial" w:hAnsi="Arial"/>
          <w:sz w:val="22"/>
          <w:szCs w:val="22"/>
        </w:rPr>
        <w:t xml:space="preserve">MilestoneStatus field not accessible on Case object in Flow — prevents Case-triggered duplicate guard Flow</w:t>
      </w:r>
    </w:p>
    <w:p>
      <w:pPr>
        <w:pStyle w:val="ListParagraph"/>
        <w:numPr>
          <w:ilvl w:val="0"/>
          <w:numId w:val="2"/>
        </w:numPr>
        <w:spacing w:after="40" w:before="40"/>
      </w:pPr>
      <w:r>
        <w:rPr>
          <w:rFonts w:ascii="Arial" w:cs="Arial" w:eastAsia="Arial" w:hAnsi="Arial"/>
          <w:sz w:val="22"/>
          <w:szCs w:val="22"/>
        </w:rPr>
        <w:t xml:space="preserve">Urgent Resolution milestone uses explicit 24/7 Business Hours instead of default setting — result of milestone being locked after first use. Functionally equivalent for Urgent cases.</w:t>
      </w:r>
    </w:p>
    <w:p>
      <w:pPr>
        <w:pStyle w:val="ListParagraph"/>
        <w:numPr>
          <w:ilvl w:val="0"/>
          <w:numId w:val="2"/>
        </w:numPr>
        <w:spacing w:after="40" w:before="40"/>
      </w:pPr>
      <w:r>
        <w:rPr>
          <w:rFonts w:ascii="Arial" w:cs="Arial" w:eastAsia="Arial" w:hAnsi="Arial"/>
          <w:sz w:val="22"/>
          <w:szCs w:val="22"/>
        </w:rPr>
        <w:t xml:space="preserve">SDA_Urgent_SLA_Test process created for testing — to be deactivated post-testing</w:t>
      </w:r>
    </w:p>
    <w:p>
      <w:pPr>
        <w:spacing w:after="0" w:before="160"/>
      </w:pPr>
      <w:r>
        <w:t xml:space="preserve"/>
      </w:r>
    </w:p>
    <w:p>
      <w:r>
        <w:br w:type="page"/>
      </w:r>
    </w:p>
    <w:p>
      <w:pPr>
        <w:pStyle w:val="Heading1"/>
        <w:spacing w:after="160" w:before="360"/>
      </w:pPr>
      <w:r>
        <w:rPr>
          <w:rFonts w:ascii="Arial" w:cs="Arial" w:eastAsia="Arial" w:hAnsi="Arial"/>
          <w:b/>
          <w:bCs/>
          <w:color w:val="1F5C3E"/>
          <w:sz w:val="32"/>
          <w:szCs w:val="32"/>
        </w:rPr>
        <w:t xml:space="preserve">10. Known Issues &amp; Decisions Made</w:t>
      </w:r>
    </w:p>
    <w:p>
      <w:pPr>
        <w:spacing w:after="80" w:before="60"/>
      </w:pPr>
      <w:r>
        <w:rPr>
          <w:rFonts w:ascii="Arial" w:cs="Arial" w:eastAsia="Arial" w:hAnsi="Arial"/>
          <w:color w:val="1A1A18"/>
          <w:sz w:val="22"/>
          <w:szCs w:val="22"/>
        </w:rPr>
        <w:t xml:space="preserve">This section documents key decisions made during the build and known limitations discovered. This level of transparency reflects real-world implementation practice.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560"/>
        <w:gridCol w:w="3600"/>
      </w:tblGrid>
      <w:tr>
        <w:tc>
          <w:tcPr>
            <w:tcW w:type="dxa" w:w="6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Issue / Decision</w:t>
            </w:r>
          </w:p>
        </w:tc>
        <w:tc>
          <w:tcPr>
            <w:tcW w:type="dxa" w:w="36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Resolution / Rationale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Decision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Dropped duplicate alert guard Flow</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MilestoneStatus not accessible on Case in Flow. SLA Health formula provides equivalent real-time visibility. Duplicate guard documented as Apex enhancement.</w:t>
            </w:r>
          </w:p>
        </w:tc>
      </w:tr>
      <w:tr>
        <w:tc>
          <w:tcPr>
            <w:tcW w:type="dxa" w:w="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2</w:t>
            </w:r>
          </w:p>
        </w:tc>
        <w:tc>
          <w:tcPr>
            <w:tcW w:type="dxa" w:w="1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Limitation</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Milestone completion cannot be automated declaratively</w:t>
            </w:r>
          </w:p>
        </w:tc>
        <w:tc>
          <w:tcPr>
            <w:tcW w:type="dxa" w:w="3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MilestoneName not accessible on CaseMilestone in Flow. Salesforce recommends Apex. Documented as future enhancement. Core SLA tracking unaffected.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Decision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SLA Health formula updated to track First Response not Resolution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First Response is the most critical SLA checkpoint for parent satisfaction. Tighter 4-hour window more meaningful for agents to act on.</w:t>
            </w:r>
          </w:p>
        </w:tc>
      </w:tr>
      <w:tr>
        <w:tc>
          <w:tcPr>
            <w:tcW w:type="dxa" w:w="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4</w:t>
            </w:r>
          </w:p>
        </w:tc>
        <w:tc>
          <w:tcPr>
            <w:tcW w:type="dxa" w:w="1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Decision</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Explicit 24/7 Business Hours on Urgent Resolution milestone</w:t>
            </w:r>
          </w:p>
        </w:tc>
        <w:tc>
          <w:tcPr>
            <w:tcW w:type="dxa" w:w="3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Milestone locked after first case use. Cannot edit. Set to explicit 24/7 which is functionally identical to default for Urgent cases.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Decision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Status = New added to all Escalation Rule entries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Without this, escalation rules were firing on closed cases causing duplicate alerts. Status = New is standard best practice in production orgs.</w:t>
            </w:r>
          </w:p>
        </w:tc>
      </w:tr>
      <w:tr>
        <w:tc>
          <w:tcPr>
            <w:tcW w:type="dxa" w:w="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6</w:t>
            </w:r>
          </w:p>
        </w:tc>
        <w:tc>
          <w:tcPr>
            <w:tcW w:type="dxa" w:w="1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Decision</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Priority picklist rebuilt from High/Medium/Low to Urgent/Standard/General</w:t>
            </w:r>
          </w:p>
        </w:tc>
        <w:tc>
          <w:tcPr>
            <w:tcW w:type="dxa" w:w="3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Aligns with academy terminology and SLA design. Old values deactivated to prevent accidental use.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Decision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Auto-Entitlement Flow uses Get Records not hardcoded IDs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Hardcoding Record IDs breaks on org refresh or production migration. Get Records is production-safe and maintainable.</w:t>
            </w:r>
          </w:p>
        </w:tc>
      </w:tr>
      <w:tr>
        <w:tc>
          <w:tcPr>
            <w:tcW w:type="dxa" w:w="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8</w:t>
            </w:r>
          </w:p>
        </w:tc>
        <w:tc>
          <w:tcPr>
            <w:tcW w:type="dxa" w:w="1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Known Issue</w:t>
            </w:r>
          </w:p>
        </w:tc>
        <w:tc>
          <w:tcPr>
            <w:tcW w:type="dxa" w:w="35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Warning emails land in spam in dev org</w:t>
            </w:r>
          </w:p>
        </w:tc>
        <w:tc>
          <w:tcPr>
            <w:tcW w:type="dxa" w:w="36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Expected behaviour in Salesforce dev orgs. Emails from Salesforce should be whitelisted in production. Tested and confirmed working.</w:t>
            </w:r>
          </w:p>
        </w:tc>
      </w:tr>
    </w:tbl>
    <w:p>
      <w:pPr>
        <w:spacing w:after="0" w:before="160"/>
      </w:pPr>
      <w:r>
        <w:t xml:space="preserve"/>
      </w:r>
    </w:p>
    <w:p>
      <w:r>
        <w:br w:type="page"/>
      </w:r>
    </w:p>
    <w:p>
      <w:pPr>
        <w:pStyle w:val="Heading1"/>
        <w:spacing w:after="160" w:before="360"/>
      </w:pPr>
      <w:r>
        <w:rPr>
          <w:rFonts w:ascii="Arial" w:cs="Arial" w:eastAsia="Arial" w:hAnsi="Arial"/>
          <w:b/>
          <w:bCs/>
          <w:color w:val="1F5C3E"/>
          <w:sz w:val="32"/>
          <w:szCs w:val="32"/>
        </w:rPr>
        <w:t xml:space="preserve">11. Acceptance Criteria</w:t>
      </w:r>
    </w:p>
    <w:p>
      <w:pPr>
        <w:spacing w:after="80" w:before="60"/>
      </w:pPr>
      <w:r>
        <w:rPr>
          <w:rFonts w:ascii="Arial" w:cs="Arial" w:eastAsia="Arial" w:hAnsi="Arial"/>
          <w:color w:val="1A1A18"/>
          <w:sz w:val="22"/>
          <w:szCs w:val="22"/>
        </w:rPr>
        <w:t xml:space="preserve">The project is considered complete when all of the following can be demonstrated live in the Salesforce org:</w:t>
      </w:r>
    </w:p>
    <w:p>
      <w:pPr>
        <w:spacing w:after="0" w:before="120"/>
      </w:pPr>
      <w:r>
        <w:t xml:space="preserve"/>
      </w:r>
    </w:p>
    <w:p>
      <w:pPr>
        <w:pStyle w:val="ListParagraph"/>
        <w:numPr>
          <w:ilvl w:val="0"/>
          <w:numId w:val="3"/>
        </w:numPr>
        <w:spacing w:after="60" w:before="60"/>
      </w:pPr>
      <w:r>
        <w:rPr>
          <w:rFonts w:ascii="Arial" w:cs="Arial" w:eastAsia="Arial" w:hAnsi="Arial"/>
          <w:sz w:val="22"/>
          <w:szCs w:val="22"/>
        </w:rPr>
        <w:t xml:space="preserve">New case auto-assigned correct Entitlement based on Priority without any agent action</w:t>
      </w:r>
    </w:p>
    <w:p>
      <w:pPr>
        <w:pStyle w:val="ListParagraph"/>
        <w:numPr>
          <w:ilvl w:val="0"/>
          <w:numId w:val="3"/>
        </w:numPr>
        <w:spacing w:after="60" w:before="60"/>
      </w:pPr>
      <w:r>
        <w:rPr>
          <w:rFonts w:ascii="Arial" w:cs="Arial" w:eastAsia="Arial" w:hAnsi="Arial"/>
          <w:sz w:val="22"/>
          <w:szCs w:val="22"/>
        </w:rPr>
        <w:t xml:space="preserve">A test Urgent case shows SLA Health = On Track immediately after creation</w:t>
      </w:r>
    </w:p>
    <w:p>
      <w:pPr>
        <w:pStyle w:val="ListParagraph"/>
        <w:numPr>
          <w:ilvl w:val="0"/>
          <w:numId w:val="3"/>
        </w:numPr>
        <w:spacing w:after="60" w:before="60"/>
      </w:pPr>
      <w:r>
        <w:rPr>
          <w:rFonts w:ascii="Arial" w:cs="Arial" w:eastAsia="Arial" w:hAnsi="Arial"/>
          <w:sz w:val="22"/>
          <w:szCs w:val="22"/>
        </w:rPr>
        <w:t xml:space="preserve">SLA Health changes to At Risk when 75% of the First Response window has elapsed (3 hours for Urgent)</w:t>
      </w:r>
    </w:p>
    <w:p>
      <w:pPr>
        <w:pStyle w:val="ListParagraph"/>
        <w:numPr>
          <w:ilvl w:val="0"/>
          <w:numId w:val="3"/>
        </w:numPr>
        <w:spacing w:after="60" w:before="60"/>
      </w:pPr>
      <w:r>
        <w:rPr>
          <w:rFonts w:ascii="Arial" w:cs="Arial" w:eastAsia="Arial" w:hAnsi="Arial"/>
          <w:sz w:val="22"/>
          <w:szCs w:val="22"/>
        </w:rPr>
        <w:t xml:space="preserve">SLA Health changes to Breached when the full First Response window has elapsed (4 hours for Urgent)</w:t>
      </w:r>
    </w:p>
    <w:p>
      <w:pPr>
        <w:pStyle w:val="ListParagraph"/>
        <w:numPr>
          <w:ilvl w:val="0"/>
          <w:numId w:val="3"/>
        </w:numPr>
        <w:spacing w:after="60" w:before="60"/>
      </w:pPr>
      <w:r>
        <w:rPr>
          <w:rFonts w:ascii="Arial" w:cs="Arial" w:eastAsia="Arial" w:hAnsi="Arial"/>
          <w:sz w:val="22"/>
          <w:szCs w:val="22"/>
        </w:rPr>
        <w:t xml:space="preserve">Warning Action email alert received by assigned agent at 75% of milestone window</w:t>
      </w:r>
    </w:p>
    <w:p>
      <w:pPr>
        <w:pStyle w:val="ListParagraph"/>
        <w:numPr>
          <w:ilvl w:val="0"/>
          <w:numId w:val="3"/>
        </w:numPr>
        <w:spacing w:after="60" w:before="60"/>
      </w:pPr>
      <w:r>
        <w:rPr>
          <w:rFonts w:ascii="Arial" w:cs="Arial" w:eastAsia="Arial" w:hAnsi="Arial"/>
          <w:sz w:val="22"/>
          <w:szCs w:val="22"/>
        </w:rPr>
        <w:t xml:space="preserve">Escalation Rule does not fire on cases with Status != New</w:t>
      </w:r>
    </w:p>
    <w:p>
      <w:pPr>
        <w:pStyle w:val="ListParagraph"/>
        <w:numPr>
          <w:ilvl w:val="0"/>
          <w:numId w:val="3"/>
        </w:numPr>
        <w:spacing w:after="60" w:before="60"/>
      </w:pPr>
      <w:r>
        <w:rPr>
          <w:rFonts w:ascii="Arial" w:cs="Arial" w:eastAsia="Arial" w:hAnsi="Arial"/>
          <w:sz w:val="22"/>
          <w:szCs w:val="22"/>
        </w:rPr>
        <w:t xml:space="preserve">Operations Manager receives escalation notification without any manual action</w:t>
      </w:r>
    </w:p>
    <w:p>
      <w:pPr>
        <w:pStyle w:val="ListParagraph"/>
        <w:numPr>
          <w:ilvl w:val="0"/>
          <w:numId w:val="3"/>
        </w:numPr>
        <w:spacing w:after="60" w:before="60"/>
      </w:pPr>
      <w:r>
        <w:rPr>
          <w:rFonts w:ascii="Arial" w:cs="Arial" w:eastAsia="Arial" w:hAnsi="Arial"/>
          <w:sz w:val="22"/>
          <w:szCs w:val="22"/>
        </w:rPr>
        <w:t xml:space="preserve">Escalated case shows SLA Health = Escalated on the case record</w:t>
      </w:r>
    </w:p>
    <w:p>
      <w:pPr>
        <w:pStyle w:val="ListParagraph"/>
        <w:numPr>
          <w:ilvl w:val="0"/>
          <w:numId w:val="3"/>
        </w:numPr>
        <w:spacing w:after="60" w:before="60"/>
      </w:pPr>
      <w:r>
        <w:rPr>
          <w:rFonts w:ascii="Arial" w:cs="Arial" w:eastAsia="Arial" w:hAnsi="Arial"/>
          <w:sz w:val="22"/>
          <w:szCs w:val="22"/>
        </w:rPr>
        <w:t xml:space="preserve">Service Cloud dashboard loads with live case data — no manual refresh needed</w:t>
      </w:r>
    </w:p>
    <w:p>
      <w:pPr>
        <w:pStyle w:val="ListParagraph"/>
        <w:numPr>
          <w:ilvl w:val="0"/>
          <w:numId w:val="3"/>
        </w:numPr>
        <w:spacing w:after="60" w:before="60"/>
      </w:pPr>
      <w:r>
        <w:rPr>
          <w:rFonts w:ascii="Arial" w:cs="Arial" w:eastAsia="Arial" w:hAnsi="Arial"/>
          <w:sz w:val="22"/>
          <w:szCs w:val="22"/>
        </w:rPr>
        <w:t xml:space="preserve">A closed case shows SLA Health = Closed</w:t>
      </w:r>
    </w:p>
    <w:p>
      <w:pPr>
        <w:pStyle w:val="ListParagraph"/>
        <w:numPr>
          <w:ilvl w:val="0"/>
          <w:numId w:val="3"/>
        </w:numPr>
        <w:spacing w:after="60" w:before="60"/>
      </w:pPr>
      <w:r>
        <w:rPr>
          <w:rFonts w:ascii="Arial" w:cs="Arial" w:eastAsia="Arial" w:hAnsi="Arial"/>
          <w:sz w:val="22"/>
          <w:szCs w:val="22"/>
        </w:rPr>
        <w:t xml:space="preserve">Agent user can view dashboard but cannot edit it</w:t>
      </w:r>
    </w:p>
    <w:p>
      <w:pPr>
        <w:spacing w:after="0" w:before="160"/>
      </w:pPr>
      <w:r>
        <w:t xml:space="preserve"/>
      </w:r>
    </w:p>
    <w:p>
      <w:pPr>
        <w:pStyle w:val="Heading1"/>
        <w:spacing w:after="160" w:before="360"/>
      </w:pPr>
      <w:r>
        <w:rPr>
          <w:rFonts w:ascii="Arial" w:cs="Arial" w:eastAsia="Arial" w:hAnsi="Arial"/>
          <w:b/>
          <w:bCs/>
          <w:color w:val="1F5C3E"/>
          <w:sz w:val="32"/>
          <w:szCs w:val="32"/>
        </w:rPr>
        <w:t xml:space="preserve">12.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160"/>
        <w:gridCol w:w="2000"/>
      </w:tblGrid>
      <w:tr>
        <w:tc>
          <w:tcPr>
            <w:tcW w:type="dxa" w:w="4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Enhancement</w:t>
            </w:r>
          </w:p>
        </w:tc>
        <w:tc>
          <w:tcPr>
            <w:tcW w:type="dxa" w:w="416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Email-to-Case (Stage 6)</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Auto-create cases from parent emails to support@saidanceacademy.com</w:t>
            </w:r>
          </w:p>
        </w:tc>
        <w:tc>
          <w:tcPr>
            <w:tcW w:type="dxa" w:w="2000"/>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tcPr>
          <w:p>
            <w:r>
              <w:rPr>
                <w:rFonts w:ascii="Arial" w:cs="Arial" w:eastAsia="Arial" w:hAnsi="Arial"/>
                <w:b/>
                <w:bCs/>
                <w:color w:val="1F5C3E"/>
                <w:sz w:val="20"/>
                <w:szCs w:val="20"/>
              </w:rPr>
              <w:t xml:space="preserve">High</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2</w:t>
            </w:r>
          </w:p>
        </w:tc>
        <w:tc>
          <w:tcPr>
            <w:tcW w:type="dxa" w:w="2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Milestone Completion via Apex</w:t>
            </w:r>
          </w:p>
        </w:tc>
        <w:tc>
          <w:tcPr>
            <w:tcW w:type="dxa" w:w="41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Apex trigger on CaseMilestone to auto-complete milestones when Case Status changes. Required due to Flow Builder field access restrictions on CaseMilestone object.</w:t>
            </w:r>
          </w:p>
        </w:tc>
        <w:tc>
          <w:tcPr>
            <w:tcW w:type="dxa" w:w="2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Duplicate Alert Guard via Apex</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Apex trigger using SLA_Alert_Sent__c checkbox to prevent duplicate Warning Action emails. Custom field already created and ready.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4</w:t>
            </w:r>
          </w:p>
        </w:tc>
        <w:tc>
          <w:tcPr>
            <w:tcW w:type="dxa" w:w="2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Rebuild SDA_Urgent_SLA_V2</w:t>
            </w:r>
          </w:p>
        </w:tc>
        <w:tc>
          <w:tcPr>
            <w:tcW w:type="dxa" w:w="41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Clean rebuild of Urgent Entitlement Process with correct default Business Hours settings before production deployment</w:t>
            </w:r>
          </w:p>
        </w:tc>
        <w:tc>
          <w:tcPr>
            <w:tcW w:type="dxa" w:w="2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Recurring Check-in Milestone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24-hour recurring milestone for long-running General cases to ensure regular parent updates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Low</w:t>
            </w:r>
          </w:p>
        </w:tc>
      </w:tr>
      <w:tr>
        <w:tc>
          <w:tcPr>
            <w:tcW w:type="dxa" w:w="4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6</w:t>
            </w:r>
          </w:p>
        </w:tc>
        <w:tc>
          <w:tcPr>
            <w:tcW w:type="dxa" w:w="28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Experience Cloud Portal</w:t>
            </w:r>
          </w:p>
        </w:tc>
        <w:tc>
          <w:tcPr>
            <w:tcW w:type="dxa" w:w="416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Self-service portal for parents to log and track their own cases</w:t>
            </w:r>
          </w:p>
        </w:tc>
        <w:tc>
          <w:tcPr>
            <w:tcW w:type="dxa" w:w="200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Future</w:t>
            </w:r>
          </w:p>
        </w:tc>
      </w:tr>
    </w:tbl>
    <w:p>
      <w:pPr>
        <w:spacing w:after="0" w:before="160"/>
      </w:pPr>
      <w:r>
        <w:t xml:space="preserve"/>
      </w:r>
    </w:p>
    <w:p>
      <w:pPr>
        <w:pStyle w:val="Heading1"/>
        <w:spacing w:after="160" w:before="360"/>
      </w:pPr>
      <w:r>
        <w:rPr>
          <w:rFonts w:ascii="Arial" w:cs="Arial" w:eastAsia="Arial" w:hAnsi="Arial"/>
          <w:b/>
          <w:bCs/>
          <w:color w:val="1F5C3E"/>
          <w:sz w:val="32"/>
          <w:szCs w:val="32"/>
        </w:rPr>
        <w:t xml:space="preserve">13. 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F5C3E"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Operations Manager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Priya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
            </w:r>
          </w:p>
        </w:tc>
      </w:tr>
      <w:tr>
        <w:tc>
          <w:tcPr>
            <w:tcW w:type="dxa" w:w="312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Salesforce Consultant</w:t>
            </w:r>
          </w:p>
        </w:tc>
        <w:tc>
          <w:tcPr>
            <w:tcW w:type="dxa" w:w="312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Supriya Nagesh</w:t>
            </w:r>
          </w:p>
        </w:tc>
        <w:tc>
          <w:tcPr>
            <w:tcW w:type="dxa" w:w="3120"/>
            <w:tcBorders>
              <w:top w:val="single" w:color="CCCCCC" w:sz="1"/>
              <w:left w:val="single" w:color="CCCCCC" w:sz="1"/>
              <w:bottom w:val="single" w:color="CCCCCC" w:sz="1"/>
              <w:right w:val="single" w:color="CCCCCC" w:sz="1"/>
            </w:tcBorders>
            <w:shd w:fill="F4FAF6" w:val="clear"/>
            <w:tcMar>
              <w:top w:type="dxa" w:w="100"/>
              <w:left w:type="dxa" w:w="140"/>
              <w:bottom w:type="dxa" w:w="100"/>
              <w:right w:type="dxa" w:w="140"/>
            </w:tcMar>
          </w:tcPr>
          <w:p>
            <w:r>
              <w:rPr>
                <w:rFonts w:ascii="Arial" w:cs="Arial" w:eastAsia="Arial" w:hAnsi="Arial"/>
                <w:b w:val="false"/>
                <w:bCs w:val="false"/>
                <w:color w:val="1A1A18"/>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Academy Director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8"/>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666666"/>
        <w:sz w:val="18"/>
        <w:szCs w:val="18"/>
      </w:rPr>
      <w:t xml:space="preserve">Prepared by Supriya Nagesh</w:t>
    </w:r>
    <w:r>
      <w:rPr>
        <w:rFonts w:ascii="Arial" w:cs="Arial" w:eastAsia="Arial" w:hAnsi="Arial"/>
        <w:color w:val="666666"/>
        <w:sz w:val="18"/>
        <w:szCs w:val="18"/>
      </w:rPr>
      <w:t xml:space="preserve">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666666"/>
        <w:sz w:val="18"/>
        <w:szCs w:val="18"/>
      </w:rPr>
      <w:t xml:space="preserve">SLA Command Centre — BRD v2.0   |   Sai Dance Academy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3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2026-05-22T03:03:12.408Z</dcterms:created>
  <dcterms:modified xsi:type="dcterms:W3CDTF">2026-05-22T03:03:12.423Z</dcterms:modified>
</cp:coreProperties>
</file>

<file path=docProps/custom.xml><?xml version="1.0" encoding="utf-8"?>
<Properties xmlns="http://schemas.openxmlformats.org/officeDocument/2006/custom-properties" xmlns:vt="http://schemas.openxmlformats.org/officeDocument/2006/docPropsVTypes"/>
</file>