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Arial" w:cs="Arial" w:eastAsia="Arial" w:hAnsi="Arial"/>
          <w:b/>
          <w:bCs/>
          <w:color w:val="1A1A1A"/>
          <w:sz w:val="36"/>
          <w:szCs w:val="36"/>
        </w:rPr>
        <w:t xml:space="preserve">Hidden Markov model of four activity states</w:t>
      </w:r>
    </w:p>
    <w:p>
      <w:pPr>
        <w:spacing w:after="200" w:before="0"/>
      </w:pPr>
      <w:r>
        <w:rPr>
          <w:rFonts w:ascii="Arial" w:cs="Arial" w:eastAsia="Arial" w:hAnsi="Arial"/>
          <w:color w:val="555555"/>
          <w:sz w:val="20"/>
          <w:szCs w:val="20"/>
        </w:rPr>
        <w:t xml:space="preserve">Shima Serein  ·  African Leadership University  ·  25 October 2026</w:t>
      </w:r>
    </w:p>
    <w:p>
      <w:pPr>
        <w:pStyle w:val="Heading1"/>
        <w:keepNext/>
        <w:pBdr>
          <w:bottom w:val="single" w:color="1F4E79" w:sz="8" w:space="1"/>
        </w:pBdr>
        <w:spacing w:after="120" w:before="280"/>
      </w:pPr>
      <w:r>
        <w:rPr>
          <w:rFonts w:ascii="Arial" w:cs="Arial" w:eastAsia="Arial" w:hAnsi="Arial"/>
          <w:b/>
          <w:bCs/>
          <w:color w:val="1F4E79"/>
          <w:sz w:val="26"/>
          <w:szCs w:val="26"/>
        </w:rPr>
        <w:t xml:space="preserve">Background and motivation</w:t>
      </w:r>
    </w:p>
    <w:p>
      <w:pPr>
        <w:spacing w:after="120" w:before="0" w:line="252"/>
      </w:pPr>
      <w:r>
        <w:rPr>
          <w:rFonts w:ascii="Arial" w:cs="Arial" w:eastAsia="Arial" w:hAnsi="Arial"/>
          <w:sz w:val="22"/>
          <w:szCs w:val="22"/>
        </w:rPr>
        <w:t xml:space="preserve">A phone at the waist, or left on a desk, streams acceleration and rotation. The question a campus break coach has to answer from that stream is which of four states the person is in: still, standing, walking, or jumping. Still, with the phone on the desk, is the sedentary time the coach should count. Standing in a corridor is not a walk across campus. Jumping belongs to sport. The state is hidden. Both standing and a phone lying on a table sit near one gravity, so a threshold on the raw magnitude cannot separate them. This project treats the four activities as the hidden states of a Gaussian hidden Markov model and the windowed sensor features as the observations.</w:t>
      </w:r>
    </w:p>
    <w:p>
      <w:pPr>
        <w:pStyle w:val="Heading1"/>
        <w:keepNext/>
        <w:pBdr>
          <w:bottom w:val="single" w:color="1F4E79" w:sz="8" w:space="1"/>
        </w:pBdr>
        <w:spacing w:after="120" w:before="280"/>
      </w:pPr>
      <w:r>
        <w:rPr>
          <w:rFonts w:ascii="Arial" w:cs="Arial" w:eastAsia="Arial" w:hAnsi="Arial"/>
          <w:b/>
          <w:bCs/>
          <w:color w:val="1F4E79"/>
          <w:sz w:val="26"/>
          <w:szCs w:val="26"/>
        </w:rPr>
        <w:t xml:space="preserve">Data collection and pre-processing</w:t>
      </w:r>
    </w:p>
    <w:p>
      <w:pPr>
        <w:spacing w:after="120" w:before="0" w:line="252"/>
      </w:pPr>
      <w:r>
        <w:rPr>
          <w:rFonts w:ascii="Arial" w:cs="Arial" w:eastAsia="Arial" w:hAnsi="Arial"/>
          <w:sz w:val="22"/>
          <w:szCs w:val="22"/>
        </w:rPr>
        <w:t xml:space="preserve">The CSV files under data/ are simulated streams, generated with seed 7. They are not Sensor Logger recordings of a person, and this repository does not contain the four face-visible videos the brief requires. The files exist so the model, the metrics, and the figures can be rebuilt without a phone. Replacing one of them is a drop-in change. The loader expects timestamp, acc_x, acc_y, acc_z, gyro_x, gyro_y, gyro_z, and activity.</w:t>
      </w:r>
    </w:p>
    <w:p>
      <w:pPr>
        <w:spacing w:after="120" w:before="0" w:line="252"/>
      </w:pPr>
      <w:r>
        <w:rPr>
          <w:rFonts w:ascii="Arial" w:cs="Arial" w:eastAsia="Arial" w:hAnsi="Arial"/>
          <w:sz w:val="22"/>
          <w:szCs w:val="22"/>
        </w:rPr>
        <w:t xml:space="preserve">The layout follows the brief. Each activity has 50 files, and each file lasts between 6.5 and 9.5 seconds. That is 397 seconds of standing, 403 of walking, 401 of jumping, and 396 of still, all above the 90-second minimum. Sixteen longer files, about half a minute each, chain the activities in ordinary orders such as still, then standing, then walking. Those are the sequences the transition matrix can learn from. Training uses 40 single-activity files per class plus 12 mixed files. The test set is the other 10 files per class and 4 mixed files. The scaler and the model never see the test files.</w:t>
      </w:r>
    </w:p>
    <w:p>
      <w:pPr>
        <w:spacing w:after="120" w:before="0" w:line="252"/>
      </w:pPr>
      <w:r>
        <w:rPr>
          <w:rFonts w:ascii="Arial" w:cs="Arial" w:eastAsia="Arial" w:hAnsi="Arial"/>
          <w:sz w:val="22"/>
          <w:szCs w:val="22"/>
        </w:rPr>
        <w:t xml:space="preserve">Sampling rates are mixed on purpose: 82 files at 40 Hz, 68 at 50 Hz, and 66 at 100 Hz. Timestamps are interpolated onto one 50 Hz grid before any window is cut, so a phone that recorded faster or slower still yields the same window length. The window is 1.0 second (50 samples) and the hop is 0.5 second. A step is about half a second, so the window covers at least one step, and the native FFT bin width is 1 Hz. The hop gives the chain a new observation twice a second. The label of a window is the majority activity of its samples, so a window that straddles a change of activity is a noisy label.</w:t>
      </w:r>
    </w:p>
    <w:p>
      <w:pPr>
        <w:spacing w:after="120" w:before="0" w:line="252"/>
      </w:pPr>
      <w:r>
        <w:rPr>
          <w:rFonts w:ascii="Arial" w:cs="Arial" w:eastAsia="Arial" w:hAnsi="Arial"/>
          <w:sz w:val="22"/>
          <w:szCs w:val="22"/>
        </w:rPr>
        <w:t xml:space="preserve">The mean acceleration inside the window is removed and treated as gravity. Nine features are computed on what remains. Z-score mean and scale are fit on training windows only. A correlation, a frequency in hertz, and a spectral energy cannot sit in one Gaussian until they are on one scale. Test windows use that training scale and no other.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6280"/>
      </w:tblGrid>
      <w:tr>
        <w:trPr>
          <w:cantSplit/>
          <w:tblHeader/>
        </w:trPr>
        <w:tc>
          <w:tcPr>
            <w:tcW w:type="dxa" w:w="2400"/>
            <w:tcBorders>
              <w:top w:val="single" w:color="D0D7E2" w:sz="4"/>
              <w:left w:val="single" w:color="D0D7E2" w:sz="4"/>
              <w:bottom w:val="single" w:color="D0D7E2" w:sz="4"/>
              <w:right w:val="single" w:color="D0D7E2" w:sz="4"/>
            </w:tcBorders>
            <w:shd w:fill="E7EEF7" w:val="clear"/>
            <w:tcMar>
              <w:top w:type="dxa" w:w="36"/>
              <w:left w:type="dxa" w:w="70"/>
              <w:bottom w:type="dxa" w:w="36"/>
              <w:right w:type="dxa" w:w="70"/>
            </w:tcMar>
            <w:vAlign w:val="center"/>
          </w:tcPr>
          <w:p>
            <w:pPr>
              <w:spacing w:after="0" w:before="0"/>
              <w:jc w:val="left"/>
            </w:pPr>
            <w:r>
              <w:rPr>
                <w:rFonts w:ascii="Arial" w:cs="Arial" w:eastAsia="Arial" w:hAnsi="Arial"/>
                <w:b/>
                <w:bCs/>
                <w:color w:val="1F4E79"/>
                <w:sz w:val="18"/>
                <w:szCs w:val="18"/>
              </w:rPr>
              <w:t xml:space="preserve">Feature</w:t>
            </w:r>
          </w:p>
        </w:tc>
        <w:tc>
          <w:tcPr>
            <w:tcW w:type="dxa" w:w="1400"/>
            <w:tcBorders>
              <w:top w:val="single" w:color="D0D7E2" w:sz="4"/>
              <w:left w:val="single" w:color="D0D7E2" w:sz="4"/>
              <w:bottom w:val="single" w:color="D0D7E2" w:sz="4"/>
              <w:right w:val="single" w:color="D0D7E2" w:sz="4"/>
            </w:tcBorders>
            <w:shd w:fill="E7EEF7" w:val="clear"/>
            <w:tcMar>
              <w:top w:type="dxa" w:w="36"/>
              <w:left w:type="dxa" w:w="70"/>
              <w:bottom w:type="dxa" w:w="36"/>
              <w:right w:type="dxa" w:w="70"/>
            </w:tcMar>
            <w:vAlign w:val="center"/>
          </w:tcPr>
          <w:p>
            <w:pPr>
              <w:spacing w:after="0" w:before="0"/>
              <w:jc w:val="left"/>
            </w:pPr>
            <w:r>
              <w:rPr>
                <w:rFonts w:ascii="Arial" w:cs="Arial" w:eastAsia="Arial" w:hAnsi="Arial"/>
                <w:b/>
                <w:bCs/>
                <w:color w:val="1F4E79"/>
                <w:sz w:val="18"/>
                <w:szCs w:val="18"/>
              </w:rPr>
              <w:t xml:space="preserve">Domain</w:t>
            </w:r>
          </w:p>
        </w:tc>
        <w:tc>
          <w:tcPr>
            <w:tcW w:type="dxa" w:w="6280"/>
            <w:tcBorders>
              <w:top w:val="single" w:color="D0D7E2" w:sz="4"/>
              <w:left w:val="single" w:color="D0D7E2" w:sz="4"/>
              <w:bottom w:val="single" w:color="D0D7E2" w:sz="4"/>
              <w:right w:val="single" w:color="D0D7E2" w:sz="4"/>
            </w:tcBorders>
            <w:shd w:fill="E7EEF7" w:val="clear"/>
            <w:tcMar>
              <w:top w:type="dxa" w:w="36"/>
              <w:left w:type="dxa" w:w="70"/>
              <w:bottom w:type="dxa" w:w="36"/>
              <w:right w:type="dxa" w:w="70"/>
            </w:tcMar>
            <w:vAlign w:val="center"/>
          </w:tcPr>
          <w:p>
            <w:pPr>
              <w:spacing w:after="0" w:before="0"/>
              <w:jc w:val="left"/>
            </w:pPr>
            <w:r>
              <w:rPr>
                <w:rFonts w:ascii="Arial" w:cs="Arial" w:eastAsia="Arial" w:hAnsi="Arial"/>
                <w:b/>
                <w:bCs/>
                <w:color w:val="1F4E79"/>
                <w:sz w:val="18"/>
                <w:szCs w:val="18"/>
              </w:rPr>
              <w:t xml:space="preserve">Why it is in the model</w:t>
            </w:r>
          </w:p>
        </w:tc>
      </w:tr>
      <w:tr>
        <w:trPr>
          <w:cantSplit/>
        </w:trPr>
        <w:tc>
          <w:tcPr>
            <w:tcW w:type="dxa" w:w="240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acc_mag_mean</w:t>
            </w:r>
          </w:p>
        </w:tc>
        <w:tc>
          <w:tcPr>
            <w:tcW w:type="dxa" w:w="140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Time</w:t>
            </w:r>
          </w:p>
        </w:tc>
        <w:tc>
          <w:tcPr>
            <w:tcW w:type="dxa" w:w="628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Mean size of motion after gravity is removed. Rest sits near zero.</w:t>
            </w:r>
          </w:p>
        </w:tc>
      </w:tr>
      <w:tr>
        <w:trPr>
          <w:cantSplit/>
        </w:trPr>
        <w:tc>
          <w:tcPr>
            <w:tcW w:type="dxa" w:w="240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acc_mag_var</w:t>
            </w:r>
          </w:p>
        </w:tc>
        <w:tc>
          <w:tcPr>
            <w:tcW w:type="dxa" w:w="140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Time</w:t>
            </w:r>
          </w:p>
        </w:tc>
        <w:tc>
          <w:tcPr>
            <w:tcW w:type="dxa" w:w="628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Spread of that magnitude. A landing is a spike. Sway is not.</w:t>
            </w:r>
          </w:p>
        </w:tc>
      </w:tr>
      <w:tr>
        <w:trPr>
          <w:cantSplit/>
        </w:trPr>
        <w:tc>
          <w:tcPr>
            <w:tcW w:type="dxa" w:w="240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acc_mag_rms</w:t>
            </w:r>
          </w:p>
        </w:tc>
        <w:tc>
          <w:tcPr>
            <w:tcW w:type="dxa" w:w="140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Time</w:t>
            </w:r>
          </w:p>
        </w:tc>
        <w:tc>
          <w:tcPr>
            <w:tcW w:type="dxa" w:w="628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Energy of the magnitude. Separates a hard landing from a step.</w:t>
            </w:r>
          </w:p>
        </w:tc>
      </w:tr>
      <w:tr>
        <w:trPr>
          <w:cantSplit/>
        </w:trPr>
        <w:tc>
          <w:tcPr>
            <w:tcW w:type="dxa" w:w="240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sma</w:t>
            </w:r>
          </w:p>
        </w:tc>
        <w:tc>
          <w:tcPr>
            <w:tcW w:type="dxa" w:w="140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Time</w:t>
            </w:r>
          </w:p>
        </w:tc>
        <w:tc>
          <w:tcPr>
            <w:tcW w:type="dxa" w:w="628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Signal magnitude area. Motion on any axis counts, not only the largest one.</w:t>
            </w:r>
          </w:p>
        </w:tc>
      </w:tr>
      <w:tr>
        <w:trPr>
          <w:cantSplit/>
        </w:trPr>
        <w:tc>
          <w:tcPr>
            <w:tcW w:type="dxa" w:w="240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acc_xy_corr</w:t>
            </w:r>
          </w:p>
        </w:tc>
        <w:tc>
          <w:tcPr>
            <w:tcW w:type="dxa" w:w="140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Time</w:t>
            </w:r>
          </w:p>
        </w:tc>
        <w:tc>
          <w:tcPr>
            <w:tcW w:type="dxa" w:w="628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Correlation of the horizontal axes. Sway is coordinated. Noise is not.</w:t>
            </w:r>
          </w:p>
        </w:tc>
      </w:tr>
      <w:tr>
        <w:trPr>
          <w:cantSplit/>
        </w:trPr>
        <w:tc>
          <w:tcPr>
            <w:tcW w:type="dxa" w:w="240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acc_dom_freq</w:t>
            </w:r>
          </w:p>
        </w:tc>
        <w:tc>
          <w:tcPr>
            <w:tcW w:type="dxa" w:w="140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Frequency</w:t>
            </w:r>
          </w:p>
        </w:tc>
        <w:tc>
          <w:tcPr>
            <w:tcW w:type="dxa" w:w="628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FFT peak on the busiest axis, or 0 Hz if no bin clears the noise floor.</w:t>
            </w:r>
          </w:p>
        </w:tc>
      </w:tr>
      <w:tr>
        <w:trPr>
          <w:cantSplit/>
        </w:trPr>
        <w:tc>
          <w:tcPr>
            <w:tcW w:type="dxa" w:w="240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acc_spectral_energy</w:t>
            </w:r>
          </w:p>
        </w:tc>
        <w:tc>
          <w:tcPr>
            <w:tcW w:type="dxa" w:w="140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Frequency</w:t>
            </w:r>
          </w:p>
        </w:tc>
        <w:tc>
          <w:tcPr>
            <w:tcW w:type="dxa" w:w="628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FFT power from 0.15 to 8 Hz. This is what separates a jump from a step.</w:t>
            </w:r>
          </w:p>
        </w:tc>
      </w:tr>
      <w:tr>
        <w:trPr>
          <w:cantSplit/>
        </w:trPr>
        <w:tc>
          <w:tcPr>
            <w:tcW w:type="dxa" w:w="240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gyro_mag_mean</w:t>
            </w:r>
          </w:p>
        </w:tc>
        <w:tc>
          <w:tcPr>
            <w:tcW w:type="dxa" w:w="140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Time</w:t>
            </w:r>
          </w:p>
        </w:tc>
        <w:tc>
          <w:tcPr>
            <w:tcW w:type="dxa" w:w="628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How much the phone rotates. A desk does not. A step does.</w:t>
            </w:r>
          </w:p>
        </w:tc>
      </w:tr>
      <w:tr>
        <w:trPr>
          <w:cantSplit/>
        </w:trPr>
        <w:tc>
          <w:tcPr>
            <w:tcW w:type="dxa" w:w="240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gyro_dom_freq</w:t>
            </w:r>
          </w:p>
        </w:tc>
        <w:tc>
          <w:tcPr>
            <w:tcW w:type="dxa" w:w="140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Frequency</w:t>
            </w:r>
          </w:p>
        </w:tc>
        <w:tc>
          <w:tcPr>
            <w:tcW w:type="dxa" w:w="628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FFT peak of the busiest gyro axis. Walking rocks the phone at the step rate.</w:t>
            </w:r>
          </w:p>
        </w:tc>
      </w:tr>
    </w:tbl>
    <w:p>
      <w:pPr>
        <w:spacing w:after="80" w:before="60"/>
      </w:pPr>
    </w:p>
    <w:p>
      <w:pPr>
        <w:pStyle w:val="Heading1"/>
        <w:keepNext/>
        <w:pBdr>
          <w:bottom w:val="single" w:color="1F4E79" w:sz="8" w:space="1"/>
        </w:pBdr>
        <w:spacing w:after="120" w:before="280"/>
      </w:pPr>
      <w:r>
        <w:rPr>
          <w:rFonts w:ascii="Arial" w:cs="Arial" w:eastAsia="Arial" w:hAnsi="Arial"/>
          <w:b/>
          <w:bCs/>
          <w:color w:val="1F4E79"/>
          <w:sz w:val="26"/>
          <w:szCs w:val="26"/>
        </w:rPr>
        <w:t xml:space="preserve">HMM setup and implementation</w:t>
      </w:r>
    </w:p>
    <w:p>
      <w:pPr>
        <w:spacing w:after="120" w:before="0" w:line="252"/>
      </w:pPr>
      <w:r>
        <w:rPr>
          <w:rFonts w:ascii="Arial" w:cs="Arial" w:eastAsia="Arial" w:hAnsi="Arial"/>
          <w:sz w:val="22"/>
          <w:szCs w:val="22"/>
        </w:rPr>
        <w:t xml:space="preserve">The hidden states are standing, walking, jumping, and still. An observation is the nine-dimensional vector from one window. Each state emits a diagonal Gaussian. After z-scoring, a full covariance is unnecessary, and it would add a large number of parameters on a few thousand windows.</w:t>
      </w:r>
    </w:p>
    <w:p>
      <w:pPr>
        <w:spacing w:after="120" w:before="0" w:line="252"/>
      </w:pPr>
      <w:r>
        <w:rPr>
          <w:rFonts w:ascii="Arial" w:cs="Arial" w:eastAsia="Arial" w:hAnsi="Arial"/>
          <w:sz w:val="22"/>
          <w:szCs w:val="22"/>
        </w:rPr>
        <w:t xml:space="preserve">Baum-Welch learns the start vector, the transition matrix, and the Gaussian means and variances. The code is in src/hmm.py and uses NumPy only. Forward and backward messages stay in log space so a long file does not underflow. The E-step turns those messages into a posterior over states and a posterior over transitions. The M-step updates the parameters. Variance has a floor of 10⁻³ so a state cannot collapse to zero width. Every transition is floored before its row is normalized, so a log-probability stays finite. Learning stops when the relative change in total training log-likelihood falls below 10⁻⁶. On this data that happened at iteration 9. The likelihood moved from 11908.4 to 14768.9 and never decreased.</w:t>
      </w:r>
    </w:p>
    <w:p>
      <w:pPr>
        <w:spacing w:after="120" w:before="0" w:line="252"/>
      </w:pPr>
      <w:r>
        <w:rPr>
          <w:rFonts w:ascii="Arial" w:cs="Arial" w:eastAsia="Arial" w:hAnsi="Arial"/>
          <w:sz w:val="22"/>
          <w:szCs w:val="22"/>
        </w:rPr>
        <w:t xml:space="preserve">Initialization uses the labeled training windows, so each state starts as one activity. After EM, states are renamed by the majority training label of the Viterbi path. Test files are not used for that renaming. On this run the match was the identity: EM did not swap the activities. A separate check builds a two-state Gaussian chain with known parameters. Viterbi recovered that probe path with accuracy 1.00, the posteriors sum to one, and EM did not lower the likelihood.</w:t>
      </w:r>
    </w:p>
    <w:p>
      <w:pPr>
        <w:spacing w:after="120" w:before="0" w:line="252"/>
      </w:pPr>
      <w:r>
        <w:rPr>
          <w:rFonts w:ascii="Arial" w:cs="Arial" w:eastAsia="Arial" w:hAnsi="Arial"/>
          <w:sz w:val="22"/>
          <w:szCs w:val="22"/>
        </w:rPr>
        <w:t xml:space="preserve">The metrics below are computed on the Viterbi path, one hard label per window. That is the label the coach would display. Forward-backward posteriors are the right quantity inside EM, where a window may belong partly to two states, but sensitivity and specificity count hard decisions. A Viterbi error is an off-diagonal cell in the confusion matrix. The labeled initialization, before any EM update, already reaches a held-out frame accuracy of 0.971. After EM the same files reach 0.997, so the update is doing real work.</w:t>
      </w:r>
    </w:p>
    <w:p>
      <w:pPr>
        <w:pStyle w:val="Heading1"/>
        <w:keepNext/>
        <w:pBdr>
          <w:bottom w:val="single" w:color="1F4E79" w:sz="8" w:space="1"/>
        </w:pBdr>
        <w:spacing w:after="120" w:before="280"/>
      </w:pPr>
      <w:r>
        <w:rPr>
          <w:rFonts w:ascii="Arial" w:cs="Arial" w:eastAsia="Arial" w:hAnsi="Arial"/>
          <w:b/>
          <w:bCs/>
          <w:color w:val="1F4E79"/>
          <w:sz w:val="26"/>
          <w:szCs w:val="26"/>
        </w:rPr>
        <w:t xml:space="preserve">Results and interpretation</w:t>
      </w:r>
    </w:p>
    <w:p>
      <w:pPr>
        <w:spacing w:after="120" w:before="0" w:line="252"/>
      </w:pPr>
      <w:r>
        <w:rPr>
          <w:rFonts w:ascii="Arial" w:cs="Arial" w:eastAsia="Arial" w:hAnsi="Arial"/>
          <w:sz w:val="22"/>
          <w:szCs w:val="22"/>
        </w:rPr>
        <w:t xml:space="preserve">The single-activity test set has 40 files and 585 windows. Frame accuracy is 0.997, which is 583 of 585 windows. The majority label of each file is correct on all 40 files. Four mixed test recordings, 239 windows that were not in training, reach a frame accuracy of 0.954. Samples in the table are held-out windows.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600"/>
        <w:gridCol w:w="2193"/>
        <w:gridCol w:w="2193"/>
        <w:gridCol w:w="2194"/>
      </w:tblGrid>
      <w:tr>
        <w:trPr>
          <w:cantSplit/>
          <w:tblHeader/>
        </w:trPr>
        <w:tc>
          <w:tcPr>
            <w:tcW w:type="dxa" w:w="1900"/>
            <w:tcBorders>
              <w:top w:val="single" w:color="D0D7E2" w:sz="4"/>
              <w:left w:val="single" w:color="D0D7E2" w:sz="4"/>
              <w:bottom w:val="single" w:color="D0D7E2" w:sz="4"/>
              <w:right w:val="single" w:color="D0D7E2" w:sz="4"/>
            </w:tcBorders>
            <w:shd w:fill="E7EEF7" w:val="clear"/>
            <w:tcMar>
              <w:top w:type="dxa" w:w="36"/>
              <w:left w:type="dxa" w:w="70"/>
              <w:bottom w:type="dxa" w:w="36"/>
              <w:right w:type="dxa" w:w="70"/>
            </w:tcMar>
            <w:vAlign w:val="center"/>
          </w:tcPr>
          <w:p>
            <w:pPr>
              <w:spacing w:after="0" w:before="0"/>
              <w:jc w:val="left"/>
            </w:pPr>
            <w:r>
              <w:rPr>
                <w:rFonts w:ascii="Arial" w:cs="Arial" w:eastAsia="Arial" w:hAnsi="Arial"/>
                <w:b/>
                <w:bCs/>
                <w:color w:val="1F4E79"/>
                <w:sz w:val="18"/>
                <w:szCs w:val="18"/>
              </w:rPr>
              <w:t xml:space="preserve">Activity</w:t>
            </w:r>
          </w:p>
        </w:tc>
        <w:tc>
          <w:tcPr>
            <w:tcW w:type="dxa" w:w="1600"/>
            <w:tcBorders>
              <w:top w:val="single" w:color="D0D7E2" w:sz="4"/>
              <w:left w:val="single" w:color="D0D7E2" w:sz="4"/>
              <w:bottom w:val="single" w:color="D0D7E2" w:sz="4"/>
              <w:right w:val="single" w:color="D0D7E2" w:sz="4"/>
            </w:tcBorders>
            <w:shd w:fill="E7EEF7" w:val="clear"/>
            <w:tcMar>
              <w:top w:type="dxa" w:w="36"/>
              <w:left w:type="dxa" w:w="70"/>
              <w:bottom w:type="dxa" w:w="36"/>
              <w:right w:type="dxa" w:w="70"/>
            </w:tcMar>
            <w:vAlign w:val="center"/>
          </w:tcPr>
          <w:p>
            <w:pPr>
              <w:spacing w:after="0" w:before="0"/>
              <w:jc w:val="center"/>
            </w:pPr>
            <w:r>
              <w:rPr>
                <w:rFonts w:ascii="Arial" w:cs="Arial" w:eastAsia="Arial" w:hAnsi="Arial"/>
                <w:b/>
                <w:bCs/>
                <w:color w:val="1F4E79"/>
                <w:sz w:val="18"/>
                <w:szCs w:val="18"/>
              </w:rPr>
              <w:t xml:space="preserve">Samples</w:t>
            </w:r>
          </w:p>
        </w:tc>
        <w:tc>
          <w:tcPr>
            <w:tcW w:type="dxa" w:w="2193"/>
            <w:tcBorders>
              <w:top w:val="single" w:color="D0D7E2" w:sz="4"/>
              <w:left w:val="single" w:color="D0D7E2" w:sz="4"/>
              <w:bottom w:val="single" w:color="D0D7E2" w:sz="4"/>
              <w:right w:val="single" w:color="D0D7E2" w:sz="4"/>
            </w:tcBorders>
            <w:shd w:fill="E7EEF7" w:val="clear"/>
            <w:tcMar>
              <w:top w:type="dxa" w:w="36"/>
              <w:left w:type="dxa" w:w="70"/>
              <w:bottom w:type="dxa" w:w="36"/>
              <w:right w:type="dxa" w:w="70"/>
            </w:tcMar>
            <w:vAlign w:val="center"/>
          </w:tcPr>
          <w:p>
            <w:pPr>
              <w:spacing w:after="0" w:before="0"/>
              <w:jc w:val="center"/>
            </w:pPr>
            <w:r>
              <w:rPr>
                <w:rFonts w:ascii="Arial" w:cs="Arial" w:eastAsia="Arial" w:hAnsi="Arial"/>
                <w:b/>
                <w:bCs/>
                <w:color w:val="1F4E79"/>
                <w:sz w:val="18"/>
                <w:szCs w:val="18"/>
              </w:rPr>
              <w:t xml:space="preserve">Sensitivity</w:t>
            </w:r>
          </w:p>
        </w:tc>
        <w:tc>
          <w:tcPr>
            <w:tcW w:type="dxa" w:w="2193"/>
            <w:tcBorders>
              <w:top w:val="single" w:color="D0D7E2" w:sz="4"/>
              <w:left w:val="single" w:color="D0D7E2" w:sz="4"/>
              <w:bottom w:val="single" w:color="D0D7E2" w:sz="4"/>
              <w:right w:val="single" w:color="D0D7E2" w:sz="4"/>
            </w:tcBorders>
            <w:shd w:fill="E7EEF7" w:val="clear"/>
            <w:tcMar>
              <w:top w:type="dxa" w:w="36"/>
              <w:left w:type="dxa" w:w="70"/>
              <w:bottom w:type="dxa" w:w="36"/>
              <w:right w:type="dxa" w:w="70"/>
            </w:tcMar>
            <w:vAlign w:val="center"/>
          </w:tcPr>
          <w:p>
            <w:pPr>
              <w:spacing w:after="0" w:before="0"/>
              <w:jc w:val="center"/>
            </w:pPr>
            <w:r>
              <w:rPr>
                <w:rFonts w:ascii="Arial" w:cs="Arial" w:eastAsia="Arial" w:hAnsi="Arial"/>
                <w:b/>
                <w:bCs/>
                <w:color w:val="1F4E79"/>
                <w:sz w:val="18"/>
                <w:szCs w:val="18"/>
              </w:rPr>
              <w:t xml:space="preserve">Specificity</w:t>
            </w:r>
          </w:p>
        </w:tc>
        <w:tc>
          <w:tcPr>
            <w:tcW w:type="dxa" w:w="2194"/>
            <w:tcBorders>
              <w:top w:val="single" w:color="D0D7E2" w:sz="4"/>
              <w:left w:val="single" w:color="D0D7E2" w:sz="4"/>
              <w:bottom w:val="single" w:color="D0D7E2" w:sz="4"/>
              <w:right w:val="single" w:color="D0D7E2" w:sz="4"/>
            </w:tcBorders>
            <w:shd w:fill="E7EEF7" w:val="clear"/>
            <w:tcMar>
              <w:top w:type="dxa" w:w="36"/>
              <w:left w:type="dxa" w:w="70"/>
              <w:bottom w:type="dxa" w:w="36"/>
              <w:right w:type="dxa" w:w="70"/>
            </w:tcMar>
            <w:vAlign w:val="center"/>
          </w:tcPr>
          <w:p>
            <w:pPr>
              <w:spacing w:after="0" w:before="0"/>
              <w:jc w:val="center"/>
            </w:pPr>
            <w:r>
              <w:rPr>
                <w:rFonts w:ascii="Arial" w:cs="Arial" w:eastAsia="Arial" w:hAnsi="Arial"/>
                <w:b/>
                <w:bCs/>
                <w:color w:val="1F4E79"/>
                <w:sz w:val="18"/>
                <w:szCs w:val="18"/>
              </w:rPr>
              <w:t xml:space="preserve">Overall accuracy</w:t>
            </w:r>
          </w:p>
        </w:tc>
      </w:tr>
      <w:tr>
        <w:trPr>
          <w:cantSplit/>
        </w:trPr>
        <w:tc>
          <w:tcPr>
            <w:tcW w:type="dxa" w:w="190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8"/>
                <w:szCs w:val="18"/>
              </w:rPr>
              <w:t xml:space="preserve">Standing</w:t>
            </w:r>
          </w:p>
        </w:tc>
        <w:tc>
          <w:tcPr>
            <w:tcW w:type="dxa" w:w="160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143</w:t>
            </w:r>
          </w:p>
        </w:tc>
        <w:tc>
          <w:tcPr>
            <w:tcW w:type="dxa" w:w="2193"/>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0.986</w:t>
            </w:r>
          </w:p>
        </w:tc>
        <w:tc>
          <w:tcPr>
            <w:tcW w:type="dxa" w:w="2193"/>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1.000</w:t>
            </w:r>
          </w:p>
        </w:tc>
        <w:tc>
          <w:tcPr>
            <w:tcW w:type="dxa" w:w="2194"/>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0.997</w:t>
            </w:r>
          </w:p>
        </w:tc>
      </w:tr>
      <w:tr>
        <w:trPr>
          <w:cantSplit/>
        </w:trPr>
        <w:tc>
          <w:tcPr>
            <w:tcW w:type="dxa" w:w="190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8"/>
                <w:szCs w:val="18"/>
              </w:rPr>
              <w:t xml:space="preserve">Walking</w:t>
            </w:r>
          </w:p>
        </w:tc>
        <w:tc>
          <w:tcPr>
            <w:tcW w:type="dxa" w:w="160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142</w:t>
            </w:r>
          </w:p>
        </w:tc>
        <w:tc>
          <w:tcPr>
            <w:tcW w:type="dxa" w:w="2193"/>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1.000</w:t>
            </w:r>
          </w:p>
        </w:tc>
        <w:tc>
          <w:tcPr>
            <w:tcW w:type="dxa" w:w="2193"/>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1.000</w:t>
            </w:r>
          </w:p>
        </w:tc>
        <w:tc>
          <w:tcPr>
            <w:tcW w:type="dxa" w:w="2194"/>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0.997</w:t>
            </w:r>
          </w:p>
        </w:tc>
      </w:tr>
      <w:tr>
        <w:trPr>
          <w:cantSplit/>
        </w:trPr>
        <w:tc>
          <w:tcPr>
            <w:tcW w:type="dxa" w:w="190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8"/>
                <w:szCs w:val="18"/>
              </w:rPr>
              <w:t xml:space="preserve">Jumping</w:t>
            </w:r>
          </w:p>
        </w:tc>
        <w:tc>
          <w:tcPr>
            <w:tcW w:type="dxa" w:w="160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151</w:t>
            </w:r>
          </w:p>
        </w:tc>
        <w:tc>
          <w:tcPr>
            <w:tcW w:type="dxa" w:w="2193"/>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1.000</w:t>
            </w:r>
          </w:p>
        </w:tc>
        <w:tc>
          <w:tcPr>
            <w:tcW w:type="dxa" w:w="2193"/>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1.000</w:t>
            </w:r>
          </w:p>
        </w:tc>
        <w:tc>
          <w:tcPr>
            <w:tcW w:type="dxa" w:w="2194"/>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0.997</w:t>
            </w:r>
          </w:p>
        </w:tc>
      </w:tr>
      <w:tr>
        <w:trPr>
          <w:cantSplit/>
        </w:trPr>
        <w:tc>
          <w:tcPr>
            <w:tcW w:type="dxa" w:w="190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8"/>
                <w:szCs w:val="18"/>
              </w:rPr>
              <w:t xml:space="preserve">Still</w:t>
            </w:r>
          </w:p>
        </w:tc>
        <w:tc>
          <w:tcPr>
            <w:tcW w:type="dxa" w:w="160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149</w:t>
            </w:r>
          </w:p>
        </w:tc>
        <w:tc>
          <w:tcPr>
            <w:tcW w:type="dxa" w:w="2193"/>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1.000</w:t>
            </w:r>
          </w:p>
        </w:tc>
        <w:tc>
          <w:tcPr>
            <w:tcW w:type="dxa" w:w="2193"/>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0.995</w:t>
            </w:r>
          </w:p>
        </w:tc>
        <w:tc>
          <w:tcPr>
            <w:tcW w:type="dxa" w:w="2194"/>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0.997</w:t>
            </w:r>
          </w:p>
        </w:tc>
      </w:tr>
    </w:tbl>
    <w:p>
      <w:pPr>
        <w:keepLines/>
        <w:spacing w:after="120" w:before="20"/>
        <w:jc w:val="center"/>
      </w:pPr>
      <w:r>
        <w:rPr>
          <w:rFonts w:ascii="Arial" w:cs="Arial" w:eastAsia="Arial" w:hAnsi="Arial"/>
          <w:i/>
          <w:iCs/>
          <w:color w:val="444444"/>
          <w:sz w:val="18"/>
          <w:szCs w:val="18"/>
        </w:rPr>
        <w:t xml:space="preserve">Table 1. One-versus-rest sensitivity and specificity on the 40 held-out single-activity files. Overall accuracy is the same quantity on every row.</w:t>
      </w:r>
    </w:p>
    <w:p>
      <w:pPr>
        <w:spacing w:after="120" w:before="0" w:line="252"/>
      </w:pPr>
      <w:r>
        <w:rPr>
          <w:rFonts w:ascii="Arial" w:cs="Arial" w:eastAsia="Arial" w:hAnsi="Arial"/>
          <w:sz w:val="22"/>
          <w:szCs w:val="22"/>
        </w:rPr>
        <w:t xml:space="preserve">Walking and jumping are exact on these files. The only mistakes are two standing windows called still. Still therefore has a specificity of 0.995, and standing has a sensitivity of 0.986. No held-out rest window was called walking or jumping.</w:t>
      </w:r>
    </w:p>
    <w:p>
      <w:pPr>
        <w:keepNext/>
        <w:spacing w:after="20" w:before="80"/>
        <w:jc w:val="center"/>
      </w:pPr>
      <w:r>
        <w:drawing>
          <wp:inline distT="0" distB="0" distL="0" distR="0">
            <wp:extent cx="5143500" cy="4010025"/>
            <wp:effectExtent t="0" r="0" b="0" l="0"/>
            <wp:docPr id="1" name="Four accelerometer magnitude traces on one shared vertical scale" descr="Four accelerometer magnitude traces on one shared vertical scale" title="Four accelerometer magnitude traces on one shared vertical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4010025"/>
                    </a:xfrm>
                    <a:prstGeom prst="rect">
                      <a:avLst/>
                    </a:prstGeom>
                  </pic:spPr>
                </pic:pic>
              </a:graphicData>
            </a:graphic>
          </wp:inline>
        </w:drawing>
      </w:r>
    </w:p>
    <w:p>
      <w:pPr>
        <w:keepLines/>
        <w:spacing w:after="120" w:before="20"/>
        <w:jc w:val="center"/>
      </w:pPr>
      <w:r>
        <w:rPr>
          <w:rFonts w:ascii="Arial" w:cs="Arial" w:eastAsia="Arial" w:hAnsi="Arial"/>
          <w:i/>
          <w:iCs/>
          <w:color w:val="444444"/>
          <w:sz w:val="18"/>
          <w:szCs w:val="18"/>
        </w:rPr>
        <w:t xml:space="preserve">Figure 1. Accelerometer magnitude for one held-out file of each activity, resampled to 50 Hz and drawn on one vertical scale. Standing and still sit on gravity. Walking oscillates. Jumping is a series of impacts.</w:t>
      </w:r>
    </w:p>
    <w:p>
      <w:pPr>
        <w:keepNext/>
        <w:spacing w:after="20" w:before="80"/>
        <w:jc w:val="center"/>
      </w:pPr>
      <w:r>
        <w:drawing>
          <wp:inline distT="0" distB="0" distL="0" distR="0">
            <wp:extent cx="3810000" cy="3190875"/>
            <wp:effectExtent t="0" r="0" b="0" l="0"/>
            <wp:docPr id="2" name="Heatmap of the learned transition matrix" descr="Heatmap of the learned transition matrix" title="Heatmap of the learned transition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3190875"/>
                    </a:xfrm>
                    <a:prstGeom prst="rect">
                      <a:avLst/>
                    </a:prstGeom>
                  </pic:spPr>
                </pic:pic>
              </a:graphicData>
            </a:graphic>
          </wp:inline>
        </w:drawing>
      </w:r>
    </w:p>
    <w:p>
      <w:pPr>
        <w:keepLines/>
        <w:spacing w:after="120" w:before="20"/>
        <w:jc w:val="center"/>
      </w:pPr>
      <w:r>
        <w:rPr>
          <w:rFonts w:ascii="Arial" w:cs="Arial" w:eastAsia="Arial" w:hAnsi="Arial"/>
          <w:i/>
          <w:iCs/>
          <w:color w:val="444444"/>
          <w:sz w:val="18"/>
          <w:szCs w:val="18"/>
        </w:rPr>
        <w:t xml:space="preserve">Figure 2. Learned transition matrix. Each row sums to 1. Self-transitions are between 0.97 and 0.98.</w:t>
      </w:r>
    </w:p>
    <w:p>
      <w:pPr>
        <w:spacing w:after="120" w:before="0" w:line="252"/>
      </w:pPr>
      <w:r>
        <w:rPr>
          <w:rFonts w:ascii="Arial" w:cs="Arial" w:eastAsia="Arial" w:hAnsi="Arial"/>
          <w:sz w:val="22"/>
          <w:szCs w:val="22"/>
        </w:rPr>
        <w:t xml:space="preserve">A half-second hop should be almost diagonal, and it is. A person does not change activity on most steps. The off-diagonal mass that survives is small and local. Standing keeps about 0.01 toward still and 0.01 toward jumping. Walking keeps 0.014 toward jumping. Jumping keeps 0.019 toward walking. Still keeps 0.016 toward standing. Walking into still, and jumping into still, sit on the numerical floor and print as 0.00. Those changes are a single boundary frame against a long run, and EM treats them as noise.</w:t>
      </w:r>
    </w:p>
    <w:p>
      <w:pPr>
        <w:keepNext/>
        <w:spacing w:after="20" w:before="80"/>
        <w:jc w:val="center"/>
      </w:pPr>
      <w:r>
        <w:drawing>
          <wp:inline distT="0" distB="0" distL="0" distR="0">
            <wp:extent cx="5334000" cy="2343150"/>
            <wp:effectExtent t="0" r="0" b="0" l="0"/>
            <wp:docPr id="3" name="Recorded activity and Viterbi path on one held-out mixed recording" descr="Recorded activity and Viterbi path on one held-out mixed recording" title="Recorded activity and Viterbi path on one held-out mixed recor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43150"/>
                    </a:xfrm>
                    <a:prstGeom prst="rect">
                      <a:avLst/>
                    </a:prstGeom>
                  </pic:spPr>
                </pic:pic>
              </a:graphicData>
            </a:graphic>
          </wp:inline>
        </w:drawing>
      </w:r>
    </w:p>
    <w:p>
      <w:pPr>
        <w:keepLines/>
        <w:spacing w:after="120" w:before="20"/>
        <w:jc w:val="center"/>
      </w:pPr>
      <w:r>
        <w:rPr>
          <w:rFonts w:ascii="Arial" w:cs="Arial" w:eastAsia="Arial" w:hAnsi="Arial"/>
          <w:i/>
          <w:iCs/>
          <w:color w:val="444444"/>
          <w:sz w:val="18"/>
          <w:szCs w:val="18"/>
        </w:rPr>
        <w:t xml:space="preserve">Figure 3. Viterbi on the held-out file sequence_006.csv. The path follows walking, jumping, walking, then standing, and inserts a short still during the final standing segment.</w:t>
      </w:r>
    </w:p>
    <w:p>
      <w:pPr>
        <w:keepNext/>
        <w:spacing w:after="20" w:before="80"/>
        <w:jc w:val="center"/>
      </w:pPr>
      <w:r>
        <w:drawing>
          <wp:inline distT="0" distB="0" distL="0" distR="0">
            <wp:extent cx="3810000" cy="3190875"/>
            <wp:effectExtent t="0" r="0" b="0" l="0"/>
            <wp:docPr id="4" name="Confusion matrix for held-out single-activity files" descr="Confusion matrix for held-out single-activity files" title="Confusion matrix for held-out single-activity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3190875"/>
                    </a:xfrm>
                    <a:prstGeom prst="rect">
                      <a:avLst/>
                    </a:prstGeom>
                  </pic:spPr>
                </pic:pic>
              </a:graphicData>
            </a:graphic>
          </wp:inline>
        </w:drawing>
      </w:r>
    </w:p>
    <w:p>
      <w:pPr>
        <w:keepLines/>
        <w:spacing w:after="120" w:before="20"/>
        <w:jc w:val="center"/>
      </w:pPr>
      <w:r>
        <w:rPr>
          <w:rFonts w:ascii="Arial" w:cs="Arial" w:eastAsia="Arial" w:hAnsi="Arial"/>
          <w:i/>
          <w:iCs/>
          <w:color w:val="444444"/>
          <w:sz w:val="18"/>
          <w:szCs w:val="18"/>
        </w:rPr>
        <w:t xml:space="preserve">Figure 4. Confusion matrix on the 40 held-out single-activity files. Both errors are standing windows decoded as still.</w:t>
      </w:r>
    </w:p>
    <w:p>
      <w:pPr>
        <w:spacing w:after="120" w:before="0" w:line="252"/>
      </w:pPr>
      <w:r>
        <w:rPr>
          <w:rFonts w:ascii="Arial" w:cs="Arial" w:eastAsia="Arial" w:hAnsi="Arial"/>
          <w:sz w:val="22"/>
          <w:szCs w:val="22"/>
        </w:rPr>
        <w:t xml:space="preserve">On the training windows, before z-scoring, the frequency features split the classes in a way the time-domain size features do not finish. Walking has an acceleration peak at 1.85 Hz on average, and every walking window cleared the noise floor. Jumping cleared it on none. An impact is broadband, so the dominant frequency is reported as 0 Hz rather than as a fake cadence. Spectral energy carries that distinction. Its training mean is about 562 for jumping, 41 for walking, 0.08 for standing, and 0.005 for still. The gyroscope peak tells the same walking story, at 1.83 Hz, and is absent for jumps. Standing versus still is the pair left over. Both have little energy, and about 28 percent of standing windows have no accepted peak.</w:t>
      </w:r>
    </w:p>
    <w:p>
      <w:pPr>
        <w:pStyle w:val="Heading1"/>
        <w:keepNext/>
        <w:pBdr>
          <w:bottom w:val="single" w:color="1F4E79" w:sz="8" w:space="1"/>
        </w:pBdr>
        <w:spacing w:after="120" w:before="280"/>
      </w:pPr>
      <w:r>
        <w:rPr>
          <w:rFonts w:ascii="Arial" w:cs="Arial" w:eastAsia="Arial" w:hAnsi="Arial"/>
          <w:b/>
          <w:bCs/>
          <w:color w:val="1F4E79"/>
          <w:sz w:val="26"/>
          <w:szCs w:val="26"/>
        </w:rPr>
        <w:t xml:space="preserve">Discussion and conclusion</w:t>
      </w:r>
    </w:p>
    <w:p>
      <w:pPr>
        <w:spacing w:after="120" w:before="0" w:line="252"/>
      </w:pPr>
      <w:r>
        <w:rPr>
          <w:rFonts w:ascii="Arial" w:cs="Arial" w:eastAsia="Arial" w:hAnsi="Arial"/>
          <w:sz w:val="22"/>
          <w:szCs w:val="22"/>
        </w:rPr>
        <w:t xml:space="preserve">Walking and jumping separate from rest, and from each other, once magnitude, spectral energy, and a gyroscope peak are in the observation. That is why their sensitivity on new single-activity files is 1.000. Standing and still are the hard pair, and the errors fall on one side only. A quiet sway is called still, and a still file is not called standing. For the break coach that bias over-counts sedentary time. On these files the amount is 2 windows out of 143.</w:t>
      </w:r>
    </w:p>
    <w:p>
      <w:pPr>
        <w:spacing w:after="120" w:before="0" w:line="252"/>
      </w:pPr>
      <w:r>
        <w:rPr>
          <w:rFonts w:ascii="Arial" w:cs="Arial" w:eastAsia="Arial" w:hAnsi="Arial"/>
          <w:sz w:val="22"/>
          <w:szCs w:val="22"/>
        </w:rPr>
        <w:t xml:space="preserve">The transition matrix agrees with the coarse pattern of the sessions and drops some of the detail. Self-transitions dominate, and the standing–still link is one of the few off-diagonal pairs with any mass, which matches the only confusion in the emissions. A Dirichlet count added back at every M-step, or simply more mixed sessions, would keep a rare change such as walking into still from disappearing. The still spike in Figure 3 is the same limit on one path. At the start of standing, one window is closer to the still Gaussian, and the transition cost of a brief detour is low.</w:t>
      </w:r>
    </w:p>
    <w:p>
      <w:pPr>
        <w:spacing w:after="120" w:before="0" w:line="252"/>
      </w:pPr>
      <w:r>
        <w:rPr>
          <w:rFonts w:ascii="Arial" w:cs="Arial" w:eastAsia="Arial" w:hAnsi="Arial"/>
          <w:sz w:val="22"/>
          <w:szCs w:val="22"/>
        </w:rPr>
        <w:t xml:space="preserve">The mixture of 40, 50, and 100 Hz recordings is not what limits the model. After interpolation every window shares a 50 Hz grid. What the simulation leaves out is what a pocket actually does. The rate can drift, a timestamp can gap, and the phone can rotate inside the second that is treated as one gravity vector. Gravity removal is wrong for a window that contains both a turn and a step. Labels at a change of activity are already the majority of a one-second block, so they are late by up to half a second.</w:t>
      </w:r>
    </w:p>
    <w:p>
      <w:pPr>
        <w:spacing w:after="120" w:before="0" w:line="252"/>
      </w:pPr>
      <w:r>
        <w:rPr>
          <w:rFonts w:ascii="Arial" w:cs="Arial" w:eastAsia="Arial" w:hAnsi="Arial"/>
          <w:sz w:val="22"/>
          <w:szCs w:val="22"/>
        </w:rPr>
        <w:t xml:space="preserve">The four collection videos are not in this repository. The pipeline is ready for real exports that use the same header, and for one face-visible video per activity. Once those exist, the changes that would matter are more than one person, a magnetometer, and a second Gaussian on the jumping state so the flight and the landing do not have to share one variance. Resampling, the training-only z-score, Baum-Welch, and Viterbi stay as they are.</w:t>
      </w:r>
    </w:p>
    <w:sectPr>
      <w:headerReference w:type="default" r:id="rId6"/>
      <w:footerReference w:type="default" r:id="rId7"/>
      <w:pgSz w:w="12240" w:h="15840" w:orient="portrait"/>
      <w:pgMar w:top="864" w:right="1080" w:bottom="792"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7E2" w:sz="6" w:space="1"/>
      </w:pBdr>
      <w:tabs>
        <w:tab w:val="right" w:pos="10080"/>
      </w:tabs>
      <w:spacing w:before="60"/>
    </w:pPr>
    <w:r>
      <w:rPr>
        <w:rFonts w:ascii="Arial" w:cs="Arial" w:eastAsia="Arial" w:hAnsi="Arial"/>
        <w:color w:val="666666"/>
        <w:sz w:val="16"/>
        <w:szCs w:val="16"/>
      </w:rPr>
      <w:t xml:space="preserve">Shima Serein</w:t>
    </w:r>
    <w:r>
      <w:rPr>
        <w:rFonts w:ascii="Arial" w:cs="Arial" w:eastAsia="Arial" w:hAnsi="Arial"/>
        <w:sz w:val="16"/>
        <w:szCs w:val="16"/>
      </w:rPr>
      <w:t xml:space="preserve">	</w:t>
    </w: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r>
    <w:r>
      <w:rPr>
        <w:rFonts w:ascii="Arial" w:cs="Arial" w:eastAsia="Arial" w:hAnsi="Arial"/>
        <w:color w:val="666666"/>
        <w:sz w:val="16"/>
        <w:szCs w:val="16"/>
      </w:rPr>
      <w:instrText xml:space="preserve">PAGE</w:instrText>
    </w:r>
    <w:r>
      <w:rPr>
        <w:rFonts w:ascii="Arial" w:cs="Arial" w:eastAsia="Arial" w:hAnsi="Arial"/>
        <w:color w:val="666666"/>
        <w:sz w:val="16"/>
        <w:szCs w:val="16"/>
      </w:rPr>
      <w:fldChar w:fldCharType="separate"/>
    </w:r>
    <w:r>
      <w:rPr>
        <w:rFonts w:ascii="Arial" w:cs="Arial" w:eastAsia="Arial" w:hAnsi="Arial"/>
        <w:color w:val="666666"/>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8" w:space="1"/>
      </w:pBdr>
      <w:tabs>
        <w:tab w:val="right" w:pos="10080"/>
      </w:tabs>
      <w:spacing w:after="80"/>
    </w:pPr>
    <w:r>
      <w:rPr>
        <w:rFonts w:ascii="Arial" w:cs="Arial" w:eastAsia="Arial" w:hAnsi="Arial"/>
        <w:color w:val="1F4E79"/>
        <w:sz w:val="18"/>
        <w:szCs w:val="18"/>
      </w:rPr>
      <w:t xml:space="preserve">Machine Learning Techniques</w:t>
    </w:r>
    <w:r>
      <w:rPr>
        <w:rFonts w:ascii="Arial" w:cs="Arial" w:eastAsia="Arial" w:hAnsi="Arial"/>
        <w:sz w:val="18"/>
        <w:szCs w:val="18"/>
      </w:rPr>
      <w:t xml:space="preserve">	</w:t>
    </w:r>
    <w:r>
      <w:rPr>
        <w:rFonts w:ascii="Arial" w:cs="Arial" w:eastAsia="Arial" w:hAnsi="Arial"/>
        <w:color w:val="666666"/>
        <w:sz w:val="18"/>
        <w:szCs w:val="18"/>
      </w:rPr>
      <w:t xml:space="preserve">Formative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20" w:before="280"/>
      <w:outlineLvl w:val="0"/>
    </w:pPr>
    <w:rPr>
      <w:rFonts w:ascii="Arial" w:cs="Arial" w:eastAsia="Arial" w:hAnsi="Arial"/>
      <w:b/>
      <w:bCs/>
      <w:color w:val="1F4E79"/>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713b97789e53052f65e651d47ecafa0d571dcdad.png"/><Relationship Id="rId10" Type="http://schemas.openxmlformats.org/officeDocument/2006/relationships/image" Target="media/6835ddda9dfcfbdc1b625fa0c956838081ae36d8.png"/><Relationship Id="rId11" Type="http://schemas.openxmlformats.org/officeDocument/2006/relationships/image" Target="media/f62e915c0399eda166386206bf21bdbb48914b44.png"/><Relationship Id="rId12" Type="http://schemas.openxmlformats.org/officeDocument/2006/relationships/image" Target="media/84b3484ede40ac607264a445365603e74c0f78d8.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2026-10-25T19:46:04.697Z</dcterms:created>
  <dcterms:modified xsi:type="dcterms:W3CDTF">2026-10-25T19:46:04.702Z</dcterms:modified>
</cp:coreProperties>
</file>

<file path=docProps/custom.xml><?xml version="1.0" encoding="utf-8"?>
<Properties xmlns="http://schemas.openxmlformats.org/officeDocument/2006/custom-properties" xmlns:vt="http://schemas.openxmlformats.org/officeDocument/2006/docPropsVTypes"/>
</file>