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Avaraxia Labs Website Policies and Compliance Pack</w:t>
      </w:r>
    </w:p>
    <w:p>
      <w:pPr>
        <w:pStyle w:val="Subtitle"/>
        <w:widowControl/>
      </w:pPr>
      <w:r>
        <w:t>UK and Scottish website policy drafts and implementation guidance</w:t>
      </w:r>
    </w:p>
    <w:p>
      <w:pPr>
        <w:widowControl/>
      </w:pPr>
      <w:r>
        <w:t>Prepared 20 October 2026</w:t>
      </w:r>
    </w:p>
    <w:p>
      <w:pPr>
        <w:widowControl/>
      </w:pPr>
      <w:r>
        <w:t>This document provides editable policies for the current pre-launch website and practical guidance for privacy, consent, accessibility, marketing and intellectual property. Complete the business details and operational decisions before publication. Paid services and future gameplay processing require further review.</w:t>
      </w:r>
    </w:p>
    <w:p>
      <w:pPr>
        <w:widowControl/>
      </w:pPr>
      <w:r>
        <w:t>These drafts are not advice from a practising Scottish solicitor and do not certify legal compliance. Arrange appropriate legal review before relying on them. Sections 1 to 4 contain proposed public wording. Sections 5 to 11 are implementation and owner guidance.</w:t>
      </w:r>
    </w:p>
    <w:p>
      <w:pPr>
        <w:pStyle w:val="Heading2"/>
        <w:widowControl/>
      </w:pPr>
      <w:r>
        <w:t>Details to complete</w:t>
      </w:r>
    </w:p>
    <w:p>
      <w:pPr>
        <w:pStyle w:val="ListBullet"/>
        <w:widowControl/>
      </w:pPr>
      <w:r>
        <w:t>Full legal operator and trading name, company number and place of registration if incorporated</w:t>
      </w:r>
    </w:p>
    <w:p>
      <w:pPr>
        <w:pStyle w:val="ListBullet"/>
        <w:widowControl/>
      </w:pPr>
      <w:r>
        <w:t>Business address, registered office where applicable, monitored support and privacy email addresses</w:t>
      </w:r>
    </w:p>
    <w:p>
      <w:pPr>
        <w:pStyle w:val="ListBullet"/>
        <w:widowControl/>
      </w:pPr>
      <w:r>
        <w:t>Retention and backup deletion periods, provider regions and international transfer safeguards</w:t>
      </w:r>
    </w:p>
    <w:p>
      <w:pPr>
        <w:pStyle w:val="ListBullet"/>
        <w:widowControl/>
      </w:pPr>
      <w:r>
        <w:t>SMTP provider, actual browser storage inventory and live tracking behaviour</w:t>
      </w:r>
    </w:p>
    <w:p>
      <w:pPr>
        <w:pStyle w:val="ListBullet"/>
        <w:widowControl/>
      </w:pPr>
      <w:r>
        <w:t>Age eligibility, marketing unsubscribe process and responsibility for privacy requests</w:t>
      </w:r>
    </w:p>
    <w:p>
      <w:pPr>
        <w:pStyle w:val="Heading2"/>
        <w:widowControl/>
      </w:pPr>
      <w:r>
        <w:t>Contents</w:t>
      </w:r>
    </w:p>
    <w:p>
      <w:pPr>
        <w:widowControl/>
      </w:pPr>
      <w:r>
        <w:t>1 Privacy policy</w:t>
      </w:r>
    </w:p>
    <w:p>
      <w:pPr>
        <w:widowControl/>
      </w:pPr>
      <w:r>
        <w:t>2 Terms and conditions</w:t>
      </w:r>
    </w:p>
    <w:p>
      <w:pPr>
        <w:widowControl/>
      </w:pPr>
      <w:r>
        <w:t>3 Cookie policy</w:t>
      </w:r>
    </w:p>
    <w:p>
      <w:pPr>
        <w:widowControl/>
      </w:pPr>
      <w:r>
        <w:t>4 Refund policy</w:t>
      </w:r>
    </w:p>
    <w:p>
      <w:pPr>
        <w:widowControl/>
      </w:pPr>
      <w:r>
        <w:t>5 Cookie and form consent</w:t>
      </w:r>
    </w:p>
    <w:p>
      <w:pPr>
        <w:widowControl/>
      </w:pPr>
      <w:r>
        <w:t>6 Third party embeds</w:t>
      </w:r>
    </w:p>
    <w:p>
      <w:pPr>
        <w:widowControl/>
      </w:pPr>
      <w:r>
        <w:t>7 Accessibility and clear controls</w:t>
      </w:r>
    </w:p>
    <w:p>
      <w:pPr>
        <w:widowControl/>
      </w:pPr>
      <w:r>
        <w:t>8 Reviews and marketing claims</w:t>
      </w:r>
    </w:p>
    <w:p>
      <w:pPr>
        <w:widowControl/>
      </w:pPr>
      <w:r>
        <w:t>9 Business disclosures</w:t>
      </w:r>
    </w:p>
    <w:p>
      <w:pPr>
        <w:widowControl/>
      </w:pPr>
      <w:r>
        <w:t>10 Copyright and assets</w:t>
      </w:r>
    </w:p>
    <w:p>
      <w:pPr>
        <w:widowControl/>
      </w:pPr>
      <w:r>
        <w:t>11 Applicable law and reference sources</w:t>
      </w:r>
    </w:p>
    <w:p>
      <w:pPr>
        <w:widowControl/>
      </w:pPr>
      <w:r>
        <w:br w:type="page"/>
      </w:r>
    </w:p>
    <w:p>
      <w:pPr>
        <w:pStyle w:val="Heading1"/>
        <w:widowControl/>
      </w:pPr>
      <w:r>
        <w:t>1 Privacy policy</w:t>
      </w:r>
    </w:p>
    <w:p>
      <w:pPr>
        <w:widowControl/>
      </w:pPr>
      <w:r>
        <w:t>Last updated [publication date]</w:t>
      </w:r>
    </w:p>
    <w:p>
      <w:pPr>
        <w:pStyle w:val="Heading2"/>
        <w:widowControl/>
      </w:pPr>
      <w:r>
        <w:t>Who we are</w:t>
      </w:r>
    </w:p>
    <w:p>
      <w:pPr>
        <w:widowControl/>
      </w:pPr>
      <w:r>
        <w:t>Avaraxia Labs is a trading name of [full legal entity or proprietor name], based at [business address]. We are the controller responsible for personal information collected through avaraxialabs.com. Contact us at [monitored privacy email] or through our Contact page.</w:t>
      </w:r>
    </w:p>
    <w:p>
      <w:pPr>
        <w:pStyle w:val="Heading2"/>
        <w:widowControl/>
      </w:pPr>
      <w:r>
        <w:t>Information we collect</w:t>
      </w:r>
    </w:p>
    <w:p>
      <w:pPr>
        <w:pStyle w:val="ListBullet"/>
        <w:widowControl/>
      </w:pPr>
      <w:r>
        <w:t>Accounts: email address, authentication credentials managed by Supabase, account identifier, confirmation status, account dates and optional display name.</w:t>
      </w:r>
    </w:p>
    <w:p>
      <w:pPr>
        <w:pStyle w:val="ListBullet"/>
        <w:widowControl/>
      </w:pPr>
      <w:r>
        <w:t>Waitlist: email address, optional preferred game and player or team status.</w:t>
      </w:r>
    </w:p>
    <w:p>
      <w:pPr>
        <w:pStyle w:val="ListBullet"/>
        <w:widowControl/>
      </w:pPr>
      <w:r>
        <w:t>Development updates: consent choice and, where given, consent version and timestamp.</w:t>
      </w:r>
    </w:p>
    <w:p>
      <w:pPr>
        <w:pStyle w:val="ListBullet"/>
        <w:widowControl/>
      </w:pPr>
      <w:r>
        <w:t>Team enquiries: name, email, game, team size, optional competitive level, coaching challenge and contact permission.</w:t>
      </w:r>
    </w:p>
    <w:p>
      <w:pPr>
        <w:pStyle w:val="ListBullet"/>
        <w:widowControl/>
      </w:pPr>
      <w:r>
        <w:t>Contact enquiries: name, email, category and message.</w:t>
      </w:r>
    </w:p>
    <w:p>
      <w:pPr>
        <w:pStyle w:val="ListBullet"/>
        <w:widowControl/>
      </w:pPr>
      <w:r>
        <w:t>Security: technical request information processed by providers, bot verification information and short-lived rate-limiting identifiers.</w:t>
      </w:r>
    </w:p>
    <w:p>
      <w:pPr>
        <w:pStyle w:val="ListBullet"/>
        <w:widowControl/>
      </w:pPr>
      <w:r>
        <w:t>Sign-in sessions: authentication information stored in your browser.</w:t>
      </w:r>
    </w:p>
    <w:p>
      <w:pPr>
        <w:widowControl/>
      </w:pPr>
      <w:r>
        <w:t>Please do not submit passwords through contact forms, sensitive personal information or information about other people unless authorised. The current website does not accept payment details, gameplay uploads or voice recordings.</w:t>
      </w:r>
    </w:p>
    <w:p>
      <w:pPr>
        <w:pStyle w:val="Heading2"/>
        <w:widowControl/>
      </w:pPr>
      <w:r>
        <w:t>Purposes and lawful bases</w:t>
      </w:r>
    </w:p>
    <w:p>
      <w:pPr>
        <w:widowControl/>
      </w:pPr>
      <w:r>
        <w:t>We use information to provide and secure accounts, manage early-access requests, respond to enquiries, send optional development updates, prevent abuse and comply with legal obligations.</w:t>
      </w:r>
    </w:p>
    <w:p>
      <w:pPr>
        <w:widowControl/>
      </w:pPr>
      <w:r>
        <w:t>Our proposed bases are contract or steps requested before a contract where necessary to provide an account or respond to a genuine service request; legitimate interests for proportionate security, administration and ordinary enquiries; consent for optional marketing; and legal obligation where applicable.</w:t>
      </w:r>
    </w:p>
    <w:p>
      <w:pPr>
        <w:widowControl/>
      </w:pPr>
      <w:r>
        <w:t>[Owner action: confirm each purpose and lawful basis and document relevant legitimate interests assessments. A waitlist registration does not automatically make every later use necessary for a contract.]</w:t>
      </w:r>
    </w:p>
    <w:p>
      <w:pPr>
        <w:pStyle w:val="Heading2"/>
        <w:widowControl/>
      </w:pPr>
      <w:r>
        <w:t>Marketing</w:t>
      </w:r>
    </w:p>
    <w:p>
      <w:pPr>
        <w:widowControl/>
      </w:pPr>
      <w:r>
        <w:t>Creating an account does not subscribe you to marketing. Development updates require a separate choice. Withdraw consent using [working unsubscribe method] or [email]. Withdrawal does not affect processing that was lawful before withdrawal.</w:t>
      </w:r>
    </w:p>
    <w:p>
      <w:pPr>
        <w:pStyle w:val="Heading2"/>
        <w:widowControl/>
      </w:pPr>
      <w:r>
        <w:t>Recipients</w:t>
      </w:r>
    </w:p>
    <w:p>
      <w:pPr>
        <w:widowControl/>
      </w:pPr>
      <w:r>
        <w:t>Cloudflare provides hosting, request handling and bot protection. Supabase provides authentication and database infrastructure. [SMTP provider] delivers account emails. The website currently requests Google Fonts, which receives technical request information. Access is limited to authorised people and providers who need information for the stated purposes. We may disclose information where legally required or necessary to handle legal claims.</w:t>
      </w:r>
    </w:p>
    <w:p>
      <w:pPr>
        <w:pStyle w:val="Heading2"/>
        <w:widowControl/>
      </w:pPr>
      <w:r>
        <w:t>International transfers</w:t>
      </w:r>
    </w:p>
    <w:p>
      <w:pPr>
        <w:widowControl/>
      </w:pPr>
      <w:r>
        <w:t>Providers may process information outside the UK. Where required, applicable adequacy arrangements or appropriate contractual safeguards are used. [Complete actual storage locations, transfer safeguards and how users can obtain information about them.]</w:t>
      </w:r>
    </w:p>
    <w:p>
      <w:pPr>
        <w:pStyle w:val="Heading2"/>
        <w:widowControl/>
      </w:pPr>
      <w:r>
        <w:t>Retention</w:t>
      </w:r>
    </w:p>
    <w:p>
      <w:pPr>
        <w:pStyle w:val="ListBullet"/>
        <w:widowControl/>
      </w:pPr>
      <w:r>
        <w:t>Accounts and profiles: [period or criteria including closure].</w:t>
      </w:r>
    </w:p>
    <w:p>
      <w:pPr>
        <w:pStyle w:val="ListBullet"/>
        <w:widowControl/>
      </w:pPr>
      <w:r>
        <w:t>Waitlist: [period and review date].</w:t>
      </w:r>
    </w:p>
    <w:p>
      <w:pPr>
        <w:pStyle w:val="ListBullet"/>
        <w:widowControl/>
      </w:pPr>
      <w:r>
        <w:t>Enquiries: [period after resolution].</w:t>
      </w:r>
    </w:p>
    <w:p>
      <w:pPr>
        <w:pStyle w:val="ListBullet"/>
        <w:widowControl/>
      </w:pPr>
      <w:r>
        <w:t>Marketing consent and suppression records: [period and minimum information retained].</w:t>
      </w:r>
    </w:p>
    <w:p>
      <w:pPr>
        <w:pStyle w:val="ListBullet"/>
        <w:widowControl/>
      </w:pPr>
      <w:r>
        <w:t>Security logs and rate-limit records: [configured periods].</w:t>
      </w:r>
    </w:p>
    <w:p>
      <w:pPr>
        <w:pStyle w:val="ListBullet"/>
        <w:widowControl/>
      </w:pPr>
      <w:r>
        <w:t>Backups: [rotation and deletion period].</w:t>
      </w:r>
    </w:p>
    <w:p>
      <w:pPr>
        <w:widowControl/>
      </w:pPr>
      <w:r>
        <w:t>We delete or anonymise information when no longer needed, subject to justified legal or security retention.</w:t>
      </w:r>
    </w:p>
    <w:p>
      <w:pPr>
        <w:pStyle w:val="Heading2"/>
        <w:widowControl/>
      </w:pPr>
      <w:r>
        <w:t>Your rights</w:t>
      </w:r>
    </w:p>
    <w:p>
      <w:pPr>
        <w:widowControl/>
      </w:pPr>
      <w:r>
        <w:t>Depending on the circumstances, you may request access, correction, deletion, restriction or portability and object to certain processing. You may withdraw consent at any time. Contact [privacy email]. We normally respond within one month, subject to lawful extensions or exceptions, and may request proportionate identity verification. You can complain to the Information Commissioner's Office at ico.org.uk/make-a-complaint/.</w:t>
      </w:r>
    </w:p>
    <w:p>
      <w:pPr>
        <w:pStyle w:val="Heading2"/>
        <w:widowControl/>
      </w:pPr>
      <w:r>
        <w:t>Children and future features</w:t>
      </w:r>
    </w:p>
    <w:p>
      <w:pPr>
        <w:widowControl/>
      </w:pPr>
      <w:r>
        <w:t>[Insert approved age policy.] Before introducing gameplay capture, voice analysis or other new processing, we will explain the information, purposes, providers, retention and rights involved. We will update this notice and communicate material changes where appropriate.</w:t>
      </w:r>
    </w:p>
    <w:p>
      <w:pPr>
        <w:pStyle w:val="Heading1"/>
        <w:widowControl/>
      </w:pPr>
      <w:r>
        <w:t>2 Terms and conditions</w:t>
      </w:r>
    </w:p>
    <w:p>
      <w:pPr>
        <w:widowControl/>
      </w:pPr>
      <w:r>
        <w:t>Last updated [publication date]</w:t>
      </w:r>
    </w:p>
    <w:p>
      <w:pPr>
        <w:pStyle w:val="Heading2"/>
        <w:widowControl/>
      </w:pPr>
      <w:r>
        <w:t>About us</w:t>
      </w:r>
    </w:p>
    <w:p>
      <w:pPr>
        <w:widowControl/>
      </w:pPr>
      <w:r>
        <w:t>This website is operated by [legal name], trading as Avaraxia Labs, at [address]. Contact [email]. Company number and place of registration [if incorporated].</w:t>
      </w:r>
    </w:p>
    <w:p>
      <w:pPr>
        <w:pStyle w:val="Heading2"/>
        <w:widowControl/>
      </w:pPr>
      <w:r>
        <w:t>Current service</w:t>
      </w:r>
    </w:p>
    <w:p>
      <w:pPr>
        <w:widowControl/>
      </w:pPr>
      <w:r>
        <w:t>Avaraxia Labs is developing Freya. This website provides information, account facilities and ways to register interest or contact us. Paid services are not currently available through this website. Planned, proposed and illustrative features are not promises of launch on a particular date.</w:t>
      </w:r>
    </w:p>
    <w:p>
      <w:pPr>
        <w:pStyle w:val="Heading2"/>
        <w:widowControl/>
      </w:pPr>
      <w:r>
        <w:t>Accounts</w:t>
      </w:r>
    </w:p>
    <w:p>
      <w:pPr>
        <w:widowControl/>
      </w:pPr>
      <w:r>
        <w:t>Provide accurate information, keep your password secure and notify us promptly of suspected unauthorised access. Do not impersonate another person or share access in a way that compromises security.</w:t>
      </w:r>
    </w:p>
    <w:p>
      <w:pPr>
        <w:pStyle w:val="Heading2"/>
        <w:widowControl/>
      </w:pPr>
      <w:r>
        <w:t>Acceptable use</w:t>
      </w:r>
    </w:p>
    <w:p>
      <w:pPr>
        <w:widowControl/>
      </w:pPr>
      <w:r>
        <w:t>Do not use the website unlawfully, upload malicious material, attempt unauthorised access, bypass security controls or submit information you have no right to share. We may restrict access where reasonably necessary to address misuse, security risks or legal requirements. Where appropriate, we will explain restrictions and provide a contact route.</w:t>
      </w:r>
    </w:p>
    <w:p>
      <w:pPr>
        <w:pStyle w:val="Heading2"/>
        <w:widowControl/>
      </w:pPr>
      <w:r>
        <w:t>Waitlist</w:t>
      </w:r>
    </w:p>
    <w:p>
      <w:pPr>
        <w:widowControl/>
      </w:pPr>
      <w:r>
        <w:t>Joining does not guarantee admission, a release date or particular features. Marketing preferences are separate from account registration and early-access requests.</w:t>
      </w:r>
    </w:p>
    <w:p>
      <w:pPr>
        <w:pStyle w:val="Heading2"/>
        <w:widowControl/>
      </w:pPr>
      <w:r>
        <w:t>Pricing and performance</w:t>
      </w:r>
    </w:p>
    <w:p>
      <w:pPr>
        <w:widowControl/>
      </w:pPr>
      <w:r>
        <w:t>Displayed launch prices are proposals until purchasing becomes available. Before accepting an order, we will provide the applicable price, taxes, billing, cancellation rights and service terms. Coaching outcomes depend on many factors. We do not promise a particular rank, win rate or competitive result.</w:t>
      </w:r>
    </w:p>
    <w:p>
      <w:pPr>
        <w:pStyle w:val="Heading2"/>
        <w:widowControl/>
      </w:pPr>
      <w:r>
        <w:t>Intellectual property</w:t>
      </w:r>
    </w:p>
    <w:p>
      <w:pPr>
        <w:widowControl/>
      </w:pPr>
      <w:r>
        <w:t>Website content is owned by us or used under licence. Personal lawful browsing is permitted. Other reproduction or commercial use requires permission unless permitted by law. Third-party games, names and marks belong to their owners and do not imply affiliation or endorsement.</w:t>
      </w:r>
    </w:p>
    <w:p>
      <w:pPr>
        <w:pStyle w:val="Heading2"/>
        <w:widowControl/>
      </w:pPr>
      <w:r>
        <w:t>Availability and liability</w:t>
      </w:r>
    </w:p>
    <w:p>
      <w:pPr>
        <w:widowControl/>
      </w:pPr>
      <w:r>
        <w:t>We take reasonable care in operating the website but cannot promise uninterrupted availability. Nothing excludes liability for fraud, death or personal injury caused by negligence, or any liability or consumer right that cannot lawfully be excluded. Further limitations for paid services require assessment in the applicable sales terms.</w:t>
      </w:r>
    </w:p>
    <w:p>
      <w:pPr>
        <w:pStyle w:val="Heading2"/>
        <w:widowControl/>
      </w:pPr>
      <w:r>
        <w:t>Privacy and complaints</w:t>
      </w:r>
    </w:p>
    <w:p>
      <w:pPr>
        <w:widowControl/>
      </w:pPr>
      <w:r>
        <w:t>Our Privacy and Cookie Policies explain information handling. Send complaints to [email] or [postal address].</w:t>
      </w:r>
    </w:p>
    <w:p>
      <w:pPr>
        <w:pStyle w:val="Heading2"/>
        <w:widowControl/>
      </w:pPr>
      <w:r>
        <w:t>Governing law</w:t>
      </w:r>
    </w:p>
    <w:p>
      <w:pPr>
        <w:widowControl/>
      </w:pPr>
      <w:r>
        <w:t>[Use only if the operator is established in Scotland.] These terms are governed by Scots law. Consumers retain mandatory protections and any right to bring proceedings in courts available to them under applicable law.</w:t>
      </w:r>
    </w:p>
    <w:p>
      <w:pPr>
        <w:pStyle w:val="Heading2"/>
        <w:widowControl/>
      </w:pPr>
      <w:r>
        <w:t>Changes</w:t>
      </w:r>
    </w:p>
    <w:p>
      <w:pPr>
        <w:widowControl/>
      </w:pPr>
      <w:r>
        <w:t>We may update these website terms for legitimate operational or legal reasons. Changes will not retrospectively remove rights already acquired.</w:t>
      </w:r>
    </w:p>
    <w:p>
      <w:pPr>
        <w:pStyle w:val="Heading1"/>
        <w:widowControl/>
      </w:pPr>
      <w:r>
        <w:t>3 Cookie policy</w:t>
      </w:r>
    </w:p>
    <w:p>
      <w:pPr>
        <w:widowControl/>
      </w:pPr>
      <w:r>
        <w:t>Last updated [publication date]</w:t>
      </w:r>
    </w:p>
    <w:p>
      <w:pPr>
        <w:widowControl/>
      </w:pPr>
      <w:r>
        <w:t>We use cookies and similar technologies, including browser local storage, to operate and secure this website.</w:t>
      </w:r>
    </w:p>
    <w:p>
      <w:pPr>
        <w:pStyle w:val="Heading2"/>
        <w:widowControl/>
      </w:pPr>
      <w:r>
        <w:t>Current technologies</w:t>
      </w:r>
    </w:p>
    <w:p>
      <w:pPr>
        <w:pStyle w:val="ListBullet"/>
        <w:widowControl/>
      </w:pPr>
      <w:r>
        <w:t>Supabase authentication storage maintains your requested signed-in session. Confirm actual keys, persistence and expiry.</w:t>
      </w:r>
    </w:p>
    <w:p>
      <w:pPr>
        <w:pStyle w:val="ListBullet"/>
        <w:widowControl/>
      </w:pPr>
      <w:r>
        <w:t>Cloudflare security and Turnstile protect forms and identify abuse. Confirm actual device storage or access, purposes and durations.</w:t>
      </w:r>
    </w:p>
    <w:p>
      <w:pPr>
        <w:pStyle w:val="ListBullet"/>
        <w:widowControl/>
      </w:pPr>
      <w:r>
        <w:t>Google Fonts delivers typography. Confirm provider requests and any device storage or access.</w:t>
      </w:r>
    </w:p>
    <w:p>
      <w:pPr>
        <w:widowControl/>
      </w:pPr>
      <w:r>
        <w:t>No optional analytics or advertising SDKs were identified in the reviewed application code. This does not verify scripts injected by hosting settings or the live deployment. [Replace this owner-facing statement with a verified public description before publication.]</w:t>
      </w:r>
    </w:p>
    <w:p>
      <w:pPr>
        <w:widowControl/>
      </w:pPr>
      <w:r>
        <w:t>We obtain consent before using technologies that require it. Where a legal exception applies, we use it only within its conditions and provide required information or objection mechanisms. Browser settings can remove storage; removing authentication storage may sign you out. Contact [privacy email].</w:t>
      </w:r>
    </w:p>
    <w:p>
      <w:pPr>
        <w:pStyle w:val="Heading2"/>
        <w:widowControl/>
      </w:pPr>
      <w:r>
        <w:t>Owner implementation notes</w:t>
      </w:r>
    </w:p>
    <w:p>
      <w:pPr>
        <w:widowControl/>
      </w:pPr>
      <w:r>
        <w:t>PECR covers local storage and other device access, not only cookies. ICO guidance finalised in April 2026 includes limited exceptions, including qualifying statistical uses; these do not exempt all analytics. A consent banner is not automatically required if every technology qualifies for an exception. Verify actual purposes and configuration before deciding.</w:t>
      </w:r>
    </w:p>
    <w:p>
      <w:pPr>
        <w:pStyle w:val="Heading2"/>
        <w:widowControl/>
      </w:pPr>
      <w:r>
        <w:t>Inventory to complete</w:t>
      </w:r>
    </w:p>
    <w:p>
      <w:pPr>
        <w:widowControl/>
      </w:pPr>
      <w:r>
        <w:t>For every technology record its name or key, provider, purpose, domain, duration, category, legal exception or consent requirement, and withdrawal or objection mechanism. Verify browser behaviour while signed out, signed in and submitting forms.</w:t>
      </w:r>
    </w:p>
    <w:p>
      <w:pPr>
        <w:pStyle w:val="Heading1"/>
        <w:widowControl/>
      </w:pPr>
      <w:r>
        <w:t>4 Refund policy</w:t>
      </w:r>
    </w:p>
    <w:p>
      <w:pPr>
        <w:widowControl/>
      </w:pPr>
      <w:r>
        <w:t>Last updated [publication date]</w:t>
      </w:r>
    </w:p>
    <w:p>
      <w:pPr>
        <w:pStyle w:val="Heading2"/>
        <w:widowControl/>
      </w:pPr>
      <w:r>
        <w:t>Current website wording</w:t>
      </w:r>
    </w:p>
    <w:p>
      <w:pPr>
        <w:widowControl/>
      </w:pPr>
      <w:r>
        <w:t>Avaraxia Labs does not currently accept payments through this website. Creating an account and joining the waitlist are free. We will publish applicable purchasing, cancellation and refund terms before paid services become available.</w:t>
      </w:r>
    </w:p>
    <w:p>
      <w:pPr>
        <w:widowControl/>
      </w:pPr>
      <w:r>
        <w:t>If you believe you have been charged in connection with Avaraxia Labs, contact [support email] with the transaction date and reference. Do not send full card details. Nothing in this policy limits your statutory rights.</w:t>
      </w:r>
    </w:p>
    <w:p>
      <w:pPr>
        <w:pStyle w:val="Heading2"/>
        <w:widowControl/>
      </w:pPr>
      <w:r>
        <w:t>Before accepting payments</w:t>
      </w:r>
    </w:p>
    <w:p>
      <w:pPr>
        <w:widowControl/>
      </w:pPr>
      <w:r>
        <w:t>Distinguish services, digital content and subscriptions. Their cancellation rules are not interchangeable. Immediate digital supply requires the appropriate express consent and acknowledgement before cancellation rights can be lost, together with the required contract confirmation. A general terms checkbox is insufficient.</w:t>
      </w:r>
    </w:p>
    <w:p>
      <w:pPr>
        <w:widowControl/>
      </w:pPr>
      <w:r>
        <w:t>Do not use blanket statements such as no refunds, all sales final or using one review cancels all refund rights. Define the product classification, cooling-off arrangements, any lawful proportionate service charges, remedies for faulty supply, refund timing, renewal terms and cancellation method before launch.</w:t>
      </w:r>
    </w:p>
    <w:p>
      <w:pPr>
        <w:widowControl/>
      </w:pPr>
      <w:r>
        <w:t>Review the applicable commencement and scope of subscription rules at launch. Government published subscription-contract guidance on 19 October 2026. Do not assume an older policy covers the new regime.</w:t>
      </w:r>
    </w:p>
    <w:p>
      <w:pPr>
        <w:pStyle w:val="Heading1"/>
        <w:widowControl/>
      </w:pPr>
      <w:r>
        <w:t>5 Cookie and form consent</w:t>
      </w:r>
    </w:p>
    <w:p>
      <w:pPr>
        <w:pStyle w:val="Heading2"/>
        <w:widowControl/>
      </w:pPr>
      <w:r>
        <w:t>Optional development updates</w:t>
      </w:r>
    </w:p>
    <w:p>
      <w:pPr>
        <w:widowControl/>
      </w:pPr>
      <w:r>
        <w:t>Unchecked checkbox: Email me occasional Avaraxia Labs product news and development updates. This is optional, and I can unsubscribe at any time.</w:t>
      </w:r>
    </w:p>
    <w:p>
      <w:pPr>
        <w:pStyle w:val="Heading2"/>
        <w:widowControl/>
      </w:pPr>
      <w:r>
        <w:t>Waitlist notice</w:t>
      </w:r>
    </w:p>
    <w:p>
      <w:pPr>
        <w:widowControl/>
      </w:pPr>
      <w:r>
        <w:t>We will use your email to manage your early-access request. Read our Privacy Policy. Development updates are optional.</w:t>
      </w:r>
    </w:p>
    <w:p>
      <w:pPr>
        <w:widowControl/>
      </w:pPr>
      <w:r>
        <w:t>Keep promotional updates within a separate opt-in. Do not disguise continuing marketing as necessary waitlist administration.</w:t>
      </w:r>
    </w:p>
    <w:p>
      <w:pPr>
        <w:pStyle w:val="Heading2"/>
        <w:widowControl/>
      </w:pPr>
      <w:r>
        <w:t>Contact form notice</w:t>
      </w:r>
    </w:p>
    <w:p>
      <w:pPr>
        <w:widowControl/>
      </w:pPr>
      <w:r>
        <w:t>We will use your details to respond to your enquiry. Please avoid sensitive information or other people's personal details. Read our Privacy Policy.</w:t>
      </w:r>
    </w:p>
    <w:p>
      <w:pPr>
        <w:pStyle w:val="Heading2"/>
        <w:widowControl/>
      </w:pPr>
      <w:r>
        <w:t>Team representative declaration</w:t>
      </w:r>
    </w:p>
    <w:p>
      <w:pPr>
        <w:widowControl/>
      </w:pPr>
      <w:r>
        <w:t>Unchecked checkbox: I am authorised to submit this team enquiry and understand that Avaraxia Labs will contact me about it. This does not authorise future processing of every teammate's recordings.</w:t>
      </w:r>
    </w:p>
    <w:p>
      <w:pPr>
        <w:pStyle w:val="Heading2"/>
        <w:widowControl/>
      </w:pPr>
      <w:r>
        <w:t>Account registration</w:t>
      </w:r>
    </w:p>
    <w:p>
      <w:pPr>
        <w:widowControl/>
      </w:pPr>
      <w:r>
        <w:t>By creating an account, you agree to our Terms and Conditions. Read our Privacy Policy to understand how we use your information. A privacy notice is information, not blanket consent for every processing purpose.</w:t>
      </w:r>
    </w:p>
    <w:p>
      <w:pPr>
        <w:pStyle w:val="Heading2"/>
        <w:widowControl/>
      </w:pPr>
      <w:r>
        <w:t>Optional cookie banner if required</w:t>
      </w:r>
    </w:p>
    <w:p>
      <w:pPr>
        <w:widowControl/>
      </w:pPr>
      <w:r>
        <w:t>We use essential technologies to run and secure this website. With your permission, we also use [specific optional purposes]. Choose your preferences below.</w:t>
      </w:r>
    </w:p>
    <w:p>
      <w:pPr>
        <w:widowControl/>
      </w:pPr>
      <w:r>
        <w:t>Controls: Accept optional; Reject optional; Manage preferences. Give rejection comparable prominence. Keep optional technologies blocked until consent. Provide a persistent way to change preferences. Record the relevant choice and notice version.</w:t>
      </w:r>
    </w:p>
    <w:p>
      <w:pPr>
        <w:pStyle w:val="Heading2"/>
        <w:widowControl/>
      </w:pPr>
      <w:r>
        <w:t>Consent records</w:t>
      </w:r>
    </w:p>
    <w:p>
      <w:pPr>
        <w:widowControl/>
      </w:pPr>
      <w:r>
        <w:t>Keep evidence of who consented, when, how, what wording they saw and what they chose. Keep marketing separate from required declarations. Test withdrawal and suppression handling before sending updates.</w:t>
      </w:r>
    </w:p>
    <w:p>
      <w:pPr>
        <w:pStyle w:val="Heading1"/>
        <w:widowControl/>
      </w:pPr>
      <w:r>
        <w:t>6 Third party embeds</w:t>
      </w:r>
    </w:p>
    <w:p>
      <w:pPr>
        <w:widowControl/>
      </w:pPr>
      <w:r>
        <w:t>The reviewed configuration has no demo-video URL and no active video iframe. Before adding video providers, maps, chat widgets or social feeds, identify requests, storage, tracking and transfers.</w:t>
      </w:r>
    </w:p>
    <w:p>
      <w:pPr>
        <w:pStyle w:val="ListBullet"/>
        <w:widowControl/>
      </w:pPr>
      <w:r>
        <w:t>Use a local placeholder and load optional tracking embeds only after necessary consent.</w:t>
      </w:r>
    </w:p>
    <w:p>
      <w:pPr>
        <w:pStyle w:val="ListBullet"/>
        <w:widowControl/>
      </w:pPr>
      <w:r>
        <w:t>Explain the provider and purpose before loading.</w:t>
      </w:r>
    </w:p>
    <w:p>
      <w:pPr>
        <w:pStyle w:val="ListBullet"/>
        <w:widowControl/>
      </w:pPr>
      <w:r>
        <w:t>Give iframes descriptive titles and relevant videos captions or transcripts.</w:t>
      </w:r>
    </w:p>
    <w:p>
      <w:pPr>
        <w:pStyle w:val="ListBullet"/>
        <w:widowControl/>
      </w:pPr>
      <w:r>
        <w:t>Offer a normal external link where practical.</w:t>
      </w:r>
    </w:p>
    <w:p>
      <w:pPr>
        <w:pStyle w:val="ListBullet"/>
        <w:widowControl/>
      </w:pPr>
      <w:r>
        <w:t>Review provider contracts, content security policy and international transfers.</w:t>
      </w:r>
    </w:p>
    <w:p>
      <w:pPr>
        <w:widowControl/>
      </w:pPr>
      <w:r>
        <w:t>Self-hosting fonts would remove the current Google Fonts dependency. A particular privacy mode or URL does not alone establish that an embed requires no consent.</w:t>
      </w:r>
    </w:p>
    <w:p>
      <w:pPr>
        <w:pStyle w:val="Heading1"/>
        <w:widowControl/>
      </w:pPr>
      <w:r>
        <w:t>7 Accessibility and clear controls</w:t>
      </w:r>
    </w:p>
    <w:p>
      <w:pPr>
        <w:widowControl/>
      </w:pPr>
      <w:r>
        <w:t>Accessibility requires implementation and testing. A policy does not establish compliance. Use WCAG 2.2 AA as the technical target alongside the Equality Act duty to make reasonable adjustments. Do not claim compliance before assessment.</w:t>
      </w:r>
    </w:p>
    <w:p>
      <w:pPr>
        <w:pStyle w:val="ListBullet"/>
        <w:widowControl/>
      </w:pPr>
      <w:r>
        <w:t>Provide meaningful alt text for informative images and empty alt text for decorative images.</w:t>
      </w:r>
    </w:p>
    <w:p>
      <w:pPr>
        <w:pStyle w:val="ListBullet"/>
        <w:widowControl/>
      </w:pPr>
      <w:r>
        <w:t>Normal text contrast should be at least 4.5 to 1; qualifying large text at least 3 to 1.</w:t>
      </w:r>
    </w:p>
    <w:p>
      <w:pPr>
        <w:pStyle w:val="ListBullet"/>
        <w:widowControl/>
      </w:pPr>
      <w:r>
        <w:t>Relevant control boundaries and visual indicators generally need contrast of at least 3 to 1.</w:t>
      </w:r>
    </w:p>
    <w:p>
      <w:pPr>
        <w:pStyle w:val="ListBullet"/>
        <w:widowControl/>
      </w:pPr>
      <w:r>
        <w:t>Do not rely on colour alone for errors or status.</w:t>
      </w:r>
    </w:p>
    <w:p>
      <w:pPr>
        <w:pStyle w:val="ListBullet"/>
        <w:widowControl/>
      </w:pPr>
      <w:r>
        <w:t>Make every action keyboard-operable with visible, unobscured focus and logical focus order.</w:t>
      </w:r>
    </w:p>
    <w:p>
      <w:pPr>
        <w:pStyle w:val="ListBullet"/>
        <w:widowControl/>
      </w:pPr>
      <w:r>
        <w:t>Associate labels and error messages with fields, announce results and manage focus after errors.</w:t>
      </w:r>
    </w:p>
    <w:p>
      <w:pPr>
        <w:pStyle w:val="ListBullet"/>
        <w:widowControl/>
      </w:pPr>
      <w:r>
        <w:t>Allow password managers and pasting into password fields.</w:t>
      </w:r>
    </w:p>
    <w:p>
      <w:pPr>
        <w:pStyle w:val="ListBullet"/>
        <w:widowControl/>
      </w:pPr>
      <w:r>
        <w:t>Use clear buttons such as Save changes, Change email, Send reset link and Sign out.</w:t>
      </w:r>
    </w:p>
    <w:p>
      <w:pPr>
        <w:pStyle w:val="ListBullet"/>
        <w:widowControl/>
      </w:pPr>
      <w:r>
        <w:t>Make payment obligations explicit at checkout.</w:t>
      </w:r>
    </w:p>
    <w:p>
      <w:pPr>
        <w:pStyle w:val="ListBullet"/>
        <w:widowControl/>
      </w:pPr>
      <w:r>
        <w:t>Test screen readers, zoom, mobile reflow and the bot challenge.</w:t>
      </w:r>
    </w:p>
    <w:p>
      <w:pPr>
        <w:pStyle w:val="Heading2"/>
        <w:widowControl/>
      </w:pPr>
      <w:r>
        <w:t>Accessibility contact wording</w:t>
      </w:r>
    </w:p>
    <w:p>
      <w:pPr>
        <w:widowControl/>
      </w:pPr>
      <w:r>
        <w:t>If you have difficulty using this website, contact [accessible support email] and describe the page and issue. We will consider reasonable adjustments and alternative ways to help. [Confirm monitoring and response arrangements.]</w:t>
      </w:r>
    </w:p>
    <w:p>
      <w:pPr>
        <w:pStyle w:val="Heading1"/>
        <w:widowControl/>
      </w:pPr>
      <w:r>
        <w:t>8 Reviews and marketing claims</w:t>
      </w:r>
    </w:p>
    <w:p>
      <w:pPr>
        <w:widowControl/>
      </w:pPr>
      <w:r>
        <w:t>Keep sample coaching previews visibly labelled as illustrative. Do not present sample scenarios as real customer results.</w:t>
      </w:r>
    </w:p>
    <w:p>
      <w:pPr>
        <w:pStyle w:val="ListBullet"/>
        <w:widowControl/>
      </w:pPr>
      <w:r>
        <w:t>Obtain genuine feedback and permission to publish it.</w:t>
      </w:r>
    </w:p>
    <w:p>
      <w:pPr>
        <w:pStyle w:val="ListBullet"/>
        <w:widowControl/>
      </w:pPr>
      <w:r>
        <w:t>Disclose incentives and relevant relationships.</w:t>
      </w:r>
    </w:p>
    <w:p>
      <w:pPr>
        <w:pStyle w:val="ListBullet"/>
        <w:widowControl/>
      </w:pPr>
      <w:r>
        <w:t>Keep evidence of quotations and their context.</w:t>
      </w:r>
    </w:p>
    <w:p>
      <w:pPr>
        <w:pStyle w:val="ListBullet"/>
        <w:widowControl/>
      </w:pPr>
      <w:r>
        <w:t>Do not invent customers, star ratings, user counts or endorsements.</w:t>
      </w:r>
    </w:p>
    <w:p>
      <w:pPr>
        <w:pStyle w:val="ListBullet"/>
        <w:widowControl/>
      </w:pPr>
      <w:r>
        <w:t>If publishing consumer reviews, establish proportionate prevention, reporting, investigation and removal procedures.</w:t>
      </w:r>
    </w:p>
    <w:p>
      <w:pPr>
        <w:pStyle w:val="ListBullet"/>
        <w:widowControl/>
      </w:pPr>
      <w:r>
        <w:t>Keep planned features labelled and hold evidence for objective performance claims.</w:t>
      </w:r>
    </w:p>
    <w:p>
      <w:pPr>
        <w:widowControl/>
      </w:pPr>
      <w:r>
        <w:t>Claims such as guaranteed rank improvement, 100 percent accurate, anti-cheat approved or trusted by thousands require appropriate evidence. A disclaimer does not correct a misleading headline. CMA guidance addresses fake reviews, concealed incentives and misleading review information.</w:t>
      </w:r>
    </w:p>
    <w:p>
      <w:pPr>
        <w:pStyle w:val="Heading1"/>
        <w:widowControl/>
      </w:pPr>
      <w:r>
        <w:t>9 Business disclosures</w:t>
      </w:r>
    </w:p>
    <w:p>
      <w:pPr>
        <w:widowControl/>
      </w:pPr>
      <w:r>
        <w:t>Publish the real operator's legal and trading names, geographical business address, monitored contact email and complaints contact. If incorporated, include the company number, registered office and place of registration. Include the VAT number where applicable.</w:t>
      </w:r>
    </w:p>
    <w:p>
      <w:pPr>
        <w:widowControl/>
      </w:pPr>
      <w:r>
        <w:t>Do not add Ltd or registered in Scotland without verification. A trading name alone does not identify the legal operator. Before sales, disclose the total payable price, taxes and compulsory charges, service description, contract length and cancellation arrangements.</w:t>
      </w:r>
    </w:p>
    <w:p>
      <w:pPr>
        <w:pStyle w:val="Heading2"/>
        <w:widowControl/>
      </w:pPr>
      <w:r>
        <w:t>Details for completion</w:t>
      </w:r>
    </w:p>
    <w:p>
      <w:pPr>
        <w:pStyle w:val="ListBullet"/>
        <w:widowControl/>
      </w:pPr>
      <w:r>
        <w:t>Legal operator [complete]</w:t>
      </w:r>
    </w:p>
    <w:p>
      <w:pPr>
        <w:pStyle w:val="ListBullet"/>
        <w:widowControl/>
      </w:pPr>
      <w:r>
        <w:t>Trading name Avaraxia Labs</w:t>
      </w:r>
    </w:p>
    <w:p>
      <w:pPr>
        <w:pStyle w:val="ListBullet"/>
        <w:widowControl/>
      </w:pPr>
      <w:r>
        <w:t>Company number and place of registration [complete if applicable]</w:t>
      </w:r>
    </w:p>
    <w:p>
      <w:pPr>
        <w:pStyle w:val="ListBullet"/>
        <w:widowControl/>
      </w:pPr>
      <w:r>
        <w:t>Registered office and business address [complete]</w:t>
      </w:r>
    </w:p>
    <w:p>
      <w:pPr>
        <w:pStyle w:val="ListBullet"/>
        <w:widowControl/>
      </w:pPr>
      <w:r>
        <w:t>Support email and privacy email [complete]</w:t>
      </w:r>
    </w:p>
    <w:p>
      <w:pPr>
        <w:pStyle w:val="ListBullet"/>
        <w:widowControl/>
      </w:pPr>
      <w:r>
        <w:t>VAT number [complete if applicable]</w:t>
      </w:r>
    </w:p>
    <w:p>
      <w:pPr>
        <w:pStyle w:val="ListBullet"/>
        <w:widowControl/>
      </w:pPr>
      <w:r>
        <w:t>Complaints owner and process [complete]</w:t>
      </w:r>
    </w:p>
    <w:p>
      <w:pPr>
        <w:pStyle w:val="Heading1"/>
        <w:widowControl/>
      </w:pPr>
      <w:r>
        <w:t>10 Copyright and assets</w:t>
      </w:r>
    </w:p>
    <w:p>
      <w:pPr>
        <w:widowControl/>
      </w:pPr>
      <w:r>
        <w:t>Maintain an asset register recording creator, source, licence, permitted uses and proof of permission. Check commercial website use of logos, game screenshots, stock images, fonts, music and videos. Attribution alone does not grant permission.</w:t>
      </w:r>
    </w:p>
    <w:p>
      <w:pPr>
        <w:widowControl/>
      </w:pPr>
      <w:r>
        <w:t>Game screenshots and marks require consideration of publisher policies. Permission from an uploader does not necessarily clear publisher rights. Retain contractual terms for commissioned or generated assets and check third-party elements. Generated images are not automatically free of infringement concerns.</w:t>
      </w:r>
    </w:p>
    <w:p>
      <w:pPr>
        <w:pStyle w:val="Heading2"/>
        <w:widowControl/>
      </w:pPr>
      <w:r>
        <w:t>Asset register fields</w:t>
      </w:r>
    </w:p>
    <w:p>
      <w:pPr>
        <w:widowControl/>
      </w:pPr>
      <w:r>
        <w:t>Asset filename; source URL; creator or rights holder; licence; purchase or permission evidence; commercial and modification permissions; attribution; expiry; reviewer.</w:t>
      </w:r>
    </w:p>
    <w:p>
      <w:pPr>
        <w:pStyle w:val="Heading1"/>
        <w:widowControl/>
      </w:pPr>
      <w:r>
        <w:t>11 Applicable law and reference sources</w:t>
      </w:r>
    </w:p>
    <w:p>
      <w:pPr>
        <w:widowControl/>
      </w:pPr>
      <w:r>
        <w:t>Assess the following framework for the operator, audience and features actually offered. This list is not an assertion that every provision applies to every feature.</w:t>
      </w:r>
    </w:p>
    <w:p>
      <w:pPr>
        <w:pStyle w:val="ListBullet"/>
        <w:widowControl/>
      </w:pPr>
      <w:r>
        <w:t>UK GDPR and Data Protection Act 2018 as amended, including relevant Data (Use and Access) Act 2025 changes</w:t>
      </w:r>
    </w:p>
    <w:p>
      <w:pPr>
        <w:pStyle w:val="ListBullet"/>
        <w:widowControl/>
      </w:pPr>
      <w:r>
        <w:t>Privacy and Electronic Communications Regulations for marketing and device access</w:t>
      </w:r>
    </w:p>
    <w:p>
      <w:pPr>
        <w:pStyle w:val="ListBullet"/>
        <w:widowControl/>
      </w:pPr>
      <w:r>
        <w:t>Consumer Rights Act 2015 and Consumer Contracts Regulations 2013</w:t>
      </w:r>
    </w:p>
    <w:p>
      <w:pPr>
        <w:pStyle w:val="ListBullet"/>
        <w:widowControl/>
      </w:pPr>
      <w:r>
        <w:t>Digital Markets, Competition and Consumers Act 2024 and applicable subscription implementing rules</w:t>
      </w:r>
    </w:p>
    <w:p>
      <w:pPr>
        <w:pStyle w:val="ListBullet"/>
        <w:widowControl/>
      </w:pPr>
      <w:r>
        <w:t>Electronic Commerce Regulations 2002 and applicable company disclosure rules</w:t>
      </w:r>
    </w:p>
    <w:p>
      <w:pPr>
        <w:pStyle w:val="ListBullet"/>
        <w:widowControl/>
      </w:pPr>
      <w:r>
        <w:t>Equality Act 2010</w:t>
      </w:r>
    </w:p>
    <w:p>
      <w:pPr>
        <w:pStyle w:val="ListBullet"/>
        <w:widowControl/>
      </w:pPr>
      <w:r>
        <w:t>Copyright, Designs and Patents Act 1988 and trade mark law</w:t>
      </w:r>
    </w:p>
    <w:p>
      <w:pPr>
        <w:pStyle w:val="ListBullet"/>
        <w:widowControl/>
      </w:pPr>
      <w:r>
        <w:t>Scots contract law where appropriate to the operator and contract</w:t>
      </w:r>
    </w:p>
    <w:p>
      <w:pPr>
        <w:widowControl/>
      </w:pPr>
      <w:r>
        <w:t>Assess whether children are likely to access this gaming service. An 18-plus statement alone does not determine the Children's Code's applicability. Future community or sharing features may also require an Online Safety Act assessment. Consider overseas consumer and privacy obligations if targeting other countries.</w:t>
      </w:r>
    </w:p>
    <w:p>
      <w:pPr>
        <w:pStyle w:val="Heading2"/>
        <w:widowControl/>
      </w:pPr>
      <w:r>
        <w:t>Primary guidance checked on 20 October 2026</w:t>
      </w:r>
    </w:p>
    <w:p>
      <w:pPr>
        <w:widowControl/>
      </w:pPr>
      <w:r>
        <w:rPr>
          <w:b/>
        </w:rPr>
        <w:t xml:space="preserve">ICO privacy information </w:t>
      </w:r>
      <w:hyperlink r:id="rId9">
        <w:r>
          <w:t>https://ico.org.uk/for-organisations/uk-gdpr-guidance-and-resources/individual-rights/individual-rights/right-to-be-informed/</w:t>
        </w:r>
      </w:hyperlink>
    </w:p>
    <w:p>
      <w:pPr>
        <w:widowControl/>
      </w:pPr>
      <w:r>
        <w:rPr>
          <w:b/>
        </w:rPr>
        <w:t xml:space="preserve">ICO storage and access technologies </w:t>
      </w:r>
      <w:hyperlink r:id="rId10">
        <w:r>
          <w:t>https://ico.org.uk/for-organisations/direct-marketing-and-privacy-and-electronic-communications/guidance-on-the-use-of-storage-and-access-technologies/</w:t>
        </w:r>
      </w:hyperlink>
    </w:p>
    <w:p>
      <w:pPr>
        <w:widowControl/>
      </w:pPr>
      <w:r>
        <w:rPr>
          <w:b/>
        </w:rPr>
        <w:t xml:space="preserve">ICO complaints </w:t>
      </w:r>
      <w:hyperlink r:id="rId11">
        <w:r>
          <w:t>https://ico.org.uk/make-a-complaint/</w:t>
        </w:r>
      </w:hyperlink>
    </w:p>
    <w:p>
      <w:pPr>
        <w:widowControl/>
      </w:pPr>
      <w:r>
        <w:rPr>
          <w:b/>
        </w:rPr>
        <w:t xml:space="preserve">UK online selling </w:t>
      </w:r>
      <w:hyperlink r:id="rId12">
        <w:r>
          <w:t>https://www.gov.uk/online-and-distance-selling-for-businesses/online-selling</w:t>
        </w:r>
      </w:hyperlink>
    </w:p>
    <w:p>
      <w:pPr>
        <w:widowControl/>
      </w:pPr>
      <w:r>
        <w:rPr>
          <w:b/>
        </w:rPr>
        <w:t xml:space="preserve">UK refunds </w:t>
      </w:r>
      <w:hyperlink r:id="rId13">
        <w:r>
          <w:t>https://www.gov.uk/accepting-returns-and-giving-refunds</w:t>
        </w:r>
      </w:hyperlink>
    </w:p>
    <w:p>
      <w:pPr>
        <w:widowControl/>
      </w:pPr>
      <w:r>
        <w:rPr>
          <w:b/>
        </w:rPr>
        <w:t xml:space="preserve">Subscription contracts guidance </w:t>
      </w:r>
      <w:hyperlink r:id="rId14">
        <w:r>
          <w:t>https://www.gov.uk/government/publications/subscription-contracts</w:t>
        </w:r>
      </w:hyperlink>
    </w:p>
    <w:p>
      <w:pPr>
        <w:widowControl/>
      </w:pPr>
      <w:r>
        <w:rPr>
          <w:b/>
        </w:rPr>
        <w:t xml:space="preserve">CMA fake reviews </w:t>
      </w:r>
      <w:hyperlink r:id="rId15">
        <w:r>
          <w:t>https://www.gov.uk/government/publications/fake-reviews</w:t>
        </w:r>
      </w:hyperlink>
    </w:p>
    <w:p>
      <w:pPr>
        <w:widowControl/>
      </w:pPr>
      <w:r>
        <w:rPr>
          <w:b/>
        </w:rPr>
        <w:t xml:space="preserve">Company disclosures </w:t>
      </w:r>
      <w:hyperlink r:id="rId16">
        <w:r>
          <w:t>https://www.gov.uk/running-a-limited-company/signs-stationery-and-promotional-material</w:t>
        </w:r>
      </w:hyperlink>
    </w:p>
    <w:p>
      <w:pPr>
        <w:widowControl/>
      </w:pPr>
      <w:r>
        <w:rPr>
          <w:b/>
        </w:rPr>
        <w:t xml:space="preserve">Copyright </w:t>
      </w:r>
      <w:hyperlink r:id="rId17">
        <w:r>
          <w:t>https://www.gov.uk/copyright</w:t>
        </w:r>
      </w:hyperlink>
    </w:p>
    <w:p>
      <w:pPr>
        <w:widowControl/>
      </w:pPr>
      <w:r>
        <w:rPr>
          <w:b/>
        </w:rPr>
        <w:t xml:space="preserve">WCAG 2 point 2 </w:t>
      </w:r>
      <w:hyperlink r:id="rId18">
        <w:r>
          <w:t>https://www.w3.org/TR/WCAG22/</w:t>
        </w:r>
      </w:hyperlink>
    </w:p>
    <w:p>
      <w:pPr>
        <w:widowControl/>
      </w:pPr>
      <w:r>
        <w:rPr>
          <w:b/>
        </w:rPr>
        <w:t xml:space="preserve">Equality Act service providers </w:t>
      </w:r>
      <w:hyperlink r:id="rId19">
        <w:r>
          <w:t>https://www.legislation.gov.uk/ukpga/2010/15/section/29</w:t>
        </w:r>
      </w:hyperlink>
    </w:p>
    <w:p>
      <w:pPr>
        <w:widowControl/>
      </w:pPr>
      <w:r>
        <w:rPr>
          <w:b/>
        </w:rPr>
        <w:t xml:space="preserve">ICO Children code scope </w:t>
      </w:r>
      <w:hyperlink r:id="rId20">
        <w:r>
          <w:t>https://ico.org.uk/for-organisations/uk-gdpr-guidance-and-resources/childrens-information/childrens-code-guidance-and-resources/age-appropriate-design-a-code-of-practice-for-online-services/services-covered-by-this-code/</w:t>
        </w:r>
      </w:hyperlink>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co.org.uk/for-organisations/uk-gdpr-guidance-and-resources/individual-rights/individual-rights/right-to-be-informed/" TargetMode="External"/><Relationship Id="rId10" Type="http://schemas.openxmlformats.org/officeDocument/2006/relationships/hyperlink" Target="https://ico.org.uk/for-organisations/direct-marketing-and-privacy-and-electronic-communications/guidance-on-the-use-of-storage-and-access-technologies/" TargetMode="External"/><Relationship Id="rId11" Type="http://schemas.openxmlformats.org/officeDocument/2006/relationships/hyperlink" Target="https://ico.org.uk/make-a-complaint/" TargetMode="External"/><Relationship Id="rId12" Type="http://schemas.openxmlformats.org/officeDocument/2006/relationships/hyperlink" Target="https://www.gov.uk/online-and-distance-selling-for-businesses/online-selling" TargetMode="External"/><Relationship Id="rId13" Type="http://schemas.openxmlformats.org/officeDocument/2006/relationships/hyperlink" Target="https://www.gov.uk/accepting-returns-and-giving-refunds" TargetMode="External"/><Relationship Id="rId14" Type="http://schemas.openxmlformats.org/officeDocument/2006/relationships/hyperlink" Target="https://www.gov.uk/government/publications/subscription-contracts" TargetMode="External"/><Relationship Id="rId15" Type="http://schemas.openxmlformats.org/officeDocument/2006/relationships/hyperlink" Target="https://www.gov.uk/government/publications/fake-reviews" TargetMode="External"/><Relationship Id="rId16" Type="http://schemas.openxmlformats.org/officeDocument/2006/relationships/hyperlink" Target="https://www.gov.uk/running-a-limited-company/signs-stationery-and-promotional-material" TargetMode="External"/><Relationship Id="rId17" Type="http://schemas.openxmlformats.org/officeDocument/2006/relationships/hyperlink" Target="https://www.gov.uk/copyright" TargetMode="External"/><Relationship Id="rId18" Type="http://schemas.openxmlformats.org/officeDocument/2006/relationships/hyperlink" Target="https://www.w3.org/TR/WCAG22/" TargetMode="External"/><Relationship Id="rId19" Type="http://schemas.openxmlformats.org/officeDocument/2006/relationships/hyperlink" Target="https://www.legislation.gov.uk/ukpga/2010/15/section/29" TargetMode="External"/><Relationship Id="rId20" Type="http://schemas.openxmlformats.org/officeDocument/2006/relationships/hyperlink" Target="https://ico.org.uk/for-organisations/uk-gdpr-guidance-and-resources/childrens-information/childrens-code-guidance-and-resources/age-appropriate-design-a-code-of-practice-for-online-services/services-covered-by-this-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Avaraxia Labs Website Policies and Compliance Pack</dc:title>
  <dc:subject/>
  <dc:creator>Avaraxia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