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line="360" w:lineRule="auto"/>
        <w:jc w:val="center"/>
        <w:rPr>
          <w:rFonts w:ascii="仿宋" w:hAnsi="仿宋" w:eastAsia="仿宋" w:cs="仿宋_GB2312"/>
          <w:b/>
          <w:bCs/>
          <w:sz w:val="30"/>
          <w:szCs w:val="30"/>
        </w:rPr>
      </w:pPr>
      <w:r>
        <w:rPr>
          <w:rFonts w:hint="eastAsia" w:ascii="仿宋" w:hAnsi="仿宋" w:eastAsia="仿宋" w:cs="仿宋_GB2312"/>
          <w:b/>
          <w:bCs/>
          <w:sz w:val="30"/>
          <w:szCs w:val="30"/>
        </w:rPr>
        <w:t>附件</w:t>
      </w:r>
      <w:r>
        <w:rPr>
          <w:rFonts w:ascii="仿宋" w:hAnsi="仿宋" w:eastAsia="仿宋" w:cs="仿宋_GB2312"/>
          <w:b/>
          <w:bCs/>
          <w:sz w:val="30"/>
          <w:szCs w:val="30"/>
        </w:rPr>
        <w:t>10</w:t>
      </w:r>
      <w:r>
        <w:rPr>
          <w:rFonts w:hint="eastAsia" w:ascii="仿宋" w:hAnsi="仿宋" w:eastAsia="仿宋" w:cs="仿宋_GB2312"/>
          <w:b/>
          <w:bCs/>
          <w:sz w:val="30"/>
          <w:szCs w:val="30"/>
        </w:rPr>
        <w:t xml:space="preserve"> 整体服务方案</w:t>
      </w:r>
    </w:p>
    <w:p>
      <w:pPr>
        <w:adjustRightInd w:val="0"/>
        <w:spacing w:line="360" w:lineRule="auto"/>
        <w:jc w:val="center"/>
        <w:rPr>
          <w:rFonts w:ascii="仿宋" w:hAnsi="仿宋" w:eastAsia="仿宋" w:cs="仿宋_GB2312"/>
          <w:sz w:val="28"/>
          <w:szCs w:val="28"/>
        </w:rPr>
      </w:pPr>
    </w:p>
    <w:p>
      <w:pPr>
        <w:numPr>
          <w:ilvl w:val="0"/>
          <w:numId w:val="1"/>
        </w:numPr>
        <w:adjustRightInd w:val="0"/>
        <w:spacing w:line="360" w:lineRule="auto"/>
        <w:ind w:left="424" w:leftChars="2" w:hangingChars="150"/>
        <w:jc w:val="left"/>
        <w:rPr>
          <w:rFonts w:ascii="仿宋" w:hAnsi="仿宋" w:eastAsia="仿宋" w:cs="仿宋_GB2312"/>
          <w:sz w:val="28"/>
          <w:szCs w:val="28"/>
        </w:rPr>
      </w:pPr>
      <w:r>
        <w:rPr>
          <w:rFonts w:hint="eastAsia" w:ascii="仿宋" w:hAnsi="仿宋" w:eastAsia="仿宋" w:cs="仿宋_GB2312"/>
          <w:sz w:val="28"/>
          <w:szCs w:val="28"/>
        </w:rPr>
        <w:t>投标设备技术性能指标的详细描述（</w:t>
      </w:r>
      <w:r>
        <w:rPr>
          <w:rFonts w:ascii="仿宋" w:hAnsi="仿宋" w:eastAsia="仿宋" w:cs="仿宋_GB2312"/>
          <w:sz w:val="28"/>
          <w:szCs w:val="28"/>
        </w:rPr>
        <w:t>投标人对第</w:t>
      </w:r>
      <w:r>
        <w:rPr>
          <w:rFonts w:hint="eastAsia" w:ascii="仿宋" w:hAnsi="仿宋" w:eastAsia="仿宋" w:cs="仿宋_GB2312"/>
          <w:sz w:val="28"/>
          <w:szCs w:val="28"/>
        </w:rPr>
        <w:t>四章</w:t>
      </w:r>
      <w:r>
        <w:rPr>
          <w:rFonts w:ascii="仿宋" w:hAnsi="仿宋" w:eastAsia="仿宋" w:cs="仿宋_GB2312"/>
          <w:sz w:val="28"/>
          <w:szCs w:val="28"/>
        </w:rPr>
        <w:t>“</w:t>
      </w:r>
      <w:r>
        <w:rPr>
          <w:rFonts w:hint="eastAsia" w:ascii="仿宋" w:hAnsi="仿宋" w:eastAsia="仿宋" w:cs="仿宋_GB2312"/>
          <w:sz w:val="28"/>
          <w:szCs w:val="28"/>
        </w:rPr>
        <w:t>服务需求</w:t>
      </w:r>
      <w:r>
        <w:rPr>
          <w:rFonts w:ascii="仿宋" w:hAnsi="仿宋" w:eastAsia="仿宋" w:cs="仿宋_GB2312"/>
          <w:sz w:val="28"/>
          <w:szCs w:val="28"/>
        </w:rPr>
        <w:t>”的有关要求进行响应和完善。</w:t>
      </w:r>
      <w:r>
        <w:rPr>
          <w:rFonts w:hint="eastAsia" w:ascii="仿宋" w:hAnsi="仿宋" w:eastAsia="仿宋" w:cs="仿宋_GB2312"/>
          <w:sz w:val="28"/>
          <w:szCs w:val="28"/>
        </w:rPr>
        <w:t xml:space="preserve">） </w:t>
      </w:r>
    </w:p>
    <w:p>
      <w:pPr>
        <w:numPr>
          <w:ilvl w:val="0"/>
          <w:numId w:val="1"/>
        </w:numPr>
        <w:adjustRightInd w:val="0"/>
        <w:spacing w:line="360" w:lineRule="auto"/>
        <w:ind w:left="424" w:leftChars="2" w:hangingChars="150"/>
        <w:jc w:val="left"/>
        <w:rPr>
          <w:rFonts w:ascii="仿宋" w:hAnsi="仿宋" w:eastAsia="仿宋" w:cs="仿宋_GB2312"/>
          <w:sz w:val="28"/>
          <w:szCs w:val="28"/>
        </w:rPr>
      </w:pPr>
      <w:r>
        <w:rPr>
          <w:rFonts w:ascii="仿宋" w:hAnsi="仿宋" w:eastAsia="仿宋" w:cs="仿宋_GB2312"/>
          <w:sz w:val="28"/>
          <w:szCs w:val="28"/>
        </w:rPr>
        <w:t>技术服务和质保期服务计划</w:t>
      </w:r>
      <w:r>
        <w:rPr>
          <w:rFonts w:hint="eastAsia" w:ascii="仿宋" w:hAnsi="仿宋" w:eastAsia="仿宋" w:cs="仿宋_GB2312"/>
          <w:sz w:val="28"/>
          <w:szCs w:val="28"/>
        </w:rPr>
        <w:t>（</w:t>
      </w:r>
      <w:r>
        <w:rPr>
          <w:rFonts w:ascii="仿宋" w:hAnsi="仿宋" w:eastAsia="仿宋" w:cs="仿宋_GB2312"/>
          <w:sz w:val="28"/>
          <w:szCs w:val="28"/>
        </w:rPr>
        <w:t>投标人对第</w:t>
      </w:r>
      <w:r>
        <w:rPr>
          <w:rFonts w:hint="eastAsia" w:ascii="仿宋" w:hAnsi="仿宋" w:eastAsia="仿宋" w:cs="仿宋_GB2312"/>
          <w:sz w:val="28"/>
          <w:szCs w:val="28"/>
        </w:rPr>
        <w:t>四章</w:t>
      </w:r>
      <w:r>
        <w:rPr>
          <w:rFonts w:ascii="仿宋" w:hAnsi="仿宋" w:eastAsia="仿宋" w:cs="仿宋_GB2312"/>
          <w:sz w:val="28"/>
          <w:szCs w:val="28"/>
        </w:rPr>
        <w:t>“</w:t>
      </w:r>
      <w:r>
        <w:rPr>
          <w:rFonts w:hint="eastAsia" w:ascii="仿宋" w:hAnsi="仿宋" w:eastAsia="仿宋" w:cs="仿宋_GB2312"/>
          <w:sz w:val="28"/>
          <w:szCs w:val="28"/>
        </w:rPr>
        <w:t>服务需求</w:t>
      </w:r>
      <w:r>
        <w:rPr>
          <w:rFonts w:ascii="仿宋" w:hAnsi="仿宋" w:eastAsia="仿宋" w:cs="仿宋_GB2312"/>
          <w:sz w:val="28"/>
          <w:szCs w:val="28"/>
        </w:rPr>
        <w:t>”的有关要求进行响应和完善。</w:t>
      </w:r>
      <w:r>
        <w:rPr>
          <w:rFonts w:hint="eastAsia" w:ascii="仿宋" w:hAnsi="仿宋" w:eastAsia="仿宋" w:cs="仿宋_GB2312"/>
          <w:sz w:val="28"/>
          <w:szCs w:val="28"/>
        </w:rPr>
        <w:t>）</w:t>
      </w:r>
    </w:p>
    <w:p>
      <w:pPr>
        <w:numPr>
          <w:ilvl w:val="0"/>
          <w:numId w:val="1"/>
        </w:numPr>
        <w:adjustRightInd w:val="0"/>
        <w:spacing w:line="360" w:lineRule="auto"/>
        <w:ind w:left="424" w:leftChars="2" w:hangingChars="150"/>
        <w:jc w:val="left"/>
        <w:rPr>
          <w:rFonts w:ascii="仿宋" w:hAnsi="仿宋" w:eastAsia="仿宋" w:cs="仿宋_GB2312"/>
          <w:sz w:val="28"/>
          <w:szCs w:val="28"/>
        </w:rPr>
      </w:pPr>
      <w:r>
        <w:rPr>
          <w:rFonts w:hint="eastAsia" w:ascii="仿宋" w:hAnsi="仿宋" w:eastAsia="仿宋" w:cs="仿宋_GB2312"/>
          <w:sz w:val="28"/>
          <w:szCs w:val="28"/>
        </w:rPr>
        <w:t>技术支持资料（</w:t>
      </w:r>
      <w:r>
        <w:rPr>
          <w:rFonts w:ascii="仿宋" w:hAnsi="仿宋" w:eastAsia="仿宋" w:cs="仿宋_GB2312"/>
          <w:sz w:val="28"/>
          <w:szCs w:val="28"/>
        </w:rPr>
        <w:t>制造商公开发布的印刷资料</w:t>
      </w:r>
      <w:r>
        <w:rPr>
          <w:rFonts w:hint="eastAsia" w:ascii="仿宋" w:hAnsi="仿宋" w:eastAsia="仿宋" w:cs="仿宋_GB2312"/>
          <w:sz w:val="28"/>
          <w:szCs w:val="28"/>
        </w:rPr>
        <w:t>、宣传材料</w:t>
      </w:r>
      <w:r>
        <w:rPr>
          <w:rFonts w:ascii="仿宋" w:hAnsi="仿宋" w:eastAsia="仿宋" w:cs="仿宋_GB2312"/>
          <w:sz w:val="28"/>
          <w:szCs w:val="28"/>
        </w:rPr>
        <w:t>，检测机构出具的检测报告</w:t>
      </w:r>
      <w:r>
        <w:rPr>
          <w:rFonts w:hint="eastAsia" w:ascii="仿宋" w:hAnsi="仿宋" w:eastAsia="仿宋" w:cs="仿宋_GB2312"/>
          <w:sz w:val="28"/>
          <w:szCs w:val="28"/>
        </w:rPr>
        <w:t>，以及产品说明材料）</w:t>
      </w:r>
    </w:p>
    <w:p>
      <w:pPr>
        <w:numPr>
          <w:ilvl w:val="0"/>
          <w:numId w:val="1"/>
        </w:numPr>
        <w:adjustRightInd w:val="0"/>
        <w:spacing w:line="360" w:lineRule="auto"/>
        <w:ind w:left="424" w:leftChars="2" w:hangingChars="150"/>
        <w:jc w:val="left"/>
        <w:rPr>
          <w:rFonts w:ascii="仿宋" w:hAnsi="仿宋" w:eastAsia="仿宋" w:cs="仿宋_GB2312"/>
          <w:sz w:val="28"/>
          <w:szCs w:val="28"/>
        </w:rPr>
      </w:pPr>
      <w:r>
        <w:rPr>
          <w:rFonts w:hint="eastAsia" w:ascii="仿宋" w:hAnsi="仿宋" w:eastAsia="仿宋" w:cs="仿宋_GB2312"/>
          <w:sz w:val="28"/>
          <w:szCs w:val="28"/>
        </w:rPr>
        <w:t>投标人针对本项目需求提交相应的设计方案；</w:t>
      </w:r>
    </w:p>
    <w:p>
      <w:pPr>
        <w:numPr>
          <w:ilvl w:val="0"/>
          <w:numId w:val="1"/>
        </w:numPr>
        <w:adjustRightInd w:val="0"/>
        <w:spacing w:line="360" w:lineRule="auto"/>
        <w:ind w:left="424" w:leftChars="2" w:hangingChars="150"/>
        <w:jc w:val="left"/>
        <w:rPr>
          <w:rFonts w:ascii="仿宋" w:hAnsi="仿宋" w:eastAsia="仿宋" w:cs="仿宋_GB2312"/>
          <w:sz w:val="28"/>
          <w:szCs w:val="28"/>
        </w:rPr>
      </w:pPr>
      <w:r>
        <w:rPr>
          <w:rFonts w:hint="eastAsia" w:ascii="仿宋" w:hAnsi="仿宋" w:eastAsia="仿宋" w:cs="仿宋_GB2312"/>
          <w:sz w:val="28"/>
          <w:szCs w:val="28"/>
        </w:rPr>
        <w:t>其他。</w:t>
      </w:r>
    </w:p>
    <w:p/>
    <w:p/>
    <w:p/>
    <w:p/>
    <w:p/>
    <w:p/>
    <w:p/>
    <w:p/>
    <w:p/>
    <w:p/>
    <w:p/>
    <w:p/>
    <w:p/>
    <w:p/>
    <w:p/>
    <w:p/>
    <w:p/>
    <w:p/>
    <w:p/>
    <w:p/>
    <w:p/>
    <w:p/>
    <w:p/>
    <w:p/>
    <w:p>
      <w:pPr>
        <w:jc w:val="center"/>
        <w:rPr>
          <w:rFonts w:hint="eastAsia" w:ascii="仿宋" w:hAnsi="仿宋" w:eastAsia="仿宋" w:cs="仿宋"/>
          <w:sz w:val="44"/>
          <w:szCs w:val="44"/>
          <w:lang w:val="en-US" w:eastAsia="zh-CN"/>
        </w:rPr>
      </w:pPr>
      <w:r>
        <w:rPr>
          <w:rFonts w:hint="eastAsia" w:ascii="仿宋" w:hAnsi="仿宋" w:eastAsia="仿宋" w:cs="仿宋"/>
          <w:sz w:val="44"/>
          <w:szCs w:val="44"/>
          <w:lang w:val="en-US" w:eastAsia="zh-CN"/>
        </w:rPr>
        <w:t>整体服务方案</w:t>
      </w:r>
    </w:p>
    <w:p>
      <w:pPr>
        <w:jc w:val="left"/>
        <w:outlineLvl w:val="1"/>
        <w:rPr>
          <w:rFonts w:hint="default" w:ascii="仿宋" w:hAnsi="仿宋" w:eastAsia="仿宋" w:cs="仿宋"/>
          <w:b/>
          <w:bCs/>
          <w:sz w:val="30"/>
          <w:szCs w:val="30"/>
          <w:lang w:val="en-US" w:eastAsia="zh-CN"/>
        </w:rPr>
      </w:pPr>
      <w:r>
        <w:rPr>
          <w:rFonts w:hint="eastAsia" w:ascii="仿宋" w:hAnsi="仿宋" w:eastAsia="仿宋" w:cs="仿宋"/>
          <w:b/>
          <w:bCs/>
          <w:sz w:val="30"/>
          <w:szCs w:val="30"/>
          <w:lang w:val="en-US" w:eastAsia="zh-CN"/>
        </w:rPr>
        <w:t>4.1                  需求理解--苏义桥</w:t>
      </w:r>
    </w:p>
    <w:p>
      <w:pPr>
        <w:jc w:val="left"/>
        <w:outlineLvl w:val="2"/>
        <w:rPr>
          <w:rFonts w:hint="eastAsia" w:ascii="仿宋" w:hAnsi="仿宋" w:eastAsia="仿宋" w:cs="仿宋"/>
          <w:b/>
          <w:bCs/>
          <w:color w:val="000000"/>
          <w:sz w:val="30"/>
          <w:szCs w:val="30"/>
          <w:lang w:val="en-US" w:eastAsia="zh-CN"/>
        </w:rPr>
      </w:pPr>
      <w:r>
        <w:rPr>
          <w:rFonts w:hint="eastAsia" w:ascii="仿宋" w:hAnsi="仿宋" w:eastAsia="仿宋" w:cs="仿宋"/>
          <w:b/>
          <w:bCs/>
          <w:sz w:val="30"/>
          <w:szCs w:val="30"/>
          <w:lang w:val="en-US" w:eastAsia="zh-CN"/>
        </w:rPr>
        <w:t>4.1.1</w:t>
      </w:r>
      <w:r>
        <w:rPr>
          <w:rFonts w:hint="eastAsia" w:ascii="仿宋" w:hAnsi="仿宋" w:eastAsia="仿宋" w:cs="仿宋"/>
          <w:b/>
          <w:bCs/>
          <w:color w:val="000000"/>
          <w:sz w:val="30"/>
          <w:szCs w:val="30"/>
          <w:lang w:val="en-US" w:eastAsia="zh-CN"/>
        </w:rPr>
        <w:t>项目建设需求理解</w:t>
      </w:r>
    </w:p>
    <w:p>
      <w:pPr>
        <w:adjustRightInd w:val="0"/>
        <w:snapToGrid w:val="0"/>
        <w:spacing w:line="360" w:lineRule="auto"/>
        <w:ind w:firstLine="450" w:firstLineChars="150"/>
        <w:rPr>
          <w:rFonts w:hint="eastAsia" w:ascii="仿宋" w:hAnsi="仿宋" w:eastAsia="仿宋" w:cs="仿宋"/>
          <w:sz w:val="30"/>
          <w:szCs w:val="30"/>
        </w:rPr>
      </w:pPr>
      <w:r>
        <w:rPr>
          <w:rFonts w:hint="eastAsia" w:ascii="仿宋" w:hAnsi="仿宋" w:eastAsia="仿宋" w:cs="仿宋"/>
          <w:sz w:val="30"/>
          <w:szCs w:val="30"/>
        </w:rPr>
        <w:t>为实现“十四五”期间财务公司高质量发展，通过金融科技推动财务公司数字化转型建设，同时响应国资委《关于推动中央企业加快司库体系建设 进一步加强资金管理的意见》(国资发财评规〔2022〕1号)、《中央企业加快建设</w:t>
      </w:r>
      <w:bookmarkStart w:id="1" w:name="_GoBack"/>
      <w:bookmarkEnd w:id="1"/>
      <w:r>
        <w:rPr>
          <w:rFonts w:hint="eastAsia" w:ascii="仿宋" w:hAnsi="仿宋" w:eastAsia="仿宋" w:cs="仿宋"/>
          <w:sz w:val="30"/>
          <w:szCs w:val="30"/>
        </w:rPr>
        <w:t>世界一流财务管理体系的指导意见》(国资发财评规〔2022〕23号)政策要求，通过持续研究、创新和应用，不断提高集团资金管理和金融服务的智慧化水平。</w:t>
      </w:r>
    </w:p>
    <w:p>
      <w:pPr>
        <w:adjustRightInd w:val="0"/>
        <w:snapToGrid w:val="0"/>
        <w:spacing w:line="360" w:lineRule="auto"/>
        <w:ind w:firstLine="450" w:firstLineChars="150"/>
        <w:rPr>
          <w:rFonts w:hint="eastAsia" w:ascii="仿宋" w:hAnsi="仿宋" w:eastAsia="仿宋" w:cs="仿宋"/>
          <w:sz w:val="30"/>
          <w:szCs w:val="30"/>
        </w:rPr>
      </w:pPr>
      <w:r>
        <w:rPr>
          <w:rFonts w:hint="eastAsia" w:ascii="仿宋" w:hAnsi="仿宋" w:eastAsia="仿宋" w:cs="仿宋"/>
          <w:sz w:val="30"/>
          <w:szCs w:val="30"/>
        </w:rPr>
        <w:t>通过RPA机器人流程自动化项目的建设，将具有“繁琐重复、业务频率高、操作可标准化”特性的日常业务交给 RPA 机器人完成，简化人工操作，提升业务效率、操作规范性、准确性和安全性，促进管理创新和提质增效。通过 RPA 机器人技术与 U 盾集中管理功能融合，自动获取非直连银行账户的账户明细及余额，提升集团单位全口径账户可视化，提升集团资金管理效率。</w:t>
      </w:r>
    </w:p>
    <w:p>
      <w:pPr>
        <w:adjustRightInd w:val="0"/>
        <w:snapToGrid w:val="0"/>
        <w:spacing w:line="360" w:lineRule="auto"/>
        <w:ind w:firstLine="450" w:firstLineChars="150"/>
        <w:rPr>
          <w:rFonts w:hint="eastAsia" w:ascii="仿宋" w:hAnsi="仿宋" w:eastAsia="仿宋" w:cs="仿宋"/>
          <w:sz w:val="30"/>
          <w:szCs w:val="30"/>
        </w:rPr>
      </w:pPr>
      <w:r>
        <w:rPr>
          <w:rFonts w:hint="eastAsia" w:ascii="仿宋" w:hAnsi="仿宋" w:eastAsia="仿宋" w:cs="仿宋"/>
          <w:sz w:val="30"/>
          <w:szCs w:val="30"/>
        </w:rPr>
        <w:t>财务公司经过多年的发展，在规范运营方面建立了完善的规章制度和流程体系，可以有效指导日常管理工作和业务工作的开展；在信息科技建设方面，建立了较为完善的核心业务系统和外围业务系统，基本实现了主营业务的全部线上化管理；在日常工作管理方面，存在着较多重复的、规则固定的工作场景。可以为本次项目建设提供良好的业务基础和信息化能力基础，具有良好的可执行性。</w:t>
      </w:r>
    </w:p>
    <w:p>
      <w:pPr>
        <w:jc w:val="left"/>
        <w:outlineLvl w:val="2"/>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4.1.2项目建设目标与范围</w:t>
      </w:r>
    </w:p>
    <w:p>
      <w:pPr>
        <w:adjustRightInd w:val="0"/>
        <w:snapToGrid w:val="0"/>
        <w:spacing w:line="360" w:lineRule="auto"/>
        <w:ind w:firstLine="450" w:firstLineChars="150"/>
        <w:rPr>
          <w:rFonts w:hint="eastAsia" w:ascii="仿宋" w:hAnsi="仿宋" w:eastAsia="仿宋" w:cs="仿宋"/>
          <w:sz w:val="30"/>
          <w:szCs w:val="30"/>
        </w:rPr>
      </w:pPr>
      <w:r>
        <w:rPr>
          <w:rFonts w:hint="eastAsia" w:ascii="仿宋" w:hAnsi="仿宋" w:eastAsia="仿宋" w:cs="仿宋"/>
          <w:sz w:val="30"/>
          <w:szCs w:val="30"/>
        </w:rPr>
        <w:t>本项目拟通过面向用户提供标准统一、敏捷易用的RPA机器人，进一步提升全集团银行账户可视化，实现集团内资金账户的统一监管，提高重复程度高、规则标准类业务的办理效率和准确性。</w:t>
      </w:r>
    </w:p>
    <w:p>
      <w:pPr>
        <w:pStyle w:val="7"/>
        <w:numPr>
          <w:ilvl w:val="0"/>
          <w:numId w:val="2"/>
        </w:numPr>
        <w:adjustRightInd w:val="0"/>
        <w:snapToGrid w:val="0"/>
        <w:spacing w:line="360" w:lineRule="auto"/>
        <w:ind w:firstLineChars="0"/>
        <w:rPr>
          <w:rFonts w:hint="eastAsia" w:ascii="仿宋" w:hAnsi="仿宋" w:eastAsia="仿宋" w:cs="仿宋"/>
          <w:sz w:val="30"/>
          <w:szCs w:val="30"/>
        </w:rPr>
      </w:pPr>
      <w:r>
        <w:rPr>
          <w:rFonts w:hint="eastAsia" w:ascii="仿宋" w:hAnsi="仿宋" w:eastAsia="仿宋" w:cs="仿宋"/>
          <w:sz w:val="30"/>
          <w:szCs w:val="30"/>
        </w:rPr>
        <w:t>促进管理创新，实现降本增效</w:t>
      </w:r>
    </w:p>
    <w:p>
      <w:pPr>
        <w:adjustRightInd w:val="0"/>
        <w:snapToGrid w:val="0"/>
        <w:spacing w:line="360" w:lineRule="auto"/>
        <w:ind w:firstLine="150" w:firstLineChars="50"/>
        <w:rPr>
          <w:rFonts w:hint="eastAsia" w:ascii="仿宋" w:hAnsi="仿宋" w:eastAsia="仿宋" w:cs="仿宋"/>
          <w:sz w:val="30"/>
          <w:szCs w:val="30"/>
        </w:rPr>
      </w:pPr>
      <w:r>
        <w:rPr>
          <w:rFonts w:hint="eastAsia" w:ascii="仿宋" w:hAnsi="仿宋" w:eastAsia="仿宋" w:cs="仿宋"/>
          <w:sz w:val="30"/>
          <w:szCs w:val="30"/>
        </w:rPr>
        <w:t>从现有人工管理工作逐步转化为RPA机器人自动管理工作，简化工作流程，缓解人员不足压力，实现工作管理创新。</w:t>
      </w:r>
    </w:p>
    <w:p>
      <w:pPr>
        <w:adjustRightInd w:val="0"/>
        <w:snapToGrid w:val="0"/>
        <w:spacing w:line="360" w:lineRule="auto"/>
        <w:ind w:firstLine="432" w:firstLineChars="144"/>
        <w:rPr>
          <w:rFonts w:hint="eastAsia" w:ascii="仿宋" w:hAnsi="仿宋" w:eastAsia="仿宋" w:cs="仿宋"/>
          <w:sz w:val="30"/>
          <w:szCs w:val="30"/>
        </w:rPr>
      </w:pPr>
      <w:r>
        <w:rPr>
          <w:rFonts w:hint="eastAsia" w:ascii="仿宋" w:hAnsi="仿宋" w:eastAsia="仿宋" w:cs="仿宋"/>
          <w:sz w:val="30"/>
          <w:szCs w:val="30"/>
        </w:rPr>
        <w:t>将重复、繁琐的工作使用RPA机器人进行实施，将人力资源安排在更高深、需要灵活应对的工作上，从而实现降低成本提高效率。</w:t>
      </w:r>
    </w:p>
    <w:p>
      <w:pPr>
        <w:pStyle w:val="7"/>
        <w:numPr>
          <w:ilvl w:val="0"/>
          <w:numId w:val="2"/>
        </w:numPr>
        <w:adjustRightInd w:val="0"/>
        <w:snapToGrid w:val="0"/>
        <w:spacing w:line="360" w:lineRule="auto"/>
        <w:ind w:firstLineChars="0"/>
        <w:rPr>
          <w:rFonts w:hint="eastAsia" w:ascii="仿宋" w:hAnsi="仿宋" w:eastAsia="仿宋" w:cs="仿宋"/>
          <w:sz w:val="30"/>
          <w:szCs w:val="30"/>
        </w:rPr>
      </w:pPr>
      <w:r>
        <w:rPr>
          <w:rFonts w:hint="eastAsia" w:ascii="仿宋" w:hAnsi="仿宋" w:eastAsia="仿宋" w:cs="仿宋"/>
          <w:sz w:val="30"/>
          <w:szCs w:val="30"/>
        </w:rPr>
        <w:t>提升业务操作规范性、准确性和安全性</w:t>
      </w:r>
    </w:p>
    <w:p>
      <w:pPr>
        <w:adjustRightInd w:val="0"/>
        <w:snapToGrid w:val="0"/>
        <w:spacing w:line="360" w:lineRule="auto"/>
        <w:ind w:firstLine="450" w:firstLineChars="150"/>
        <w:rPr>
          <w:rFonts w:hint="eastAsia" w:ascii="仿宋" w:hAnsi="仿宋" w:eastAsia="仿宋" w:cs="仿宋"/>
          <w:sz w:val="30"/>
          <w:szCs w:val="30"/>
        </w:rPr>
      </w:pPr>
      <w:r>
        <w:rPr>
          <w:rFonts w:hint="eastAsia" w:ascii="仿宋" w:hAnsi="仿宋" w:eastAsia="仿宋" w:cs="仿宋"/>
          <w:sz w:val="30"/>
          <w:szCs w:val="30"/>
        </w:rPr>
        <w:t>使用RPA机器人可严格预先设定的操作规范进行工作，将业务操作流程录入后，RPA 机器人可规范且准确的完成事先录入的工作。处于内网环境工作的RPA机器人可以保证数据的安全性。</w:t>
      </w:r>
    </w:p>
    <w:p>
      <w:pPr>
        <w:pStyle w:val="7"/>
        <w:numPr>
          <w:ilvl w:val="0"/>
          <w:numId w:val="2"/>
        </w:numPr>
        <w:adjustRightInd w:val="0"/>
        <w:snapToGrid w:val="0"/>
        <w:spacing w:line="360" w:lineRule="auto"/>
        <w:ind w:firstLineChars="0"/>
        <w:rPr>
          <w:rFonts w:hint="eastAsia" w:ascii="仿宋" w:hAnsi="仿宋" w:eastAsia="仿宋" w:cs="仿宋"/>
          <w:sz w:val="30"/>
          <w:szCs w:val="30"/>
        </w:rPr>
      </w:pPr>
      <w:r>
        <w:rPr>
          <w:rFonts w:hint="eastAsia" w:ascii="仿宋" w:hAnsi="仿宋" w:eastAsia="仿宋" w:cs="仿宋"/>
          <w:sz w:val="30"/>
          <w:szCs w:val="30"/>
        </w:rPr>
        <w:t>推动数字化转型，实现数字化员工建设</w:t>
      </w:r>
    </w:p>
    <w:p>
      <w:pPr>
        <w:adjustRightInd w:val="0"/>
        <w:snapToGrid w:val="0"/>
        <w:spacing w:line="360" w:lineRule="auto"/>
        <w:ind w:firstLine="450" w:firstLineChars="150"/>
        <w:rPr>
          <w:rFonts w:hint="eastAsia" w:ascii="仿宋" w:hAnsi="仿宋" w:eastAsia="仿宋" w:cs="仿宋"/>
          <w:sz w:val="30"/>
          <w:szCs w:val="30"/>
        </w:rPr>
      </w:pPr>
      <w:r>
        <w:rPr>
          <w:rFonts w:hint="eastAsia" w:ascii="仿宋" w:hAnsi="仿宋" w:eastAsia="仿宋" w:cs="仿宋"/>
          <w:sz w:val="30"/>
          <w:szCs w:val="30"/>
        </w:rPr>
        <w:t>通过RPA技术应用，探索人工智能在财务公司业务场景中的应用，不断积累RPA技术管理经验与应用价值，形成自有数字化员工建设成果，力争成为同业公司数字化转型标杆。</w:t>
      </w:r>
    </w:p>
    <w:p>
      <w:pPr>
        <w:adjustRightInd w:val="0"/>
        <w:snapToGrid w:val="0"/>
        <w:spacing w:line="360" w:lineRule="auto"/>
        <w:ind w:firstLine="450" w:firstLineChars="150"/>
        <w:rPr>
          <w:rFonts w:hint="eastAsia" w:ascii="仿宋" w:hAnsi="仿宋" w:eastAsia="仿宋" w:cs="仿宋"/>
          <w:sz w:val="30"/>
          <w:szCs w:val="30"/>
        </w:rPr>
      </w:pPr>
      <w:r>
        <w:rPr>
          <w:rFonts w:hint="eastAsia" w:ascii="仿宋" w:hAnsi="仿宋" w:eastAsia="仿宋" w:cs="仿宋"/>
          <w:sz w:val="30"/>
          <w:szCs w:val="30"/>
        </w:rPr>
        <w:t>买断方式采购应用软件产品，含：机器人软件平台（含1个机器人管理平台、RPA机器人客户端不限数量）、OCR图像识别软件、网银U盾集中管理软件。</w:t>
      </w:r>
    </w:p>
    <w:p>
      <w:pPr>
        <w:adjustRightInd w:val="0"/>
        <w:snapToGrid w:val="0"/>
        <w:spacing w:line="360" w:lineRule="auto"/>
        <w:ind w:firstLine="450" w:firstLineChars="150"/>
        <w:rPr>
          <w:rFonts w:hint="eastAsia" w:ascii="仿宋" w:hAnsi="仿宋" w:eastAsia="仿宋" w:cs="仿宋"/>
          <w:sz w:val="30"/>
          <w:szCs w:val="30"/>
        </w:rPr>
      </w:pPr>
      <w:r>
        <w:rPr>
          <w:rFonts w:hint="eastAsia" w:ascii="仿宋" w:hAnsi="仿宋" w:eastAsia="仿宋" w:cs="仿宋"/>
          <w:sz w:val="30"/>
          <w:szCs w:val="30"/>
        </w:rPr>
        <w:t>买断方式采购硬件设备，含：9个网银云柜（USB Server），9个网银U盾矩阵按键器。</w:t>
      </w:r>
    </w:p>
    <w:p>
      <w:pPr>
        <w:adjustRightInd w:val="0"/>
        <w:snapToGrid w:val="0"/>
        <w:spacing w:line="360" w:lineRule="auto"/>
        <w:ind w:firstLine="450" w:firstLineChars="150"/>
        <w:rPr>
          <w:rFonts w:hint="eastAsia" w:ascii="仿宋" w:hAnsi="仿宋" w:eastAsia="仿宋" w:cs="仿宋"/>
          <w:sz w:val="30"/>
          <w:szCs w:val="30"/>
        </w:rPr>
      </w:pPr>
      <w:r>
        <w:rPr>
          <w:rFonts w:hint="eastAsia" w:ascii="仿宋" w:hAnsi="仿宋" w:eastAsia="仿宋" w:cs="仿宋"/>
          <w:sz w:val="30"/>
          <w:szCs w:val="30"/>
        </w:rPr>
        <w:t>RPA建设需求包括11个业务场景的自动化实施服务：非直连账户余额和明细查询、对外日报报送、人行每日余额查询、美元汇率挂牌价维护、美元同业汇率维护、报表汇率维护、报表导入及数据分析、询证函办理、开具承兑汇票材料审验、对账通知、自动巡检。涉及四个业务部门。</w:t>
      </w:r>
    </w:p>
    <w:p>
      <w:pPr>
        <w:adjustRightInd w:val="0"/>
        <w:snapToGrid w:val="0"/>
        <w:spacing w:line="360" w:lineRule="auto"/>
        <w:ind w:firstLine="450" w:firstLineChars="150"/>
        <w:rPr>
          <w:rFonts w:hint="eastAsia" w:ascii="仿宋" w:hAnsi="仿宋" w:eastAsia="仿宋" w:cs="仿宋"/>
          <w:sz w:val="30"/>
          <w:szCs w:val="30"/>
        </w:rPr>
      </w:pPr>
      <w:r>
        <w:rPr>
          <w:rFonts w:hint="eastAsia" w:ascii="仿宋" w:hAnsi="仿宋" w:eastAsia="仿宋" w:cs="仿宋"/>
          <w:sz w:val="30"/>
          <w:szCs w:val="30"/>
        </w:rPr>
        <w:t>投标人提供的软件及硬件设备需满足自动化应用场景上线并平稳顺畅运行的需要。投标人提供的实施服务包括需求调研、设计、开发、测试、上线、培训、试运行、验收、质保期的所有技术服务和咨询服务等。</w:t>
      </w:r>
    </w:p>
    <w:p>
      <w:pPr>
        <w:adjustRightInd w:val="0"/>
        <w:snapToGrid w:val="0"/>
        <w:spacing w:line="360" w:lineRule="auto"/>
        <w:ind w:firstLine="450" w:firstLineChars="150"/>
        <w:rPr>
          <w:rFonts w:hint="eastAsia" w:ascii="仿宋" w:hAnsi="仿宋" w:eastAsia="仿宋" w:cs="仿宋"/>
          <w:sz w:val="30"/>
          <w:szCs w:val="30"/>
        </w:rPr>
      </w:pPr>
      <w:r>
        <w:rPr>
          <w:rFonts w:hint="eastAsia" w:ascii="仿宋" w:hAnsi="仿宋" w:eastAsia="仿宋" w:cs="仿宋"/>
          <w:sz w:val="30"/>
          <w:szCs w:val="30"/>
        </w:rPr>
        <w:t>以上项目范围如果在招标期间有变更，招标方将以澄清文件的方式向各参与投标方进行说明，最终范围以澄清文件为准；以上项目范围如果在中标后实施期间有变更，以最终确认的项目需求为准。无论何种变更，投标方或中标方相应的服务内容及服务费用将进行相应变更。</w:t>
      </w:r>
    </w:p>
    <w:p>
      <w:pPr>
        <w:jc w:val="left"/>
        <w:outlineLvl w:val="1"/>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4.2建设方案</w:t>
      </w:r>
    </w:p>
    <w:p>
      <w:pPr>
        <w:jc w:val="left"/>
        <w:outlineLvl w:val="2"/>
        <w:rPr>
          <w:rFonts w:hint="default" w:ascii="仿宋" w:hAnsi="仿宋" w:eastAsia="仿宋" w:cs="仿宋"/>
          <w:b/>
          <w:bCs/>
          <w:sz w:val="30"/>
          <w:szCs w:val="30"/>
          <w:lang w:val="en-US" w:eastAsia="zh-CN"/>
        </w:rPr>
      </w:pPr>
      <w:r>
        <w:rPr>
          <w:rFonts w:hint="eastAsia" w:ascii="仿宋" w:hAnsi="仿宋" w:eastAsia="仿宋" w:cs="仿宋"/>
          <w:b/>
          <w:bCs/>
          <w:sz w:val="30"/>
          <w:szCs w:val="30"/>
          <w:lang w:val="en-US" w:eastAsia="zh-CN"/>
        </w:rPr>
        <w:t>4.2.1 整体建设方案--苏义桥</w:t>
      </w:r>
    </w:p>
    <w:p>
      <w:pPr>
        <w:jc w:val="left"/>
        <w:outlineLvl w:val="9"/>
        <w:rPr>
          <w:rFonts w:hint="eastAsia" w:ascii="仿宋" w:hAnsi="仿宋" w:eastAsia="仿宋" w:cs="仿宋"/>
          <w:sz w:val="30"/>
          <w:szCs w:val="30"/>
        </w:rPr>
      </w:pPr>
    </w:p>
    <w:p>
      <w:pPr>
        <w:jc w:val="left"/>
        <w:outlineLvl w:val="9"/>
        <w:rPr>
          <w:rFonts w:hint="eastAsia" w:ascii="仿宋" w:hAnsi="仿宋" w:eastAsia="仿宋" w:cs="仿宋"/>
          <w:sz w:val="30"/>
          <w:szCs w:val="30"/>
        </w:rPr>
      </w:pPr>
    </w:p>
    <w:p>
      <w:pPr>
        <w:jc w:val="left"/>
        <w:outlineLvl w:val="9"/>
        <w:rPr>
          <w:rFonts w:hint="eastAsia" w:ascii="仿宋" w:hAnsi="仿宋" w:eastAsia="仿宋" w:cs="仿宋"/>
          <w:sz w:val="30"/>
          <w:szCs w:val="30"/>
        </w:rPr>
      </w:pPr>
    </w:p>
    <w:p>
      <w:pPr>
        <w:jc w:val="left"/>
        <w:outlineLvl w:val="9"/>
        <w:rPr>
          <w:rFonts w:hint="eastAsia" w:ascii="仿宋" w:hAnsi="仿宋" w:eastAsia="仿宋" w:cs="仿宋"/>
          <w:sz w:val="30"/>
          <w:szCs w:val="30"/>
        </w:rPr>
      </w:pPr>
    </w:p>
    <w:p>
      <w:pPr>
        <w:jc w:val="left"/>
        <w:outlineLvl w:val="9"/>
        <w:rPr>
          <w:rFonts w:hint="eastAsia" w:ascii="仿宋" w:hAnsi="仿宋" w:eastAsia="仿宋" w:cs="仿宋"/>
          <w:sz w:val="30"/>
          <w:szCs w:val="30"/>
        </w:rPr>
      </w:pPr>
    </w:p>
    <w:p>
      <w:pPr>
        <w:jc w:val="left"/>
        <w:outlineLvl w:val="2"/>
        <w:rPr>
          <w:rFonts w:hint="default" w:ascii="仿宋" w:hAnsi="仿宋" w:eastAsia="仿宋" w:cs="仿宋"/>
          <w:b/>
          <w:bCs/>
          <w:sz w:val="30"/>
          <w:szCs w:val="30"/>
          <w:lang w:val="en-US" w:eastAsia="zh-CN"/>
        </w:rPr>
      </w:pPr>
      <w:r>
        <w:rPr>
          <w:rFonts w:hint="eastAsia" w:ascii="仿宋" w:hAnsi="仿宋" w:eastAsia="仿宋" w:cs="仿宋"/>
          <w:b/>
          <w:bCs/>
          <w:sz w:val="30"/>
          <w:szCs w:val="30"/>
          <w:lang w:val="en-US" w:eastAsia="zh-CN"/>
        </w:rPr>
        <w:t>4.2.2软件功能介绍--朱凯强、黄鹏</w:t>
      </w:r>
    </w:p>
    <w:p>
      <w:pPr>
        <w:jc w:val="left"/>
        <w:outlineLvl w:val="3"/>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4.2.2.1 RPA机器人管理平台</w:t>
      </w:r>
    </w:p>
    <w:p>
      <w:pPr>
        <w:jc w:val="left"/>
        <w:outlineLvl w:val="3"/>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4.2.2.2 RPA机器人客户端</w:t>
      </w:r>
    </w:p>
    <w:p>
      <w:pPr>
        <w:jc w:val="left"/>
        <w:outlineLvl w:val="3"/>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4.2.2.3 Ukey集中安全管控平台</w:t>
      </w:r>
    </w:p>
    <w:p>
      <w:pPr>
        <w:jc w:val="left"/>
        <w:outlineLvl w:val="3"/>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4.2.2.4 OCR智能识别软件</w:t>
      </w:r>
    </w:p>
    <w:p>
      <w:pPr>
        <w:jc w:val="left"/>
        <w:outlineLvl w:val="2"/>
        <w:rPr>
          <w:rFonts w:hint="default" w:ascii="仿宋" w:hAnsi="仿宋" w:eastAsia="仿宋" w:cs="仿宋"/>
          <w:b/>
          <w:bCs/>
          <w:sz w:val="30"/>
          <w:szCs w:val="30"/>
          <w:lang w:val="en-US" w:eastAsia="zh-CN"/>
        </w:rPr>
      </w:pPr>
      <w:r>
        <w:rPr>
          <w:rFonts w:hint="eastAsia" w:ascii="仿宋" w:hAnsi="仿宋" w:eastAsia="仿宋" w:cs="仿宋"/>
          <w:b/>
          <w:bCs/>
          <w:sz w:val="30"/>
          <w:szCs w:val="30"/>
          <w:lang w:val="en-US" w:eastAsia="zh-CN"/>
        </w:rPr>
        <w:t>4.2.3硬件功能介绍--朱凯强、黄鹏</w:t>
      </w:r>
    </w:p>
    <w:p>
      <w:pPr>
        <w:jc w:val="left"/>
        <w:outlineLvl w:val="3"/>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4.2.3.1 网银云柜（USB Server）</w:t>
      </w:r>
    </w:p>
    <w:p>
      <w:pPr>
        <w:jc w:val="left"/>
        <w:outlineLvl w:val="3"/>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4.2.3.2网银U盾矩阵按键器</w:t>
      </w:r>
    </w:p>
    <w:p>
      <w:pPr>
        <w:jc w:val="left"/>
        <w:rPr>
          <w:rFonts w:hint="eastAsia"/>
          <w:lang w:val="en-US" w:eastAsia="zh-CN"/>
        </w:rPr>
      </w:pPr>
    </w:p>
    <w:p>
      <w:pPr>
        <w:jc w:val="left"/>
        <w:outlineLvl w:val="2"/>
        <w:rPr>
          <w:rFonts w:hint="default" w:ascii="仿宋" w:hAnsi="仿宋" w:eastAsia="仿宋" w:cs="仿宋"/>
          <w:b/>
          <w:bCs/>
          <w:sz w:val="30"/>
          <w:szCs w:val="30"/>
          <w:lang w:val="en-US" w:eastAsia="zh-CN"/>
        </w:rPr>
      </w:pPr>
      <w:r>
        <w:rPr>
          <w:rFonts w:hint="eastAsia" w:ascii="仿宋" w:hAnsi="仿宋" w:eastAsia="仿宋" w:cs="仿宋"/>
          <w:b/>
          <w:bCs/>
          <w:sz w:val="30"/>
          <w:szCs w:val="30"/>
          <w:lang w:val="en-US" w:eastAsia="zh-CN"/>
        </w:rPr>
        <w:t>4.2.4 场景建设方案--苏义桥</w:t>
      </w:r>
    </w:p>
    <w:p>
      <w:pPr>
        <w:jc w:val="left"/>
        <w:outlineLvl w:val="3"/>
        <w:rPr>
          <w:rFonts w:hint="default" w:ascii="仿宋" w:hAnsi="仿宋" w:eastAsia="仿宋" w:cs="仿宋"/>
          <w:b/>
          <w:bCs/>
          <w:sz w:val="30"/>
          <w:szCs w:val="30"/>
          <w:lang w:val="en-US" w:eastAsia="zh-CN"/>
        </w:rPr>
      </w:pPr>
      <w:r>
        <w:rPr>
          <w:rFonts w:hint="eastAsia" w:ascii="仿宋" w:hAnsi="仿宋" w:eastAsia="仿宋" w:cs="仿宋"/>
          <w:b/>
          <w:bCs/>
          <w:sz w:val="30"/>
          <w:szCs w:val="30"/>
          <w:lang w:val="en-US" w:eastAsia="zh-CN"/>
        </w:rPr>
        <w:t>4.2.</w:t>
      </w:r>
      <w:bookmarkStart w:id="0" w:name="_Toc103171498"/>
      <w:r>
        <w:rPr>
          <w:rFonts w:hint="eastAsia" w:ascii="仿宋" w:hAnsi="仿宋" w:eastAsia="仿宋" w:cs="仿宋"/>
          <w:b/>
          <w:bCs/>
          <w:sz w:val="30"/>
          <w:szCs w:val="30"/>
          <w:lang w:val="en-US" w:eastAsia="zh-CN"/>
        </w:rPr>
        <w:t>4.1 场景机器人方案设计</w:t>
      </w:r>
    </w:p>
    <w:p>
      <w:pPr>
        <w:jc w:val="left"/>
        <w:outlineLvl w:val="4"/>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4.2.4.1.1</w:t>
      </w:r>
      <w:r>
        <w:rPr>
          <w:rFonts w:hint="eastAsia" w:ascii="仿宋" w:hAnsi="仿宋" w:eastAsia="仿宋" w:cs="仿宋"/>
          <w:b/>
          <w:bCs/>
          <w:color w:val="000000" w:themeColor="text1"/>
          <w:sz w:val="30"/>
          <w:szCs w:val="30"/>
          <w14:textFill>
            <w14:solidFill>
              <w14:schemeClr w14:val="tx1"/>
            </w14:solidFill>
          </w14:textFill>
        </w:rPr>
        <w:t>非直连账户余额和明细的查询</w:t>
      </w:r>
      <w:bookmarkEnd w:id="0"/>
    </w:p>
    <w:p>
      <w:pPr>
        <w:spacing w:line="360" w:lineRule="auto"/>
        <w:ind w:firstLine="450" w:firstLineChars="150"/>
        <w:rPr>
          <w:rFonts w:hint="eastAsia" w:ascii="仿宋" w:hAnsi="仿宋" w:eastAsia="仿宋" w:cs="仿宋"/>
          <w:sz w:val="30"/>
          <w:szCs w:val="30"/>
        </w:rPr>
      </w:pPr>
      <w:r>
        <w:rPr>
          <w:rFonts w:hint="eastAsia" w:ascii="仿宋" w:hAnsi="仿宋" w:eastAsia="仿宋" w:cs="仿宋"/>
          <w:sz w:val="30"/>
          <w:szCs w:val="30"/>
        </w:rPr>
        <w:t>采取集中和分布相结合的部署方式。集中部署在集团及8个成员单位（需要配置云柜），分布部署在100个成员单位，分布部署需要支持成员单位自行下载机器人并选择本单位相应的自动化银行内容。</w:t>
      </w:r>
    </w:p>
    <w:p>
      <w:pPr>
        <w:spacing w:line="360" w:lineRule="auto"/>
        <w:ind w:firstLine="450" w:firstLineChars="150"/>
        <w:rPr>
          <w:rFonts w:hint="eastAsia" w:ascii="仿宋" w:hAnsi="仿宋" w:eastAsia="仿宋" w:cs="仿宋"/>
          <w:sz w:val="30"/>
          <w:szCs w:val="30"/>
        </w:rPr>
      </w:pPr>
      <w:r>
        <w:rPr>
          <w:rFonts w:hint="eastAsia" w:ascii="仿宋" w:hAnsi="仿宋" w:eastAsia="仿宋" w:cs="仿宋"/>
          <w:sz w:val="30"/>
          <w:szCs w:val="30"/>
        </w:rPr>
        <w:t>其中，集中部署涉及银行11家（Ukey数量相同），账户数238个，银行列表：</w:t>
      </w: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247"/>
        <w:gridCol w:w="1383"/>
        <w:gridCol w:w="1384"/>
        <w:gridCol w:w="1520"/>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adjustRightInd w:val="0"/>
              <w:spacing w:line="360" w:lineRule="auto"/>
              <w:ind w:firstLine="0"/>
              <w:jc w:val="center"/>
              <w:textAlignment w:val="baseline"/>
              <w:rPr>
                <w:rFonts w:hint="eastAsia" w:ascii="仿宋" w:hAnsi="仿宋" w:eastAsia="仿宋" w:cs="仿宋"/>
                <w:sz w:val="30"/>
                <w:szCs w:val="30"/>
              </w:rPr>
            </w:pPr>
            <w:r>
              <w:rPr>
                <w:rFonts w:hint="eastAsia" w:ascii="仿宋" w:hAnsi="仿宋" w:eastAsia="仿宋" w:cs="仿宋"/>
                <w:sz w:val="30"/>
                <w:szCs w:val="30"/>
              </w:rPr>
              <w:t>江苏银行</w:t>
            </w:r>
          </w:p>
        </w:tc>
        <w:tc>
          <w:tcPr>
            <w:tcW w:w="1247" w:type="dxa"/>
          </w:tcPr>
          <w:p>
            <w:pPr>
              <w:adjustRightInd w:val="0"/>
              <w:spacing w:line="360" w:lineRule="auto"/>
              <w:ind w:firstLine="0"/>
              <w:jc w:val="center"/>
              <w:textAlignment w:val="baseline"/>
              <w:rPr>
                <w:rFonts w:hint="eastAsia" w:ascii="仿宋" w:hAnsi="仿宋" w:eastAsia="仿宋" w:cs="仿宋"/>
                <w:sz w:val="30"/>
                <w:szCs w:val="30"/>
              </w:rPr>
            </w:pPr>
            <w:r>
              <w:rPr>
                <w:rFonts w:hint="eastAsia" w:ascii="仿宋" w:hAnsi="仿宋" w:eastAsia="仿宋" w:cs="仿宋"/>
                <w:sz w:val="30"/>
                <w:szCs w:val="30"/>
              </w:rPr>
              <w:t>华侨永亨</w:t>
            </w:r>
          </w:p>
        </w:tc>
        <w:tc>
          <w:tcPr>
            <w:tcW w:w="1383" w:type="dxa"/>
          </w:tcPr>
          <w:p>
            <w:pPr>
              <w:adjustRightInd w:val="0"/>
              <w:spacing w:line="360" w:lineRule="auto"/>
              <w:ind w:firstLine="0"/>
              <w:jc w:val="center"/>
              <w:textAlignment w:val="baseline"/>
              <w:rPr>
                <w:rFonts w:hint="eastAsia" w:ascii="仿宋" w:hAnsi="仿宋" w:eastAsia="仿宋" w:cs="仿宋"/>
                <w:sz w:val="30"/>
                <w:szCs w:val="30"/>
              </w:rPr>
            </w:pPr>
            <w:r>
              <w:rPr>
                <w:rFonts w:hint="eastAsia" w:ascii="仿宋" w:hAnsi="仿宋" w:eastAsia="仿宋" w:cs="仿宋"/>
                <w:sz w:val="30"/>
                <w:szCs w:val="30"/>
              </w:rPr>
              <w:t>汇丰银行</w:t>
            </w:r>
          </w:p>
        </w:tc>
        <w:tc>
          <w:tcPr>
            <w:tcW w:w="1384" w:type="dxa"/>
          </w:tcPr>
          <w:p>
            <w:pPr>
              <w:adjustRightInd w:val="0"/>
              <w:spacing w:line="360" w:lineRule="auto"/>
              <w:ind w:firstLine="0"/>
              <w:jc w:val="center"/>
              <w:textAlignment w:val="baseline"/>
              <w:rPr>
                <w:rFonts w:hint="eastAsia" w:ascii="仿宋" w:hAnsi="仿宋" w:eastAsia="仿宋" w:cs="仿宋"/>
                <w:sz w:val="30"/>
                <w:szCs w:val="30"/>
              </w:rPr>
            </w:pPr>
            <w:r>
              <w:rPr>
                <w:rFonts w:hint="eastAsia" w:ascii="仿宋" w:hAnsi="仿宋" w:eastAsia="仿宋" w:cs="仿宋"/>
                <w:sz w:val="30"/>
                <w:szCs w:val="30"/>
              </w:rPr>
              <w:t>杭州银行</w:t>
            </w:r>
          </w:p>
        </w:tc>
        <w:tc>
          <w:tcPr>
            <w:tcW w:w="1520" w:type="dxa"/>
          </w:tcPr>
          <w:p>
            <w:pPr>
              <w:adjustRightInd w:val="0"/>
              <w:spacing w:line="360" w:lineRule="auto"/>
              <w:ind w:firstLine="0"/>
              <w:jc w:val="center"/>
              <w:textAlignment w:val="baseline"/>
              <w:rPr>
                <w:rFonts w:hint="eastAsia" w:ascii="仿宋" w:hAnsi="仿宋" w:eastAsia="仿宋" w:cs="仿宋"/>
                <w:sz w:val="30"/>
                <w:szCs w:val="30"/>
              </w:rPr>
            </w:pPr>
            <w:r>
              <w:rPr>
                <w:rFonts w:hint="eastAsia" w:ascii="仿宋" w:hAnsi="仿宋" w:eastAsia="仿宋" w:cs="仿宋"/>
                <w:sz w:val="30"/>
                <w:szCs w:val="30"/>
              </w:rPr>
              <w:t>渤海银行</w:t>
            </w:r>
          </w:p>
        </w:tc>
        <w:tc>
          <w:tcPr>
            <w:tcW w:w="1520" w:type="dxa"/>
          </w:tcPr>
          <w:p>
            <w:pPr>
              <w:adjustRightInd w:val="0"/>
              <w:spacing w:line="360" w:lineRule="auto"/>
              <w:ind w:firstLine="0"/>
              <w:jc w:val="center"/>
              <w:textAlignment w:val="baseline"/>
              <w:rPr>
                <w:rFonts w:hint="eastAsia" w:ascii="仿宋" w:hAnsi="仿宋" w:eastAsia="仿宋" w:cs="仿宋"/>
                <w:sz w:val="30"/>
                <w:szCs w:val="30"/>
              </w:rPr>
            </w:pPr>
            <w:r>
              <w:rPr>
                <w:rFonts w:hint="eastAsia" w:ascii="仿宋" w:hAnsi="仿宋" w:eastAsia="仿宋" w:cs="仿宋"/>
                <w:sz w:val="30"/>
                <w:szCs w:val="30"/>
              </w:rPr>
              <w:t>徽商银行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adjustRightInd w:val="0"/>
              <w:spacing w:line="360" w:lineRule="auto"/>
              <w:ind w:firstLine="0"/>
              <w:jc w:val="center"/>
              <w:textAlignment w:val="baseline"/>
              <w:rPr>
                <w:rFonts w:hint="eastAsia" w:ascii="仿宋" w:hAnsi="仿宋" w:eastAsia="仿宋" w:cs="仿宋"/>
                <w:sz w:val="30"/>
                <w:szCs w:val="30"/>
              </w:rPr>
            </w:pPr>
            <w:r>
              <w:rPr>
                <w:rFonts w:hint="eastAsia" w:ascii="仿宋" w:hAnsi="仿宋" w:eastAsia="仿宋" w:cs="仿宋"/>
                <w:sz w:val="30"/>
                <w:szCs w:val="30"/>
              </w:rPr>
              <w:t>恒丰银行</w:t>
            </w:r>
          </w:p>
        </w:tc>
        <w:tc>
          <w:tcPr>
            <w:tcW w:w="1247" w:type="dxa"/>
          </w:tcPr>
          <w:p>
            <w:pPr>
              <w:adjustRightInd w:val="0"/>
              <w:spacing w:line="360" w:lineRule="auto"/>
              <w:ind w:firstLine="0"/>
              <w:jc w:val="center"/>
              <w:textAlignment w:val="baseline"/>
              <w:rPr>
                <w:rFonts w:hint="eastAsia" w:ascii="仿宋" w:hAnsi="仿宋" w:eastAsia="仿宋" w:cs="仿宋"/>
                <w:sz w:val="30"/>
                <w:szCs w:val="30"/>
              </w:rPr>
            </w:pPr>
            <w:r>
              <w:rPr>
                <w:rFonts w:hint="eastAsia" w:ascii="仿宋" w:hAnsi="仿宋" w:eastAsia="仿宋" w:cs="仿宋"/>
                <w:sz w:val="30"/>
                <w:szCs w:val="30"/>
              </w:rPr>
              <w:t>上海银行</w:t>
            </w:r>
          </w:p>
        </w:tc>
        <w:tc>
          <w:tcPr>
            <w:tcW w:w="1383" w:type="dxa"/>
          </w:tcPr>
          <w:p>
            <w:pPr>
              <w:adjustRightInd w:val="0"/>
              <w:spacing w:line="360" w:lineRule="auto"/>
              <w:ind w:firstLine="0"/>
              <w:jc w:val="center"/>
              <w:textAlignment w:val="baseline"/>
              <w:rPr>
                <w:rFonts w:hint="eastAsia" w:ascii="仿宋" w:hAnsi="仿宋" w:eastAsia="仿宋" w:cs="仿宋"/>
                <w:sz w:val="30"/>
                <w:szCs w:val="30"/>
              </w:rPr>
            </w:pPr>
            <w:r>
              <w:rPr>
                <w:rFonts w:hint="eastAsia" w:ascii="仿宋" w:hAnsi="仿宋" w:eastAsia="仿宋" w:cs="仿宋"/>
                <w:sz w:val="30"/>
                <w:szCs w:val="30"/>
              </w:rPr>
              <w:t>昆仑银行</w:t>
            </w:r>
          </w:p>
        </w:tc>
        <w:tc>
          <w:tcPr>
            <w:tcW w:w="1384" w:type="dxa"/>
          </w:tcPr>
          <w:p>
            <w:pPr>
              <w:adjustRightInd w:val="0"/>
              <w:spacing w:line="360" w:lineRule="auto"/>
              <w:ind w:firstLine="0"/>
              <w:jc w:val="center"/>
              <w:textAlignment w:val="baseline"/>
              <w:rPr>
                <w:rFonts w:hint="eastAsia" w:ascii="仿宋" w:hAnsi="仿宋" w:eastAsia="仿宋" w:cs="仿宋"/>
                <w:sz w:val="30"/>
                <w:szCs w:val="30"/>
              </w:rPr>
            </w:pPr>
            <w:r>
              <w:rPr>
                <w:rFonts w:hint="eastAsia" w:ascii="仿宋" w:hAnsi="仿宋" w:eastAsia="仿宋" w:cs="仿宋"/>
                <w:sz w:val="30"/>
                <w:szCs w:val="30"/>
              </w:rPr>
              <w:t>星展银行</w:t>
            </w:r>
          </w:p>
        </w:tc>
        <w:tc>
          <w:tcPr>
            <w:tcW w:w="1520" w:type="dxa"/>
          </w:tcPr>
          <w:p>
            <w:pPr>
              <w:adjustRightInd w:val="0"/>
              <w:spacing w:line="360" w:lineRule="auto"/>
              <w:ind w:firstLine="0"/>
              <w:jc w:val="center"/>
              <w:textAlignment w:val="baseline"/>
              <w:rPr>
                <w:rFonts w:hint="eastAsia" w:ascii="仿宋" w:hAnsi="仿宋" w:eastAsia="仿宋" w:cs="仿宋"/>
                <w:sz w:val="30"/>
                <w:szCs w:val="30"/>
              </w:rPr>
            </w:pPr>
            <w:r>
              <w:rPr>
                <w:rFonts w:hint="eastAsia" w:ascii="仿宋" w:hAnsi="仿宋" w:eastAsia="仿宋" w:cs="仿宋"/>
                <w:sz w:val="30"/>
                <w:szCs w:val="30"/>
              </w:rPr>
              <w:t>渣打银行</w:t>
            </w:r>
          </w:p>
        </w:tc>
        <w:tc>
          <w:tcPr>
            <w:tcW w:w="1520" w:type="dxa"/>
          </w:tcPr>
          <w:p>
            <w:pPr>
              <w:adjustRightInd w:val="0"/>
              <w:spacing w:line="360" w:lineRule="auto"/>
              <w:ind w:firstLine="482"/>
              <w:jc w:val="center"/>
              <w:textAlignment w:val="baseline"/>
              <w:rPr>
                <w:rFonts w:hint="eastAsia" w:ascii="仿宋" w:hAnsi="仿宋" w:eastAsia="仿宋" w:cs="仿宋"/>
                <w:sz w:val="30"/>
                <w:szCs w:val="30"/>
              </w:rPr>
            </w:pPr>
          </w:p>
        </w:tc>
      </w:tr>
    </w:tbl>
    <w:p>
      <w:pPr>
        <w:spacing w:line="360" w:lineRule="auto"/>
        <w:ind w:firstLine="450" w:firstLineChars="150"/>
        <w:rPr>
          <w:rFonts w:hint="eastAsia" w:ascii="仿宋" w:hAnsi="仿宋" w:eastAsia="仿宋" w:cs="仿宋"/>
          <w:sz w:val="30"/>
          <w:szCs w:val="30"/>
        </w:rPr>
      </w:pPr>
      <w:r>
        <w:rPr>
          <w:rFonts w:hint="eastAsia" w:ascii="仿宋" w:hAnsi="仿宋" w:eastAsia="仿宋" w:cs="仿宋"/>
          <w:sz w:val="30"/>
          <w:szCs w:val="30"/>
        </w:rPr>
        <w:t>其中，成员单位集中部署涉及银行23家，账户数182个，其中8家单位需要使用云柜。银行列表：</w:t>
      </w:r>
    </w:p>
    <w:tbl>
      <w:tblPr>
        <w:tblStyle w:val="3"/>
        <w:tblpPr w:leftFromText="180" w:rightFromText="180" w:vertAnchor="text" w:horzAnchor="margin" w:tblpY="-3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2074"/>
        <w:gridCol w:w="2221"/>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927"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南京银行</w:t>
            </w:r>
          </w:p>
        </w:tc>
        <w:tc>
          <w:tcPr>
            <w:tcW w:w="2074"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成都银行</w:t>
            </w:r>
          </w:p>
        </w:tc>
        <w:tc>
          <w:tcPr>
            <w:tcW w:w="2221"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齐鲁银行</w:t>
            </w:r>
          </w:p>
        </w:tc>
        <w:tc>
          <w:tcPr>
            <w:tcW w:w="2074"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锦州银行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927"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中原银行</w:t>
            </w:r>
          </w:p>
        </w:tc>
        <w:tc>
          <w:tcPr>
            <w:tcW w:w="2074"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长沙银行</w:t>
            </w:r>
          </w:p>
        </w:tc>
        <w:tc>
          <w:tcPr>
            <w:tcW w:w="2221"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厦门国际银行</w:t>
            </w:r>
          </w:p>
        </w:tc>
        <w:tc>
          <w:tcPr>
            <w:tcW w:w="2074"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东亚银行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927"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恒生银行</w:t>
            </w:r>
          </w:p>
        </w:tc>
        <w:tc>
          <w:tcPr>
            <w:tcW w:w="2074"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天津银行</w:t>
            </w:r>
          </w:p>
        </w:tc>
        <w:tc>
          <w:tcPr>
            <w:tcW w:w="2221"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秦皇岛银行</w:t>
            </w:r>
          </w:p>
        </w:tc>
        <w:tc>
          <w:tcPr>
            <w:tcW w:w="2074"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珠海华润银行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927"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盛京银行</w:t>
            </w:r>
          </w:p>
        </w:tc>
        <w:tc>
          <w:tcPr>
            <w:tcW w:w="2074"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齐商银行</w:t>
            </w:r>
          </w:p>
        </w:tc>
        <w:tc>
          <w:tcPr>
            <w:tcW w:w="2221"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大连银行</w:t>
            </w:r>
          </w:p>
        </w:tc>
        <w:tc>
          <w:tcPr>
            <w:tcW w:w="2074"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大华银行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927"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花旗银行</w:t>
            </w:r>
          </w:p>
        </w:tc>
        <w:tc>
          <w:tcPr>
            <w:tcW w:w="2074"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郑州银行</w:t>
            </w:r>
          </w:p>
        </w:tc>
        <w:tc>
          <w:tcPr>
            <w:tcW w:w="2221"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法国巴黎银行</w:t>
            </w:r>
          </w:p>
        </w:tc>
        <w:tc>
          <w:tcPr>
            <w:tcW w:w="2074"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新韩银行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927"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龙江银行</w:t>
            </w:r>
          </w:p>
        </w:tc>
        <w:tc>
          <w:tcPr>
            <w:tcW w:w="2074"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德国商业银行</w:t>
            </w:r>
          </w:p>
        </w:tc>
        <w:tc>
          <w:tcPr>
            <w:tcW w:w="2221" w:type="dxa"/>
          </w:tcPr>
          <w:p>
            <w:pPr>
              <w:spacing w:line="360" w:lineRule="auto"/>
              <w:rPr>
                <w:rFonts w:hint="eastAsia" w:ascii="仿宋" w:hAnsi="仿宋" w:eastAsia="仿宋" w:cs="仿宋"/>
                <w:sz w:val="30"/>
                <w:szCs w:val="30"/>
              </w:rPr>
            </w:pPr>
            <w:r>
              <w:rPr>
                <w:rFonts w:hint="eastAsia" w:ascii="仿宋" w:hAnsi="仿宋" w:eastAsia="仿宋" w:cs="仿宋"/>
                <w:sz w:val="30"/>
                <w:szCs w:val="30"/>
              </w:rPr>
              <w:t>承德银行</w:t>
            </w:r>
          </w:p>
        </w:tc>
        <w:tc>
          <w:tcPr>
            <w:tcW w:w="2074" w:type="dxa"/>
          </w:tcPr>
          <w:p>
            <w:pPr>
              <w:spacing w:line="360" w:lineRule="auto"/>
              <w:rPr>
                <w:rFonts w:hint="eastAsia" w:ascii="仿宋" w:hAnsi="仿宋" w:eastAsia="仿宋" w:cs="仿宋"/>
                <w:sz w:val="30"/>
                <w:szCs w:val="30"/>
              </w:rPr>
            </w:pPr>
          </w:p>
        </w:tc>
      </w:tr>
    </w:tbl>
    <w:p>
      <w:pPr>
        <w:jc w:val="left"/>
        <w:outlineLvl w:val="4"/>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4.2.4.1.2对外日报报送</w:t>
      </w:r>
    </w:p>
    <w:p>
      <w:pPr>
        <w:jc w:val="left"/>
        <w:outlineLvl w:val="4"/>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4.2.4.1.2人行每日余额对账</w:t>
      </w:r>
    </w:p>
    <w:p>
      <w:pPr>
        <w:jc w:val="left"/>
        <w:outlineLvl w:val="4"/>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4.2.4.1.2美元汇率挂牌价维护</w:t>
      </w:r>
    </w:p>
    <w:p>
      <w:pPr>
        <w:jc w:val="left"/>
        <w:outlineLvl w:val="4"/>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4.2.4.1.2美元同业汇率维护</w:t>
      </w:r>
    </w:p>
    <w:p>
      <w:pPr>
        <w:jc w:val="left"/>
        <w:outlineLvl w:val="4"/>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4.2.4.1.2报表汇率维护</w:t>
      </w:r>
    </w:p>
    <w:p>
      <w:pPr>
        <w:jc w:val="left"/>
        <w:outlineLvl w:val="4"/>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4.2.4.1.2报表导入及数据分析</w:t>
      </w:r>
    </w:p>
    <w:p>
      <w:pPr>
        <w:jc w:val="left"/>
        <w:outlineLvl w:val="4"/>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4.2.4.1.2开具承兑汇票材料审验</w:t>
      </w:r>
    </w:p>
    <w:p>
      <w:pPr>
        <w:jc w:val="left"/>
        <w:outlineLvl w:val="4"/>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4.2.4.1.2询证函办理</w:t>
      </w:r>
    </w:p>
    <w:p>
      <w:pPr>
        <w:jc w:val="left"/>
        <w:outlineLvl w:val="4"/>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4.2.4.1.2对账通知</w:t>
      </w:r>
    </w:p>
    <w:p>
      <w:pPr>
        <w:jc w:val="left"/>
        <w:outlineLvl w:val="4"/>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4.2.4.1.2自动巡检</w:t>
      </w:r>
    </w:p>
    <w:p>
      <w:pPr>
        <w:spacing w:line="360" w:lineRule="auto"/>
        <w:ind w:firstLine="450" w:firstLineChars="150"/>
        <w:rPr>
          <w:rFonts w:hint="eastAsia" w:ascii="仿宋" w:hAnsi="仿宋" w:eastAsia="仿宋" w:cs="仿宋"/>
          <w:color w:val="000000" w:themeColor="text1"/>
          <w:sz w:val="30"/>
          <w:szCs w:val="30"/>
          <w14:textFill>
            <w14:solidFill>
              <w14:schemeClr w14:val="tx1"/>
            </w14:solidFill>
          </w14:textFill>
        </w:rPr>
      </w:pPr>
      <w:r>
        <w:rPr>
          <w:rFonts w:hint="eastAsia" w:ascii="仿宋" w:hAnsi="仿宋" w:eastAsia="仿宋" w:cs="仿宋"/>
          <w:color w:val="000000" w:themeColor="text1"/>
          <w:sz w:val="30"/>
          <w:szCs w:val="30"/>
          <w14:textFill>
            <w14:solidFill>
              <w14:schemeClr w14:val="tx1"/>
            </w14:solidFill>
          </w14:textFill>
        </w:rPr>
        <w:t>以下场景为集团财务公司内部业务需求，以业务人员工作用PC机进行机器人客户端部署。</w:t>
      </w:r>
    </w:p>
    <w:tbl>
      <w:tblPr>
        <w:tblStyle w:val="3"/>
        <w:tblW w:w="80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1418"/>
        <w:gridCol w:w="4831"/>
        <w:gridCol w:w="1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jc w:val="center"/>
        </w:trPr>
        <w:tc>
          <w:tcPr>
            <w:tcW w:w="6811" w:type="dxa"/>
            <w:gridSpan w:val="3"/>
            <w:shd w:val="clear" w:color="auto" w:fill="auto"/>
            <w:vAlign w:val="center"/>
          </w:tcPr>
          <w:p>
            <w:pPr>
              <w:widowControl/>
              <w:spacing w:line="360" w:lineRule="auto"/>
              <w:jc w:val="center"/>
              <w:rPr>
                <w:rFonts w:hint="eastAsia" w:ascii="仿宋" w:hAnsi="仿宋" w:eastAsia="仿宋" w:cs="仿宋"/>
                <w:b/>
                <w:bCs/>
                <w:color w:val="000000" w:themeColor="text1"/>
                <w:kern w:val="0"/>
                <w:sz w:val="30"/>
                <w:szCs w:val="30"/>
                <w14:textFill>
                  <w14:solidFill>
                    <w14:schemeClr w14:val="tx1"/>
                  </w14:solidFill>
                </w14:textFill>
              </w:rPr>
            </w:pPr>
            <w:r>
              <w:rPr>
                <w:rFonts w:hint="eastAsia" w:ascii="仿宋" w:hAnsi="仿宋" w:eastAsia="仿宋" w:cs="仿宋"/>
                <w:b/>
                <w:bCs/>
                <w:color w:val="000000" w:themeColor="text1"/>
                <w:kern w:val="0"/>
                <w:sz w:val="30"/>
                <w:szCs w:val="30"/>
                <w14:textFill>
                  <w14:solidFill>
                    <w14:schemeClr w14:val="tx1"/>
                  </w14:solidFill>
                </w14:textFill>
              </w:rPr>
              <w:t>功能说明</w:t>
            </w:r>
          </w:p>
        </w:tc>
        <w:tc>
          <w:tcPr>
            <w:tcW w:w="1225" w:type="dxa"/>
            <w:shd w:val="clear" w:color="auto" w:fill="auto"/>
            <w:vAlign w:val="center"/>
          </w:tcPr>
          <w:p>
            <w:pPr>
              <w:widowControl/>
              <w:spacing w:line="360" w:lineRule="auto"/>
              <w:jc w:val="center"/>
              <w:rPr>
                <w:rFonts w:hint="eastAsia" w:ascii="仿宋" w:hAnsi="仿宋" w:eastAsia="仿宋" w:cs="仿宋"/>
                <w:b/>
                <w:bCs/>
                <w:color w:val="000000" w:themeColor="text1"/>
                <w:kern w:val="0"/>
                <w:sz w:val="30"/>
                <w:szCs w:val="30"/>
                <w14:textFill>
                  <w14:solidFill>
                    <w14:schemeClr w14:val="tx1"/>
                  </w14:solidFill>
                </w14:textFill>
              </w:rPr>
            </w:pPr>
            <w:r>
              <w:rPr>
                <w:rFonts w:hint="eastAsia" w:ascii="仿宋" w:hAnsi="仿宋" w:eastAsia="仿宋" w:cs="仿宋"/>
                <w:b/>
                <w:bCs/>
                <w:color w:val="000000" w:themeColor="text1"/>
                <w:kern w:val="0"/>
                <w:sz w:val="30"/>
                <w:szCs w:val="30"/>
                <w14:textFill>
                  <w14:solidFill>
                    <w14:schemeClr w14:val="tx1"/>
                  </w14:solidFill>
                </w14:textFill>
              </w:rPr>
              <w:t>提出部门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62" w:type="dxa"/>
            <w:vMerge w:val="restart"/>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机器人应用场景</w:t>
            </w:r>
          </w:p>
        </w:tc>
        <w:tc>
          <w:tcPr>
            <w:tcW w:w="1418" w:type="dxa"/>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对外日报报送</w:t>
            </w:r>
          </w:p>
        </w:tc>
        <w:tc>
          <w:tcPr>
            <w:tcW w:w="4831" w:type="dxa"/>
            <w:shd w:val="clear" w:color="auto" w:fill="auto"/>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从内部系统抓取数据，填入固定表格，形成打印版，手动输入到人行系统</w:t>
            </w:r>
          </w:p>
        </w:tc>
        <w:tc>
          <w:tcPr>
            <w:tcW w:w="1225" w:type="dxa"/>
            <w:vMerge w:val="restart"/>
            <w:shd w:val="clear" w:color="auto" w:fill="auto"/>
            <w:vAlign w:val="center"/>
          </w:tcPr>
          <w:p>
            <w:pPr>
              <w:widowControl/>
              <w:tabs>
                <w:tab w:val="left" w:pos="312"/>
              </w:tabs>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计财部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562" w:type="dxa"/>
            <w:vMerge w:val="continue"/>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p>
        </w:tc>
        <w:tc>
          <w:tcPr>
            <w:tcW w:w="1418" w:type="dxa"/>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人行每日余额对账</w:t>
            </w:r>
          </w:p>
        </w:tc>
        <w:tc>
          <w:tcPr>
            <w:tcW w:w="4831" w:type="dxa"/>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银行月余额与人行余额核对</w:t>
            </w:r>
          </w:p>
        </w:tc>
        <w:tc>
          <w:tcPr>
            <w:tcW w:w="1225" w:type="dxa"/>
            <w:vMerge w:val="continue"/>
            <w:shd w:val="clear" w:color="auto" w:fill="auto"/>
            <w:vAlign w:val="center"/>
          </w:tcPr>
          <w:p>
            <w:pPr>
              <w:widowControl/>
              <w:tabs>
                <w:tab w:val="left" w:pos="312"/>
              </w:tabs>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62" w:type="dxa"/>
            <w:vMerge w:val="continue"/>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p>
        </w:tc>
        <w:tc>
          <w:tcPr>
            <w:tcW w:w="1418" w:type="dxa"/>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美元汇率挂牌价维护</w:t>
            </w:r>
          </w:p>
        </w:tc>
        <w:tc>
          <w:tcPr>
            <w:tcW w:w="4831" w:type="dxa"/>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与每日公布的libor美元汇率一致并录入内部系统：</w:t>
            </w:r>
          </w:p>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1.从wind,外汇网站抓取数据。</w:t>
            </w:r>
          </w:p>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2.将数据导入系统。</w:t>
            </w:r>
          </w:p>
        </w:tc>
        <w:tc>
          <w:tcPr>
            <w:tcW w:w="1225" w:type="dxa"/>
            <w:vMerge w:val="continue"/>
            <w:shd w:val="clear" w:color="auto" w:fill="auto"/>
            <w:vAlign w:val="center"/>
          </w:tcPr>
          <w:p>
            <w:pPr>
              <w:widowControl/>
              <w:tabs>
                <w:tab w:val="left" w:pos="312"/>
              </w:tabs>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62" w:type="dxa"/>
            <w:vMerge w:val="continue"/>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p>
        </w:tc>
        <w:tc>
          <w:tcPr>
            <w:tcW w:w="1418" w:type="dxa"/>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美元同业汇率维护</w:t>
            </w:r>
          </w:p>
        </w:tc>
        <w:tc>
          <w:tcPr>
            <w:tcW w:w="4831" w:type="dxa"/>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与每日公布的libor美元汇率一致并录入内部系统</w:t>
            </w:r>
          </w:p>
        </w:tc>
        <w:tc>
          <w:tcPr>
            <w:tcW w:w="1225" w:type="dxa"/>
            <w:vMerge w:val="continue"/>
            <w:shd w:val="clear" w:color="auto" w:fill="auto"/>
            <w:vAlign w:val="center"/>
          </w:tcPr>
          <w:p>
            <w:pPr>
              <w:widowControl/>
              <w:tabs>
                <w:tab w:val="left" w:pos="312"/>
              </w:tabs>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jc w:val="center"/>
        </w:trPr>
        <w:tc>
          <w:tcPr>
            <w:tcW w:w="562" w:type="dxa"/>
            <w:vMerge w:val="continue"/>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p>
        </w:tc>
        <w:tc>
          <w:tcPr>
            <w:tcW w:w="1418" w:type="dxa"/>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报表汇率维护</w:t>
            </w:r>
          </w:p>
        </w:tc>
        <w:tc>
          <w:tcPr>
            <w:tcW w:w="4831" w:type="dxa"/>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从中国货币网抓取数据到内部系统</w:t>
            </w:r>
          </w:p>
        </w:tc>
        <w:tc>
          <w:tcPr>
            <w:tcW w:w="1225" w:type="dxa"/>
            <w:vMerge w:val="continue"/>
            <w:shd w:val="clear" w:color="auto" w:fill="auto"/>
            <w:vAlign w:val="center"/>
          </w:tcPr>
          <w:p>
            <w:pPr>
              <w:widowControl/>
              <w:tabs>
                <w:tab w:val="left" w:pos="312"/>
              </w:tabs>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jc w:val="center"/>
        </w:trPr>
        <w:tc>
          <w:tcPr>
            <w:tcW w:w="562" w:type="dxa"/>
            <w:vMerge w:val="continue"/>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p>
        </w:tc>
        <w:tc>
          <w:tcPr>
            <w:tcW w:w="1418" w:type="dxa"/>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报表导入及数据分析</w:t>
            </w:r>
          </w:p>
        </w:tc>
        <w:tc>
          <w:tcPr>
            <w:tcW w:w="4831" w:type="dxa"/>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导入WORD,EXCEL,PDF版报表或审计报告后直接生成制式财务报表，同时联动生成授信报告、贷款报告及汇报材料中所需数据及变化情况</w:t>
            </w:r>
          </w:p>
        </w:tc>
        <w:tc>
          <w:tcPr>
            <w:tcW w:w="1225" w:type="dxa"/>
            <w:vMerge w:val="restart"/>
            <w:shd w:val="clear" w:color="auto" w:fill="auto"/>
            <w:vAlign w:val="center"/>
          </w:tcPr>
          <w:p>
            <w:pPr>
              <w:widowControl/>
              <w:tabs>
                <w:tab w:val="left" w:pos="312"/>
              </w:tabs>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信贷部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562" w:type="dxa"/>
            <w:vMerge w:val="continue"/>
            <w:shd w:val="clear" w:color="auto" w:fill="auto"/>
            <w:vAlign w:val="center"/>
          </w:tcPr>
          <w:p>
            <w:pPr>
              <w:widowControl/>
              <w:tabs>
                <w:tab w:val="left" w:pos="312"/>
              </w:tabs>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p>
        </w:tc>
        <w:tc>
          <w:tcPr>
            <w:tcW w:w="1418" w:type="dxa"/>
            <w:shd w:val="clear" w:color="auto" w:fill="auto"/>
            <w:vAlign w:val="center"/>
          </w:tcPr>
          <w:p>
            <w:pPr>
              <w:widowControl/>
              <w:tabs>
                <w:tab w:val="left" w:pos="312"/>
              </w:tabs>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开具承兑汇票材料审验</w:t>
            </w:r>
          </w:p>
        </w:tc>
        <w:tc>
          <w:tcPr>
            <w:tcW w:w="4831" w:type="dxa"/>
            <w:shd w:val="clear" w:color="auto" w:fill="auto"/>
          </w:tcPr>
          <w:p>
            <w:pPr>
              <w:widowControl/>
              <w:tabs>
                <w:tab w:val="left" w:pos="312"/>
              </w:tabs>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成员单位向财务公司提出开具承兑汇票申请，机器人核验发票真实性，并逐一核对每张承兑汇票具体信息与纸质材料是否相符</w:t>
            </w:r>
          </w:p>
        </w:tc>
        <w:tc>
          <w:tcPr>
            <w:tcW w:w="1225" w:type="dxa"/>
            <w:vMerge w:val="continue"/>
            <w:shd w:val="clear" w:color="auto" w:fill="auto"/>
            <w:vAlign w:val="center"/>
          </w:tcPr>
          <w:p>
            <w:pPr>
              <w:widowControl/>
              <w:tabs>
                <w:tab w:val="left" w:pos="312"/>
              </w:tabs>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62" w:type="dxa"/>
            <w:vMerge w:val="continue"/>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p>
        </w:tc>
        <w:tc>
          <w:tcPr>
            <w:tcW w:w="1418" w:type="dxa"/>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询证函办理</w:t>
            </w:r>
          </w:p>
        </w:tc>
        <w:tc>
          <w:tcPr>
            <w:tcW w:w="4831" w:type="dxa"/>
            <w:shd w:val="clear" w:color="auto" w:fill="auto"/>
            <w:vAlign w:val="center"/>
          </w:tcPr>
          <w:p>
            <w:pPr>
              <w:widowControl/>
              <w:tabs>
                <w:tab w:val="left" w:pos="312"/>
              </w:tabs>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机器人通过电子函证平台获取电子函证PDF文件或数据，与业务系统查询数据进行比对，给出相符性结果并在电子函证平台上完成回函操作。</w:t>
            </w:r>
          </w:p>
        </w:tc>
        <w:tc>
          <w:tcPr>
            <w:tcW w:w="1225" w:type="dxa"/>
            <w:vMerge w:val="restart"/>
            <w:shd w:val="clear" w:color="auto" w:fill="auto"/>
            <w:vAlign w:val="center"/>
          </w:tcPr>
          <w:p>
            <w:pPr>
              <w:tabs>
                <w:tab w:val="left" w:pos="312"/>
              </w:tabs>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结算部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62" w:type="dxa"/>
            <w:vMerge w:val="continue"/>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p>
        </w:tc>
        <w:tc>
          <w:tcPr>
            <w:tcW w:w="1418" w:type="dxa"/>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对账通知</w:t>
            </w:r>
          </w:p>
        </w:tc>
        <w:tc>
          <w:tcPr>
            <w:tcW w:w="4831" w:type="dxa"/>
            <w:shd w:val="clear" w:color="auto" w:fill="auto"/>
            <w:vAlign w:val="center"/>
          </w:tcPr>
          <w:p>
            <w:pPr>
              <w:widowControl/>
              <w:tabs>
                <w:tab w:val="left" w:pos="312"/>
              </w:tabs>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RPA机器人查询650余家成员单位每季度对账结果，对未完成对账的单位进行电话提醒，并对多次提醒后仍未对账单位进行记录和反馈。</w:t>
            </w:r>
          </w:p>
        </w:tc>
        <w:tc>
          <w:tcPr>
            <w:tcW w:w="1225" w:type="dxa"/>
            <w:vMerge w:val="continue"/>
            <w:shd w:val="clear" w:color="auto" w:fill="auto"/>
            <w:vAlign w:val="center"/>
          </w:tcPr>
          <w:p>
            <w:pPr>
              <w:widowControl/>
              <w:tabs>
                <w:tab w:val="left" w:pos="312"/>
              </w:tabs>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62" w:type="dxa"/>
            <w:vMerge w:val="continue"/>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p>
        </w:tc>
        <w:tc>
          <w:tcPr>
            <w:tcW w:w="1418" w:type="dxa"/>
            <w:shd w:val="clear" w:color="auto" w:fill="auto"/>
            <w:vAlign w:val="center"/>
          </w:tcPr>
          <w:p>
            <w:pPr>
              <w:widowControl/>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自动巡检</w:t>
            </w:r>
          </w:p>
        </w:tc>
        <w:tc>
          <w:tcPr>
            <w:tcW w:w="4831" w:type="dxa"/>
            <w:shd w:val="clear" w:color="auto" w:fill="auto"/>
            <w:vAlign w:val="center"/>
          </w:tcPr>
          <w:p>
            <w:pPr>
              <w:widowControl/>
              <w:tabs>
                <w:tab w:val="left" w:pos="312"/>
              </w:tabs>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通过RPA机器人监控运维系统中服务运行情况，发现异常时重启对应银行前置机服务器并重新启动脚本以及银行助手等，机器人在启动失败时可请求人工协助。银行前置机数量为30余台。</w:t>
            </w:r>
          </w:p>
        </w:tc>
        <w:tc>
          <w:tcPr>
            <w:tcW w:w="1225" w:type="dxa"/>
            <w:shd w:val="clear" w:color="auto" w:fill="auto"/>
            <w:vAlign w:val="center"/>
          </w:tcPr>
          <w:p>
            <w:pPr>
              <w:widowControl/>
              <w:tabs>
                <w:tab w:val="left" w:pos="312"/>
              </w:tabs>
              <w:spacing w:line="360" w:lineRule="auto"/>
              <w:jc w:val="left"/>
              <w:rPr>
                <w:rFonts w:hint="eastAsia" w:ascii="仿宋" w:hAnsi="仿宋" w:eastAsia="仿宋" w:cs="仿宋"/>
                <w:color w:val="000000" w:themeColor="text1"/>
                <w:kern w:val="0"/>
                <w:sz w:val="30"/>
                <w:szCs w:val="30"/>
                <w14:textFill>
                  <w14:solidFill>
                    <w14:schemeClr w14:val="tx1"/>
                  </w14:solidFill>
                </w14:textFill>
              </w:rPr>
            </w:pPr>
            <w:r>
              <w:rPr>
                <w:rFonts w:hint="eastAsia" w:ascii="仿宋" w:hAnsi="仿宋" w:eastAsia="仿宋" w:cs="仿宋"/>
                <w:color w:val="000000" w:themeColor="text1"/>
                <w:kern w:val="0"/>
                <w:sz w:val="30"/>
                <w:szCs w:val="30"/>
                <w14:textFill>
                  <w14:solidFill>
                    <w14:schemeClr w14:val="tx1"/>
                  </w14:solidFill>
                </w14:textFill>
              </w:rPr>
              <w:t>信息科技部</w:t>
            </w:r>
          </w:p>
        </w:tc>
      </w:tr>
    </w:tbl>
    <w:p>
      <w:pPr>
        <w:jc w:val="left"/>
        <w:outlineLvl w:val="2"/>
        <w:rPr>
          <w:rFonts w:hint="default" w:ascii="仿宋" w:hAnsi="仿宋" w:eastAsia="仿宋" w:cs="仿宋"/>
          <w:b/>
          <w:bCs/>
          <w:sz w:val="30"/>
          <w:szCs w:val="30"/>
          <w:lang w:val="en-US" w:eastAsia="zh-CN"/>
        </w:rPr>
      </w:pPr>
      <w:r>
        <w:rPr>
          <w:rFonts w:hint="eastAsia" w:ascii="仿宋" w:hAnsi="仿宋" w:eastAsia="仿宋" w:cs="仿宋"/>
          <w:b/>
          <w:bCs/>
          <w:sz w:val="30"/>
          <w:szCs w:val="30"/>
          <w:lang w:val="en-US" w:eastAsia="zh-CN"/>
        </w:rPr>
        <w:t>4.2.4.2 集成方案--朱凯强、黄鹏</w:t>
      </w:r>
    </w:p>
    <w:p>
      <w:pPr>
        <w:jc w:val="left"/>
        <w:outlineLvl w:val="2"/>
        <w:rPr>
          <w:rFonts w:hint="default" w:ascii="仿宋" w:hAnsi="仿宋" w:eastAsia="仿宋" w:cs="仿宋"/>
          <w:b/>
          <w:bCs/>
          <w:sz w:val="30"/>
          <w:szCs w:val="30"/>
          <w:lang w:val="en-US" w:eastAsia="zh-CN"/>
        </w:rPr>
      </w:pPr>
      <w:r>
        <w:rPr>
          <w:rFonts w:hint="eastAsia" w:ascii="仿宋" w:hAnsi="仿宋" w:eastAsia="仿宋" w:cs="仿宋"/>
          <w:b/>
          <w:bCs/>
          <w:sz w:val="30"/>
          <w:szCs w:val="30"/>
          <w:lang w:val="en-US" w:eastAsia="zh-CN"/>
        </w:rPr>
        <w:t>4.2.4.3 部署方案--朱凯强、黄鹏</w:t>
      </w:r>
    </w:p>
    <w:p>
      <w:pPr>
        <w:jc w:val="left"/>
        <w:outlineLvl w:val="2"/>
        <w:rPr>
          <w:rFonts w:hint="default" w:ascii="仿宋" w:hAnsi="仿宋" w:eastAsia="仿宋" w:cs="仿宋"/>
          <w:b/>
          <w:bCs/>
          <w:sz w:val="30"/>
          <w:szCs w:val="30"/>
          <w:lang w:val="en-US" w:eastAsia="zh-CN"/>
        </w:rPr>
      </w:pPr>
      <w:r>
        <w:rPr>
          <w:rFonts w:hint="eastAsia" w:ascii="仿宋" w:hAnsi="仿宋" w:eastAsia="仿宋" w:cs="仿宋"/>
          <w:b/>
          <w:bCs/>
          <w:sz w:val="30"/>
          <w:szCs w:val="30"/>
          <w:lang w:val="en-US" w:eastAsia="zh-CN"/>
        </w:rPr>
        <w:t>4.2.4.3 数据安全--朱凯强、黄鹏</w:t>
      </w:r>
    </w:p>
    <w:p>
      <w:pPr>
        <w:jc w:val="left"/>
        <w:rPr>
          <w:rFonts w:hint="eastAsia" w:ascii="仿宋" w:hAnsi="仿宋" w:eastAsia="仿宋" w:cs="仿宋"/>
          <w:b/>
          <w:bCs/>
          <w:color w:val="000000" w:themeColor="text1"/>
          <w:sz w:val="30"/>
          <w:szCs w:val="30"/>
          <w:lang w:val="en-US" w:eastAsia="zh-CN"/>
          <w14:textFill>
            <w14:solidFill>
              <w14:schemeClr w14:val="tx1"/>
            </w14:solidFill>
          </w14:textFill>
        </w:rPr>
      </w:pPr>
    </w:p>
    <w:p>
      <w:pPr>
        <w:jc w:val="left"/>
        <w:rPr>
          <w:rFonts w:hint="eastAsia" w:ascii="仿宋" w:hAnsi="仿宋" w:eastAsia="仿宋" w:cs="仿宋"/>
          <w:sz w:val="30"/>
          <w:szCs w:val="30"/>
          <w:lang w:val="en-US" w:eastAsia="zh-CN"/>
        </w:rPr>
      </w:pPr>
    </w:p>
    <w:p>
      <w:pPr>
        <w:jc w:val="left"/>
        <w:rPr>
          <w:rFonts w:hint="eastAsia" w:ascii="仿宋" w:hAnsi="仿宋" w:eastAsia="仿宋" w:cs="仿宋"/>
          <w:sz w:val="30"/>
          <w:szCs w:val="30"/>
          <w:lang w:val="en-US" w:eastAsia="zh-CN"/>
        </w:rPr>
      </w:pPr>
    </w:p>
    <w:p>
      <w:pPr>
        <w:jc w:val="left"/>
        <w:rPr>
          <w:rFonts w:hint="eastAsia" w:ascii="仿宋" w:hAnsi="仿宋" w:eastAsia="仿宋" w:cs="仿宋"/>
          <w:sz w:val="30"/>
          <w:szCs w:val="30"/>
          <w:lang w:val="en-US" w:eastAsia="zh-CN"/>
        </w:rPr>
      </w:pPr>
    </w:p>
    <w:p>
      <w:pPr>
        <w:jc w:val="left"/>
        <w:rPr>
          <w:rFonts w:hint="eastAsia" w:ascii="仿宋" w:hAnsi="仿宋" w:eastAsia="仿宋" w:cs="仿宋"/>
          <w:sz w:val="30"/>
          <w:szCs w:val="30"/>
          <w:lang w:val="en-US" w:eastAsia="zh-CN"/>
        </w:rPr>
      </w:pPr>
    </w:p>
    <w:p>
      <w:pPr>
        <w:jc w:val="left"/>
        <w:rPr>
          <w:rFonts w:hint="eastAsia" w:ascii="仿宋" w:hAnsi="仿宋" w:eastAsia="仿宋" w:cs="仿宋"/>
          <w:sz w:val="30"/>
          <w:szCs w:val="30"/>
          <w:lang w:val="en-US" w:eastAsia="zh-CN"/>
        </w:rPr>
      </w:pPr>
    </w:p>
    <w:p>
      <w:pPr>
        <w:jc w:val="left"/>
        <w:rPr>
          <w:rFonts w:hint="eastAsia" w:ascii="仿宋" w:hAnsi="仿宋" w:eastAsia="仿宋" w:cs="仿宋"/>
          <w:sz w:val="30"/>
          <w:szCs w:val="30"/>
          <w:lang w:val="en-US" w:eastAsia="zh-CN"/>
        </w:rPr>
      </w:pPr>
    </w:p>
    <w:p>
      <w:pPr>
        <w:jc w:val="left"/>
        <w:rPr>
          <w:rFonts w:hint="eastAsia" w:ascii="仿宋" w:hAnsi="仿宋" w:eastAsia="仿宋" w:cs="仿宋"/>
          <w:sz w:val="30"/>
          <w:szCs w:val="30"/>
          <w:lang w:val="en-US" w:eastAsia="zh-CN"/>
        </w:rPr>
      </w:pPr>
    </w:p>
    <w:p>
      <w:pPr>
        <w:jc w:val="left"/>
        <w:rPr>
          <w:rFonts w:hint="eastAsia" w:ascii="仿宋" w:hAnsi="仿宋" w:eastAsia="仿宋" w:cs="仿宋"/>
          <w:sz w:val="30"/>
          <w:szCs w:val="30"/>
          <w:lang w:val="en-US" w:eastAsia="zh-CN"/>
        </w:rPr>
      </w:pPr>
    </w:p>
    <w:p>
      <w:pPr>
        <w:jc w:val="left"/>
        <w:rPr>
          <w:rFonts w:hint="eastAsia" w:ascii="仿宋" w:hAnsi="仿宋" w:eastAsia="仿宋" w:cs="仿宋"/>
          <w:sz w:val="30"/>
          <w:szCs w:val="30"/>
          <w:lang w:val="en-US" w:eastAsia="zh-CN"/>
        </w:rPr>
      </w:pPr>
    </w:p>
    <w:p>
      <w:pPr>
        <w:jc w:val="left"/>
        <w:outlineLvl w:val="1"/>
        <w:rPr>
          <w:rFonts w:hint="default" w:ascii="仿宋" w:hAnsi="仿宋" w:eastAsia="仿宋" w:cs="仿宋"/>
          <w:b/>
          <w:bCs/>
          <w:sz w:val="30"/>
          <w:szCs w:val="30"/>
          <w:lang w:val="en-US" w:eastAsia="zh-CN"/>
        </w:rPr>
      </w:pPr>
      <w:r>
        <w:rPr>
          <w:rFonts w:hint="eastAsia" w:ascii="仿宋" w:hAnsi="仿宋" w:eastAsia="仿宋" w:cs="仿宋"/>
          <w:b/>
          <w:bCs/>
          <w:sz w:val="30"/>
          <w:szCs w:val="30"/>
          <w:lang w:val="en-US" w:eastAsia="zh-CN"/>
        </w:rPr>
        <w:t>4.3实施计划--徐畅</w:t>
      </w:r>
    </w:p>
    <w:p>
      <w:pPr>
        <w:jc w:val="left"/>
        <w:outlineLvl w:val="2"/>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4.3.1项目实施规划</w:t>
      </w:r>
    </w:p>
    <w:p>
      <w:pPr>
        <w:jc w:val="left"/>
        <w:outlineLvl w:val="3"/>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4.3.1.1项目实施原则</w:t>
      </w:r>
    </w:p>
    <w:p>
      <w:pPr>
        <w:jc w:val="left"/>
        <w:outlineLvl w:val="3"/>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4.3.1.2项目实施方法论</w:t>
      </w:r>
    </w:p>
    <w:p>
      <w:pPr>
        <w:jc w:val="left"/>
        <w:outlineLvl w:val="3"/>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4.3.1.3项目实施计划</w:t>
      </w:r>
    </w:p>
    <w:p>
      <w:pPr>
        <w:jc w:val="left"/>
        <w:outlineLvl w:val="2"/>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4.3.2项目里程碑与交付物</w:t>
      </w:r>
    </w:p>
    <w:p>
      <w:pPr>
        <w:jc w:val="left"/>
        <w:outlineLvl w:val="2"/>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4.3.3项目实施组织保障</w:t>
      </w:r>
    </w:p>
    <w:p>
      <w:pPr>
        <w:jc w:val="left"/>
        <w:outlineLvl w:val="2"/>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4.3.4知识转移</w:t>
      </w:r>
    </w:p>
    <w:p>
      <w:pPr>
        <w:jc w:val="left"/>
        <w:outlineLvl w:val="2"/>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4.3.5售后服务</w:t>
      </w:r>
    </w:p>
    <w:p>
      <w:pPr>
        <w:jc w:val="left"/>
        <w:outlineLvl w:val="2"/>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4.3.6知识产权承诺</w:t>
      </w:r>
    </w:p>
    <w:p>
      <w:pPr>
        <w:jc w:val="left"/>
        <w:rPr>
          <w:rFonts w:hint="eastAsia" w:ascii="仿宋" w:hAnsi="仿宋" w:eastAsia="仿宋" w:cs="仿宋"/>
          <w:sz w:val="30"/>
          <w:szCs w:val="30"/>
          <w:lang w:val="en-US" w:eastAsia="zh-CN"/>
        </w:rPr>
      </w:pPr>
    </w:p>
    <w:p>
      <w:pPr>
        <w:jc w:val="left"/>
        <w:rPr>
          <w:rFonts w:hint="eastAsia" w:ascii="仿宋" w:hAnsi="仿宋" w:eastAsia="仿宋" w:cs="仿宋"/>
          <w:sz w:val="30"/>
          <w:szCs w:val="30"/>
          <w:lang w:val="en-US" w:eastAsia="zh-CN"/>
        </w:rPr>
      </w:pPr>
    </w:p>
    <w:p>
      <w:pPr>
        <w:jc w:val="left"/>
        <w:rPr>
          <w:rFonts w:hint="eastAsia" w:ascii="仿宋" w:hAnsi="仿宋" w:eastAsia="仿宋" w:cs="仿宋"/>
          <w:sz w:val="30"/>
          <w:szCs w:val="30"/>
          <w:lang w:val="en-US" w:eastAsia="zh-CN"/>
        </w:rPr>
      </w:pPr>
    </w:p>
    <w:p>
      <w:pPr>
        <w:jc w:val="left"/>
        <w:rPr>
          <w:rFonts w:hint="eastAsia" w:ascii="仿宋" w:hAnsi="仿宋" w:eastAsia="仿宋" w:cs="仿宋"/>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11CA7"/>
    <w:multiLevelType w:val="multilevel"/>
    <w:tmpl w:val="09011CA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9BAB51"/>
    <w:multiLevelType w:val="singleLevel"/>
    <w:tmpl w:val="609BAB51"/>
    <w:lvl w:ilvl="0" w:tentative="0">
      <w:start w:val="1"/>
      <w:numFmt w:val="decimal"/>
      <w:lvlText w:val="%1."/>
      <w:lvlJc w:val="left"/>
      <w:pPr>
        <w:ind w:left="420" w:hanging="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RlMjdmMThiOWYzZjkzNmY2MTBiMmE2MzhkMWQxNTEifQ=="/>
  </w:docVars>
  <w:rsids>
    <w:rsidRoot w:val="00000000"/>
    <w:rsid w:val="079828BD"/>
    <w:rsid w:val="23F31239"/>
    <w:rsid w:val="49741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rPr>
      <w:rFonts w:ascii="Times New Roman" w:hAnsi="Times New Roman"/>
      <w:szCs w:val="20"/>
    </w:rPr>
  </w:style>
  <w:style w:type="table" w:styleId="4">
    <w:name w:val="Table Grid"/>
    <w:basedOn w:val="3"/>
    <w:qFormat/>
    <w:uiPriority w:val="39"/>
    <w:pPr>
      <w:widowControl w:val="0"/>
      <w:adjustRightInd w:val="0"/>
      <w:spacing w:line="400" w:lineRule="atLeast"/>
      <w:ind w:firstLine="482"/>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annotation reference"/>
    <w:qFormat/>
    <w:uiPriority w:val="0"/>
    <w:rPr>
      <w:rFonts w:cs="Times New Roman"/>
      <w:sz w:val="21"/>
    </w:rPr>
  </w:style>
  <w:style w:type="paragraph" w:customStyle="1" w:styleId="7">
    <w:name w:val="列表段落1"/>
    <w:basedOn w:val="1"/>
    <w:unhideWhenUsed/>
    <w:qFormat/>
    <w:uiPriority w:val="34"/>
    <w:pPr>
      <w:ind w:firstLine="420" w:firstLineChars="200"/>
    </w:pPr>
  </w:style>
  <w:style w:type="paragraph"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2717</Words>
  <Characters>3054</Characters>
  <Lines>0</Lines>
  <Paragraphs>0</Paragraphs>
  <TotalTime>1</TotalTime>
  <ScaleCrop>false</ScaleCrop>
  <LinksUpToDate>false</LinksUpToDate>
  <CharactersWithSpaces>3095</CharactersWithSpaces>
  <Application>WPS Office_11.8.2.12187_F1E327BC-269C-435d-A152-05C5408002CA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2022-05-19T01:50:00Z</dcterms:created>
  <dc:creator>yqsu2</dc:creator>
  <cp:lastModifiedBy>宗琦</cp:lastModifiedBy>
  <dcterms:modified xsi:type="dcterms:W3CDTF">2024-04-09T12:33:19Z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2052-11.8.2.12187</vt:lpwstr>
  </property>
  <property fmtid="{D5CDD505-2E9C-101B-9397-08002B2CF9AE}" pid="3" name="ICV">
    <vt:lpwstr>02F56A5F30CB4BFB975298AB77D9D7CF</vt:lpwstr>
  </property>
  <property fmtid="{D5CDD505-2E9C-101B-9397-08002B2CF9AE}" pid="4" name="CWM7c11f4c0f66711ee8000399400003894">
    <vt:lpwstr>CWM5FzC4v0g+7gyj/ctmNVi5bzvpyIx9/H+FkqzOUY7kWjjpEnYnfTOLZ104v8orzS9HxKmKFQSy7Avk2ZdCnrS4g==</vt:lpwstr>
  </property>
</Properties>
</file>