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6DE40"/>
    <w:p w14:paraId="5AF917E9">
      <w:pPr>
        <w:tabs>
          <w:tab w:val="left" w:pos="940"/>
        </w:tabs>
        <w:rPr>
          <w:b/>
          <w:bCs/>
          <w:sz w:val="44"/>
          <w:szCs w:val="72"/>
        </w:rPr>
      </w:pPr>
      <w:r>
        <w:rPr>
          <w:b/>
          <w:bCs/>
          <w:sz w:val="44"/>
          <w:szCs w:val="72"/>
        </w:rPr>
        <w:t xml:space="preserve">Visualization Project: </w:t>
      </w:r>
    </w:p>
    <w:p w14:paraId="21173D9B"/>
    <w:p w14:paraId="13A335BC">
      <w:pPr>
        <w:tabs>
          <w:tab w:val="left" w:pos="940"/>
        </w:tabs>
        <w:rPr>
          <w:sz w:val="44"/>
          <w:szCs w:val="72"/>
        </w:rPr>
      </w:pPr>
      <w:r>
        <w:rPr>
          <w:sz w:val="44"/>
          <w:szCs w:val="72"/>
        </w:rPr>
        <w:t>Interactive Dashboard for Tuberculosis (TB) Data (1990–2013, with optional 2024 update)</w:t>
      </w:r>
    </w:p>
    <w:p w14:paraId="77511947">
      <w:pPr>
        <w:tabs>
          <w:tab w:val="left" w:pos="940"/>
        </w:tabs>
        <w:rPr>
          <w:sz w:val="44"/>
          <w:szCs w:val="72"/>
        </w:rPr>
      </w:pPr>
    </w:p>
    <w:p w14:paraId="6BA5C6B0">
      <w:pPr>
        <w:tabs>
          <w:tab w:val="left" w:pos="940"/>
        </w:tabs>
        <w:ind w:left="5760"/>
        <w:rPr>
          <w:sz w:val="44"/>
          <w:szCs w:val="72"/>
        </w:rPr>
      </w:pPr>
      <w:r>
        <w:rPr>
          <w:rFonts w:hint="default"/>
          <w:sz w:val="44"/>
          <w:szCs w:val="72"/>
          <w:lang w:val="en-US"/>
        </w:rPr>
        <w:t xml:space="preserve">By </w:t>
      </w:r>
      <w:r>
        <w:rPr>
          <w:sz w:val="44"/>
          <w:szCs w:val="72"/>
        </w:rPr>
        <w:br w:type="textWrapping"/>
      </w:r>
      <w:r>
        <w:rPr>
          <w:sz w:val="44"/>
          <w:szCs w:val="72"/>
        </w:rPr>
        <w:t xml:space="preserve">Surafel Asfawosen </w:t>
      </w:r>
    </w:p>
    <w:p w14:paraId="49C5C7BF">
      <w:pPr>
        <w:tabs>
          <w:tab w:val="left" w:pos="940"/>
        </w:tabs>
        <w:ind w:left="5760"/>
        <w:rPr>
          <w:sz w:val="44"/>
          <w:szCs w:val="72"/>
        </w:rPr>
      </w:pPr>
    </w:p>
    <w:p w14:paraId="1A0CA342">
      <w:pPr>
        <w:tabs>
          <w:tab w:val="left" w:pos="940"/>
        </w:tabs>
        <w:ind w:left="5760"/>
        <w:rPr>
          <w:sz w:val="44"/>
          <w:szCs w:val="72"/>
        </w:rPr>
      </w:pPr>
    </w:p>
    <w:p w14:paraId="21689A57">
      <w:pPr>
        <w:tabs>
          <w:tab w:val="left" w:pos="940"/>
        </w:tabs>
        <w:ind w:left="5760"/>
        <w:rPr>
          <w:sz w:val="44"/>
          <w:szCs w:val="72"/>
        </w:rPr>
      </w:pPr>
    </w:p>
    <w:p w14:paraId="0F927C5C">
      <w:pPr>
        <w:tabs>
          <w:tab w:val="left" w:pos="940"/>
        </w:tabs>
        <w:ind w:left="5760"/>
        <w:rPr>
          <w:sz w:val="44"/>
          <w:szCs w:val="72"/>
        </w:rPr>
      </w:pPr>
    </w:p>
    <w:p w14:paraId="2BB56E0B">
      <w:pPr>
        <w:tabs>
          <w:tab w:val="left" w:pos="940"/>
        </w:tabs>
        <w:ind w:left="5760"/>
        <w:rPr>
          <w:sz w:val="44"/>
          <w:szCs w:val="72"/>
        </w:rPr>
      </w:pPr>
    </w:p>
    <w:p w14:paraId="4DC0D591">
      <w:pPr>
        <w:tabs>
          <w:tab w:val="left" w:pos="940"/>
        </w:tabs>
        <w:ind w:left="5760"/>
        <w:rPr>
          <w:sz w:val="44"/>
          <w:szCs w:val="72"/>
        </w:rPr>
      </w:pPr>
    </w:p>
    <w:p w14:paraId="18FE0E7B">
      <w:pPr>
        <w:tabs>
          <w:tab w:val="left" w:pos="940"/>
        </w:tabs>
        <w:ind w:left="5760"/>
        <w:rPr>
          <w:sz w:val="44"/>
          <w:szCs w:val="72"/>
        </w:rPr>
      </w:pPr>
    </w:p>
    <w:p w14:paraId="44815B2A">
      <w:pPr>
        <w:tabs>
          <w:tab w:val="left" w:pos="940"/>
        </w:tabs>
        <w:ind w:left="5760"/>
        <w:rPr>
          <w:sz w:val="44"/>
          <w:szCs w:val="72"/>
        </w:rPr>
      </w:pPr>
    </w:p>
    <w:p w14:paraId="0FA3D3B0">
      <w:pPr>
        <w:tabs>
          <w:tab w:val="left" w:pos="940"/>
        </w:tabs>
        <w:ind w:left="5760"/>
        <w:rPr>
          <w:sz w:val="44"/>
          <w:szCs w:val="72"/>
        </w:rPr>
      </w:pPr>
      <w:bookmarkStart w:id="0" w:name="_GoBack"/>
      <w:bookmarkEnd w:id="0"/>
    </w:p>
    <w:p w14:paraId="12BEF079">
      <w:pPr>
        <w:tabs>
          <w:tab w:val="left" w:pos="940"/>
        </w:tabs>
        <w:ind w:left="5760"/>
        <w:rPr>
          <w:sz w:val="44"/>
          <w:szCs w:val="72"/>
        </w:rPr>
      </w:pPr>
    </w:p>
    <w:p w14:paraId="21082C6E">
      <w:pPr>
        <w:tabs>
          <w:tab w:val="left" w:pos="940"/>
        </w:tabs>
        <w:ind w:left="5760"/>
        <w:rPr>
          <w:sz w:val="44"/>
          <w:szCs w:val="72"/>
        </w:rPr>
      </w:pPr>
    </w:p>
    <w:p w14:paraId="02323303">
      <w:pPr>
        <w:tabs>
          <w:tab w:val="left" w:pos="940"/>
        </w:tabs>
        <w:ind w:left="5760"/>
        <w:rPr>
          <w:sz w:val="44"/>
          <w:szCs w:val="72"/>
        </w:rPr>
      </w:pPr>
    </w:p>
    <w:p w14:paraId="267CDBC6">
      <w:pPr>
        <w:tabs>
          <w:tab w:val="left" w:pos="940"/>
        </w:tabs>
        <w:ind w:left="5760"/>
        <w:rPr>
          <w:sz w:val="44"/>
          <w:szCs w:val="72"/>
        </w:rPr>
      </w:pPr>
    </w:p>
    <w:p w14:paraId="6CFC1ED9">
      <w:pPr>
        <w:tabs>
          <w:tab w:val="left" w:pos="940"/>
        </w:tabs>
        <w:ind w:left="5760"/>
        <w:rPr>
          <w:sz w:val="44"/>
          <w:szCs w:val="72"/>
        </w:rPr>
      </w:pPr>
    </w:p>
    <w:p w14:paraId="4FD1D6D2">
      <w:pPr>
        <w:tabs>
          <w:tab w:val="left" w:pos="940"/>
        </w:tabs>
        <w:ind w:left="5760"/>
        <w:rPr>
          <w:sz w:val="44"/>
          <w:szCs w:val="72"/>
        </w:rPr>
      </w:pPr>
    </w:p>
    <w:p w14:paraId="50298D0B">
      <w:pPr>
        <w:tabs>
          <w:tab w:val="left" w:pos="940"/>
        </w:tabs>
        <w:ind w:left="5760"/>
        <w:rPr>
          <w:sz w:val="44"/>
          <w:szCs w:val="72"/>
        </w:rPr>
      </w:pPr>
    </w:p>
    <w:p w14:paraId="23E2E741">
      <w:pPr>
        <w:tabs>
          <w:tab w:val="left" w:pos="940"/>
        </w:tabs>
        <w:ind w:left="5760"/>
        <w:rPr>
          <w:sz w:val="44"/>
          <w:szCs w:val="72"/>
        </w:rPr>
      </w:pPr>
    </w:p>
    <w:p w14:paraId="59D9AC40">
      <w:pPr>
        <w:tabs>
          <w:tab w:val="left" w:pos="940"/>
        </w:tabs>
        <w:ind w:left="5760"/>
        <w:rPr>
          <w:sz w:val="44"/>
          <w:szCs w:val="72"/>
        </w:rPr>
      </w:pPr>
    </w:p>
    <w:p w14:paraId="51C45016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📊</w:t>
      </w:r>
      <w:r>
        <w:rPr>
          <w:b/>
          <w:bCs/>
          <w:sz w:val="32"/>
          <w:szCs w:val="32"/>
        </w:rPr>
        <w:t xml:space="preserve"> TB Interactive Dashboard Documentation</w:t>
      </w:r>
    </w:p>
    <w:p w14:paraId="432AC5E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F5E9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🔧 </w:t>
      </w:r>
      <w:r>
        <w:rPr>
          <w:rFonts w:ascii="Segoe UI Emoji" w:hAnsi="Segoe UI Emoji" w:cs="Segoe UI Emoji"/>
          <w:b/>
          <w:bCs/>
        </w:rPr>
        <w:t>Data Preparation &amp; Cleaning (Final Version)</w:t>
      </w:r>
    </w:p>
    <w:p w14:paraId="28FBC53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The TB dataset covering the years 1990 to 2013 (with optional 2024 update) was first loaded into Power Query Editor in Power BI. The following preprocessing steps were performed:</w:t>
      </w:r>
    </w:p>
    <w:p w14:paraId="5DCA3921">
      <w:pPr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Column Renaming:</w:t>
      </w:r>
      <w:r>
        <w:rPr>
          <w:rFonts w:ascii="Segoe UI Emoji" w:hAnsi="Segoe UI Emoji" w:cs="Segoe UI Emoji"/>
        </w:rPr>
        <w:br w:type="textWrapping"/>
      </w:r>
      <w:r>
        <w:rPr>
          <w:rFonts w:ascii="Segoe UI Emoji" w:hAnsi="Segoe UI Emoji" w:cs="Segoe UI Emoji"/>
        </w:rPr>
        <w:t>For clarity and consistency, columns were renamed (e.g., "Incidence rate per 100,000" → "Incidence per 100k", "Total Cases" → "Total TB Cases").</w:t>
      </w:r>
    </w:p>
    <w:p w14:paraId="31FE98E1">
      <w:pPr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Data Types Converted:</w:t>
      </w:r>
      <w:r>
        <w:rPr>
          <w:rFonts w:ascii="Segoe UI Emoji" w:hAnsi="Segoe UI Emoji" w:cs="Segoe UI Emoji"/>
        </w:rPr>
        <w:br w:type="textWrapping"/>
      </w:r>
      <w:r>
        <w:rPr>
          <w:rFonts w:ascii="Segoe UI Emoji" w:hAnsi="Segoe UI Emoji" w:cs="Segoe UI Emoji"/>
        </w:rPr>
        <w:t>Ensured proper column types:</w:t>
      </w:r>
    </w:p>
    <w:p w14:paraId="0F3BCD2D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"Year", "Population", "Total TB Cases", "TB Deaths", "HIV-TB Deaths" → Integer</w:t>
      </w:r>
    </w:p>
    <w:p w14:paraId="043AFE3C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"Incidence per 100k", "Mortality per 100k", "Case Detection Rate (%)" → Decimal</w:t>
      </w:r>
    </w:p>
    <w:p w14:paraId="6637F0D4">
      <w:pPr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Handling Missing Values:</w:t>
      </w:r>
      <w:r>
        <w:rPr>
          <w:rFonts w:ascii="Segoe UI Emoji" w:hAnsi="Segoe UI Emoji" w:cs="Segoe UI Emoji"/>
          <w:b/>
          <w:bCs/>
        </w:rPr>
        <w:br w:type="textWrapping"/>
      </w:r>
      <w:r>
        <w:rPr>
          <w:rFonts w:ascii="Segoe UI Emoji" w:hAnsi="Segoe UI Emoji" w:cs="Segoe UI Emoji"/>
        </w:rPr>
        <w:t>Missing data was imputed using context-appropriate methods:</w:t>
      </w:r>
    </w:p>
    <w:p w14:paraId="0B1ED53A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Mean</w:t>
      </w:r>
      <w:r>
        <w:rPr>
          <w:rFonts w:ascii="Segoe UI Emoji" w:hAnsi="Segoe UI Emoji" w:cs="Segoe UI Emoji"/>
        </w:rPr>
        <w:t xml:space="preserve"> Imputation was applied to numerical rate-based variables:</w:t>
      </w:r>
    </w:p>
    <w:p w14:paraId="38E6CE3D">
      <w:pPr>
        <w:numPr>
          <w:ilvl w:val="2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</w:t>
      </w:r>
      <w:r>
        <w:t xml:space="preserve"> </w:t>
      </w:r>
      <w:r>
        <w:rPr>
          <w:rFonts w:ascii="Segoe UI Emoji" w:hAnsi="Segoe UI Emoji" w:cs="Segoe UI Emoji"/>
        </w:rPr>
        <w:t>Case Detection Rate (%)"</w:t>
      </w:r>
    </w:p>
    <w:p w14:paraId="7A39FF1C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Mode</w:t>
      </w:r>
      <w:r>
        <w:rPr>
          <w:rFonts w:ascii="Segoe UI Emoji" w:hAnsi="Segoe UI Emoji" w:cs="Segoe UI Emoji"/>
        </w:rPr>
        <w:t xml:space="preserve"> Imputation was applied to the following:</w:t>
      </w:r>
    </w:p>
    <w:p w14:paraId="1DFCCEDC">
      <w:pPr>
        <w:numPr>
          <w:ilvl w:val="2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</w:t>
      </w:r>
      <w:r>
        <w:t xml:space="preserve"> </w:t>
      </w:r>
      <w:r>
        <w:rPr>
          <w:rFonts w:ascii="Segoe UI Emoji" w:hAnsi="Segoe UI Emoji" w:cs="Segoe UI Emoji"/>
        </w:rPr>
        <w:t xml:space="preserve">HIV-TB Incidence per 100k" </w:t>
      </w:r>
      <w:r>
        <w:rPr>
          <w:rFonts w:ascii="Segoe UI Emoji" w:hAnsi="Segoe UI Emoji" w:cs="Segoe UI Emoji"/>
          <w:i/>
          <w:iCs/>
        </w:rPr>
        <w:t>(due to skewed distribution)</w:t>
      </w:r>
    </w:p>
    <w:p w14:paraId="320124D6">
      <w:pPr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Feature Selection</w:t>
      </w:r>
      <w:r>
        <w:rPr>
          <w:rFonts w:ascii="Segoe UI Emoji" w:hAnsi="Segoe UI Emoji" w:cs="Segoe UI Emoji"/>
        </w:rPr>
        <w:t>: The following features were retained for analysis based on their importance in evaluating TB trends and outcomes:</w:t>
      </w:r>
    </w:p>
    <w:p w14:paraId="70EEF0F8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"Total TB Cases"</w:t>
      </w:r>
    </w:p>
    <w:p w14:paraId="199F4206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"TB Deaths"</w:t>
      </w:r>
    </w:p>
    <w:p w14:paraId="0DB49143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"Incidence per 100k"</w:t>
      </w:r>
    </w:p>
    <w:p w14:paraId="633569D7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"Mortality per 100k"</w:t>
      </w:r>
    </w:p>
    <w:p w14:paraId="132A4748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"HIV-TB Incidence per 100k"</w:t>
      </w:r>
    </w:p>
    <w:p w14:paraId="57FD5764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"HIV-TB Deaths"</w:t>
      </w:r>
    </w:p>
    <w:p w14:paraId="2D0E870C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"Case Detection Rate (%)"</w:t>
      </w:r>
    </w:p>
    <w:p w14:paraId="215FAA88">
      <w:pPr>
        <w:numPr>
          <w:ilvl w:val="1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"Population"</w:t>
      </w:r>
    </w:p>
    <w:p w14:paraId="694BD41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F9ACC">
      <w:pPr>
        <w:rPr>
          <w:rFonts w:ascii="Segoe UI Emoji" w:hAnsi="Segoe UI Emoji" w:cs="Segoe UI Emoji"/>
          <w:b/>
          <w:bCs/>
        </w:rPr>
      </w:pPr>
    </w:p>
    <w:p w14:paraId="7C9F1DE4">
      <w:pPr>
        <w:rPr>
          <w:rFonts w:ascii="Segoe UI Emoji" w:hAnsi="Segoe UI Emoji" w:cs="Segoe UI Emoji"/>
          <w:b/>
          <w:bCs/>
        </w:rPr>
      </w:pPr>
    </w:p>
    <w:p w14:paraId="6D4E86A7">
      <w:pPr>
        <w:rPr>
          <w:rFonts w:ascii="Segoe UI Emoji" w:hAnsi="Segoe UI Emoji" w:cs="Segoe UI Emoji"/>
          <w:b/>
          <w:bCs/>
        </w:rPr>
      </w:pPr>
    </w:p>
    <w:p w14:paraId="63019A8D">
      <w:pPr>
        <w:rPr>
          <w:rFonts w:ascii="Segoe UI Emoji" w:hAnsi="Segoe UI Emoji" w:cs="Segoe UI Emoji"/>
          <w:b/>
          <w:bCs/>
        </w:rPr>
      </w:pPr>
    </w:p>
    <w:p w14:paraId="52B44F73">
      <w:pPr>
        <w:rPr>
          <w:rFonts w:ascii="Segoe UI Emoji" w:hAnsi="Segoe UI Emoji" w:cs="Segoe UI Emoji"/>
          <w:b/>
          <w:bCs/>
        </w:rPr>
      </w:pPr>
    </w:p>
    <w:p w14:paraId="6BD2DE88">
      <w:pPr>
        <w:rPr>
          <w:rFonts w:ascii="Segoe UI Emoji" w:hAnsi="Segoe UI Emoji" w:cs="Segoe UI Emoji"/>
          <w:b/>
          <w:bCs/>
        </w:rPr>
      </w:pPr>
    </w:p>
    <w:p w14:paraId="628B4424">
      <w:pPr>
        <w:rPr>
          <w:rFonts w:ascii="Segoe UI Emoji" w:hAnsi="Segoe UI Emoji" w:cs="Segoe UI Emoji"/>
          <w:b/>
          <w:bCs/>
        </w:rPr>
      </w:pPr>
    </w:p>
    <w:p w14:paraId="16E960FF">
      <w:pPr>
        <w:rPr>
          <w:rFonts w:ascii="Segoe UI Emoji" w:hAnsi="Segoe UI Emoji" w:cs="Segoe UI Emoji"/>
          <w:b/>
          <w:bCs/>
        </w:rPr>
      </w:pPr>
    </w:p>
    <w:p w14:paraId="76CCD0A8">
      <w:pPr>
        <w:rPr>
          <w:rFonts w:ascii="Segoe UI Emoji" w:hAnsi="Segoe UI Emoji" w:cs="Segoe UI Emoji"/>
          <w:b/>
          <w:bCs/>
        </w:rPr>
      </w:pPr>
    </w:p>
    <w:p w14:paraId="4F9F9181">
      <w:pPr>
        <w:rPr>
          <w:rFonts w:ascii="Segoe UI Emoji" w:hAnsi="Segoe UI Emoji" w:cs="Segoe UI Emoji"/>
          <w:b/>
          <w:bCs/>
        </w:rPr>
      </w:pPr>
    </w:p>
    <w:p w14:paraId="408EDCB5">
      <w:pPr>
        <w:rPr>
          <w:rFonts w:ascii="Segoe UI Emoji" w:hAnsi="Segoe UI Emoji" w:cs="Segoe UI Emoji"/>
          <w:b/>
          <w:bCs/>
        </w:rPr>
      </w:pPr>
    </w:p>
    <w:p w14:paraId="31EE4425">
      <w:pPr>
        <w:rPr>
          <w:rFonts w:ascii="Segoe UI Emoji" w:hAnsi="Segoe UI Emoji" w:cs="Segoe UI Emoji"/>
          <w:b/>
          <w:bCs/>
        </w:rPr>
      </w:pPr>
    </w:p>
    <w:p w14:paraId="02DDDE69">
      <w:pPr>
        <w:rPr>
          <w:rFonts w:ascii="Segoe UI Emoji" w:hAnsi="Segoe UI Emoji" w:cs="Segoe UI Emoji"/>
          <w:b/>
          <w:bCs/>
        </w:rPr>
      </w:pPr>
    </w:p>
    <w:p w14:paraId="5D9614B7">
      <w:pPr>
        <w:rPr>
          <w:rFonts w:ascii="Segoe UI Emoji" w:hAnsi="Segoe UI Emoji" w:cs="Segoe UI Emoji"/>
          <w:b/>
          <w:bCs/>
        </w:rPr>
      </w:pPr>
    </w:p>
    <w:p w14:paraId="2BBA43C8">
      <w:pPr>
        <w:rPr>
          <w:rFonts w:ascii="Segoe UI Emoji" w:hAnsi="Segoe UI Emoji" w:cs="Segoe UI Emoji"/>
          <w:b/>
          <w:bCs/>
        </w:rPr>
      </w:pPr>
    </w:p>
    <w:p w14:paraId="1D15A772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📈</w:t>
      </w:r>
      <w:r>
        <w:rPr>
          <w:b/>
          <w:bCs/>
          <w:sz w:val="32"/>
          <w:szCs w:val="32"/>
        </w:rPr>
        <w:t xml:space="preserve"> Visualizations &amp; Dashboard Features</w:t>
      </w:r>
    </w:p>
    <w:p w14:paraId="2E6E2593">
      <w:pPr>
        <w:rPr>
          <w:b/>
          <w:bCs/>
          <w:sz w:val="32"/>
          <w:szCs w:val="32"/>
        </w:rPr>
      </w:pPr>
    </w:p>
    <w:p w14:paraId="62C56F64">
      <w:r>
        <w:t>The interactive dashboard includes the following key components:</w:t>
      </w:r>
    </w:p>
    <w:p w14:paraId="4A6248C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Slicers (Interactive Filters)</w:t>
      </w:r>
    </w:p>
    <w:p w14:paraId="378EAD8B">
      <w:pPr>
        <w:numPr>
          <w:ilvl w:val="0"/>
          <w:numId w:val="2"/>
        </w:numPr>
      </w:pPr>
      <w:r>
        <w:rPr>
          <w:b/>
          <w:bCs/>
        </w:rPr>
        <w:t>Year</w:t>
      </w:r>
      <w:r>
        <w:t xml:space="preserve"> (1990–2013; 2024 for updated dataset)</w:t>
      </w:r>
    </w:p>
    <w:p w14:paraId="77A490A0">
      <w:pPr>
        <w:numPr>
          <w:ilvl w:val="0"/>
          <w:numId w:val="2"/>
        </w:numPr>
      </w:pPr>
      <w:r>
        <w:rPr>
          <w:b/>
          <w:bCs/>
        </w:rPr>
        <w:t>Country</w:t>
      </w:r>
    </w:p>
    <w:p w14:paraId="7F4D2FE0">
      <w:pPr>
        <w:numPr>
          <w:ilvl w:val="0"/>
          <w:numId w:val="2"/>
        </w:numPr>
      </w:pPr>
      <w:r>
        <w:rPr>
          <w:b/>
          <w:bCs/>
        </w:rPr>
        <w:t>Region</w:t>
      </w:r>
    </w:p>
    <w:p w14:paraId="5820EF24">
      <w:r>
        <w:t>These slicers allow users to filter the dashboard and explore trends for specific years, regions, or countries.</w:t>
      </w:r>
    </w:p>
    <w:p w14:paraId="19F440AF"/>
    <w:p w14:paraId="4B4F4B4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KPIs (Key Performance Indicators)</w:t>
      </w:r>
    </w:p>
    <w:p w14:paraId="3C070D73">
      <w:pPr>
        <w:numPr>
          <w:ilvl w:val="0"/>
          <w:numId w:val="3"/>
        </w:numPr>
      </w:pPr>
      <w:r>
        <w:rPr>
          <w:b/>
          <w:bCs/>
        </w:rPr>
        <w:t>Total TB Cases (sum)</w:t>
      </w:r>
    </w:p>
    <w:p w14:paraId="759BD2E2">
      <w:pPr>
        <w:numPr>
          <w:ilvl w:val="0"/>
          <w:numId w:val="3"/>
        </w:numPr>
      </w:pPr>
      <w:r>
        <w:rPr>
          <w:b/>
          <w:bCs/>
        </w:rPr>
        <w:t>TB Incidence per 100,000 population</w:t>
      </w:r>
    </w:p>
    <w:p w14:paraId="0C153672">
      <w:pPr>
        <w:numPr>
          <w:ilvl w:val="0"/>
          <w:numId w:val="3"/>
        </w:numPr>
      </w:pPr>
      <w:r>
        <w:rPr>
          <w:b/>
          <w:bCs/>
        </w:rPr>
        <w:t>Sum of Tb-deaths by year</w:t>
      </w:r>
    </w:p>
    <w:p w14:paraId="75F62DB2">
      <w:r>
        <w:t>These KPIs dynamically respond to slicer inputs (year, country, region), providing quick insight into the TB burden.</w:t>
      </w:r>
    </w:p>
    <w:p w14:paraId="2D1AA05F"/>
    <w:p w14:paraId="004400C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Visualizations</w:t>
      </w:r>
    </w:p>
    <w:p w14:paraId="4BDE7030">
      <w:pPr>
        <w:numPr>
          <w:ilvl w:val="0"/>
          <w:numId w:val="4"/>
        </w:numPr>
      </w:pPr>
      <w:r>
        <w:rPr>
          <w:b/>
          <w:bCs/>
        </w:rPr>
        <w:t>Line Chart</w:t>
      </w:r>
      <w:r>
        <w:t>:</w:t>
      </w:r>
    </w:p>
    <w:p w14:paraId="2F82CD7D">
      <w:pPr>
        <w:numPr>
          <w:ilvl w:val="1"/>
          <w:numId w:val="4"/>
        </w:numPr>
      </w:pPr>
      <w:r>
        <w:rPr>
          <w:b/>
          <w:bCs/>
        </w:rPr>
        <w:t>X-axis</w:t>
      </w:r>
      <w:r>
        <w:t>: Year</w:t>
      </w:r>
    </w:p>
    <w:p w14:paraId="4811F36D">
      <w:pPr>
        <w:numPr>
          <w:ilvl w:val="1"/>
          <w:numId w:val="4"/>
        </w:numPr>
      </w:pPr>
      <w:r>
        <w:rPr>
          <w:b/>
          <w:bCs/>
        </w:rPr>
        <w:t>Y-axis</w:t>
      </w:r>
      <w:r>
        <w:t>: Total TB Cases</w:t>
      </w:r>
    </w:p>
    <w:p w14:paraId="73B46D38">
      <w:pPr>
        <w:numPr>
          <w:ilvl w:val="1"/>
          <w:numId w:val="4"/>
        </w:numPr>
      </w:pPr>
      <w:r>
        <w:rPr>
          <w:b/>
          <w:bCs/>
        </w:rPr>
        <w:t>Legend</w:t>
      </w:r>
      <w:r>
        <w:t>: Region</w:t>
      </w:r>
    </w:p>
    <w:p w14:paraId="6BCEE844">
      <w:pPr>
        <w:numPr>
          <w:ilvl w:val="1"/>
          <w:numId w:val="4"/>
        </w:numPr>
      </w:pPr>
      <w:r>
        <w:rPr>
          <w:i/>
          <w:iCs/>
        </w:rPr>
        <w:t>Purpose</w:t>
      </w:r>
      <w:r>
        <w:t>: To observe and compare trends in TB cases across different regions over time.</w:t>
      </w:r>
    </w:p>
    <w:p w14:paraId="7BB15A55">
      <w:pPr>
        <w:numPr>
          <w:ilvl w:val="0"/>
          <w:numId w:val="4"/>
        </w:numPr>
      </w:pPr>
      <w:r>
        <w:rPr>
          <w:b/>
          <w:bCs/>
        </w:rPr>
        <w:t>Bar Chart</w:t>
      </w:r>
      <w:r>
        <w:t>:</w:t>
      </w:r>
    </w:p>
    <w:p w14:paraId="5DE362CB">
      <w:pPr>
        <w:numPr>
          <w:ilvl w:val="1"/>
          <w:numId w:val="4"/>
        </w:numPr>
      </w:pPr>
      <w:r>
        <w:rPr>
          <w:b/>
          <w:bCs/>
        </w:rPr>
        <w:t>X-axis</w:t>
      </w:r>
      <w:r>
        <w:t>: Country</w:t>
      </w:r>
    </w:p>
    <w:p w14:paraId="7751DF95">
      <w:pPr>
        <w:numPr>
          <w:ilvl w:val="1"/>
          <w:numId w:val="4"/>
        </w:numPr>
      </w:pPr>
      <w:r>
        <w:rPr>
          <w:b/>
          <w:bCs/>
        </w:rPr>
        <w:t>Y-axis</w:t>
      </w:r>
      <w:r>
        <w:t>: TB Deaths (sum)</w:t>
      </w:r>
    </w:p>
    <w:p w14:paraId="1AFB4F2B">
      <w:pPr>
        <w:numPr>
          <w:ilvl w:val="1"/>
          <w:numId w:val="4"/>
        </w:numPr>
      </w:pPr>
      <w:r>
        <w:rPr>
          <w:b/>
          <w:bCs/>
        </w:rPr>
        <w:t>Legend</w:t>
      </w:r>
      <w:r>
        <w:t>: Region</w:t>
      </w:r>
    </w:p>
    <w:p w14:paraId="3618D7CC">
      <w:pPr>
        <w:numPr>
          <w:ilvl w:val="1"/>
          <w:numId w:val="4"/>
        </w:numPr>
      </w:pPr>
      <w:r>
        <w:rPr>
          <w:i/>
          <w:iCs/>
        </w:rPr>
        <w:t>Purpose</w:t>
      </w:r>
      <w:r>
        <w:t>: To compare TB mortality by country and region</w:t>
      </w:r>
    </w:p>
    <w:p w14:paraId="62FDA93D">
      <w:pPr>
        <w:ind w:left="1440"/>
      </w:pPr>
    </w:p>
    <w:p w14:paraId="721B8945">
      <w:pPr>
        <w:numPr>
          <w:ilvl w:val="0"/>
          <w:numId w:val="4"/>
        </w:numPr>
      </w:pPr>
      <w:r>
        <w:rPr>
          <w:b/>
          <w:bCs/>
        </w:rPr>
        <w:t>Pie Chart</w:t>
      </w:r>
      <w:r>
        <w:t>:</w:t>
      </w:r>
    </w:p>
    <w:p w14:paraId="256E05F1">
      <w:pPr>
        <w:numPr>
          <w:ilvl w:val="1"/>
          <w:numId w:val="4"/>
        </w:numPr>
      </w:pPr>
      <w:r>
        <w:rPr>
          <w:b/>
          <w:bCs/>
        </w:rPr>
        <w:t>Legend</w:t>
      </w:r>
      <w:r>
        <w:t>: Region</w:t>
      </w:r>
    </w:p>
    <w:p w14:paraId="08E6BB5B">
      <w:pPr>
        <w:numPr>
          <w:ilvl w:val="1"/>
          <w:numId w:val="4"/>
        </w:numPr>
      </w:pPr>
      <w:r>
        <w:rPr>
          <w:b/>
          <w:bCs/>
        </w:rPr>
        <w:t>Values</w:t>
      </w:r>
      <w:r>
        <w:t>: HIV-TB Deaths (sum)</w:t>
      </w:r>
    </w:p>
    <w:p w14:paraId="16AE4C81">
      <w:pPr>
        <w:numPr>
          <w:ilvl w:val="1"/>
          <w:numId w:val="4"/>
        </w:numPr>
      </w:pPr>
      <w:r>
        <w:rPr>
          <w:i/>
          <w:iCs/>
        </w:rPr>
        <w:t>Purpose</w:t>
      </w:r>
      <w:r>
        <w:t>: To display proportional distribution of HIV-related TB deaths by region.</w:t>
      </w:r>
    </w:p>
    <w:p w14:paraId="37B9BE6A">
      <w:pPr>
        <w:numPr>
          <w:ilvl w:val="0"/>
          <w:numId w:val="4"/>
        </w:numPr>
      </w:pPr>
      <w:r>
        <w:rPr>
          <w:b/>
          <w:bCs/>
        </w:rPr>
        <w:t>Additional Charts</w:t>
      </w:r>
      <w:r>
        <w:t>:</w:t>
      </w:r>
    </w:p>
    <w:p w14:paraId="6BCAC245">
      <w:pPr>
        <w:numPr>
          <w:ilvl w:val="1"/>
          <w:numId w:val="4"/>
        </w:numPr>
      </w:pPr>
      <w:r>
        <w:rPr>
          <w:b/>
          <w:bCs/>
        </w:rPr>
        <w:t>Sum of TB Deaths by Year</w:t>
      </w:r>
    </w:p>
    <w:p w14:paraId="5C8BC222">
      <w:pPr>
        <w:numPr>
          <w:ilvl w:val="1"/>
          <w:numId w:val="4"/>
        </w:numPr>
      </w:pPr>
      <w:r>
        <w:rPr>
          <w:b/>
          <w:bCs/>
        </w:rPr>
        <w:t>Trend Forecast Line (1990–2024)</w:t>
      </w:r>
      <w:r>
        <w:t xml:space="preserve"> using Power BI's forecasting feature to predict future TB cases.</w:t>
      </w:r>
    </w:p>
    <w:p w14:paraId="2E67EB8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2A46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📅</w:t>
      </w:r>
      <w:r>
        <w:rPr>
          <w:b/>
          <w:bCs/>
        </w:rPr>
        <w:t xml:space="preserve"> Forecasting &amp; Comparative Analysis</w:t>
      </w:r>
    </w:p>
    <w:p w14:paraId="3D29FCE1">
      <w:pPr>
        <w:numPr>
          <w:ilvl w:val="0"/>
          <w:numId w:val="5"/>
        </w:numPr>
      </w:pPr>
      <w:r>
        <w:t xml:space="preserve">Applied Power BI's </w:t>
      </w:r>
      <w:r>
        <w:rPr>
          <w:b/>
          <w:bCs/>
        </w:rPr>
        <w:t>forecasting tool</w:t>
      </w:r>
      <w:r>
        <w:t xml:space="preserve"> on the TB case trend line to predict </w:t>
      </w:r>
      <w:r>
        <w:rPr>
          <w:b/>
          <w:bCs/>
        </w:rPr>
        <w:t>future cases for the next 10 years</w:t>
      </w:r>
      <w:r>
        <w:t>.</w:t>
      </w:r>
    </w:p>
    <w:p w14:paraId="0ED70814">
      <w:pPr>
        <w:numPr>
          <w:ilvl w:val="0"/>
          <w:numId w:val="5"/>
        </w:numPr>
      </w:pPr>
      <w:r>
        <w:t xml:space="preserve">Integrated updated </w:t>
      </w:r>
      <w:r>
        <w:rPr>
          <w:b/>
          <w:bCs/>
        </w:rPr>
        <w:t>2024 TB-data from Kaggle</w:t>
      </w:r>
      <w:r>
        <w:t xml:space="preserve"> to compare real values with predicted trends.</w:t>
      </w:r>
    </w:p>
    <w:p w14:paraId="220C537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A854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Data Storytelling</w:t>
      </w:r>
    </w:p>
    <w:p w14:paraId="39088DA0">
      <w:r>
        <w:t>The final dashboard includes written insights that summarize:</w:t>
      </w:r>
    </w:p>
    <w:p w14:paraId="182E04E0">
      <w:pPr>
        <w:numPr>
          <w:ilvl w:val="0"/>
          <w:numId w:val="6"/>
        </w:numPr>
      </w:pPr>
      <w:r>
        <w:rPr>
          <w:b/>
          <w:bCs/>
        </w:rPr>
        <w:t>Past</w:t>
      </w:r>
      <w:r>
        <w:t>: TB trends and major changes from 1990 to 2013.</w:t>
      </w:r>
    </w:p>
    <w:p w14:paraId="387DBF5F">
      <w:pPr>
        <w:numPr>
          <w:ilvl w:val="0"/>
          <w:numId w:val="6"/>
        </w:numPr>
      </w:pPr>
      <w:r>
        <w:rPr>
          <w:b/>
          <w:bCs/>
        </w:rPr>
        <w:t>Present</w:t>
      </w:r>
      <w:r>
        <w:t>: TB status in 2013, the final year in the original dataset.</w:t>
      </w:r>
    </w:p>
    <w:p w14:paraId="4B23699E">
      <w:pPr>
        <w:numPr>
          <w:ilvl w:val="0"/>
          <w:numId w:val="6"/>
        </w:numPr>
      </w:pPr>
      <w:r>
        <w:rPr>
          <w:b/>
          <w:bCs/>
        </w:rPr>
        <w:t>Future</w:t>
      </w:r>
      <w:r>
        <w:t>: Predicted TB cases up to 2024 and strategic recommendations for reducing incidence.</w:t>
      </w:r>
    </w:p>
    <w:p w14:paraId="28979E87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58F0A">
      <w:r>
        <w:t xml:space="preserve"> Page 1</w:t>
      </w:r>
    </w:p>
    <w:p w14:paraId="663FDDD1">
      <w:r>
        <w:drawing>
          <wp:inline distT="0" distB="0" distL="0" distR="0">
            <wp:extent cx="5943600" cy="3317875"/>
            <wp:effectExtent l="0" t="0" r="0" b="0"/>
            <wp:docPr id="8412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90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1204"/>
    <w:p w14:paraId="23A7447B">
      <w:r>
        <w:t>Page 2</w:t>
      </w:r>
    </w:p>
    <w:p w14:paraId="4F4F4E07"/>
    <w:p w14:paraId="0CA8A46A">
      <w:r>
        <w:drawing>
          <wp:inline distT="0" distB="0" distL="0" distR="0">
            <wp:extent cx="6248400" cy="4145280"/>
            <wp:effectExtent l="0" t="0" r="0" b="7620"/>
            <wp:docPr id="207910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91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7B1A">
      <w:r>
        <w:t>Page 3</w:t>
      </w:r>
    </w:p>
    <w:p w14:paraId="364B2AB0">
      <w:r>
        <w:drawing>
          <wp:inline distT="0" distB="0" distL="0" distR="0">
            <wp:extent cx="6618605" cy="4191000"/>
            <wp:effectExtent l="0" t="0" r="0" b="0"/>
            <wp:docPr id="38290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720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9096" cy="421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44460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7ADD0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9FB6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D2422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B47B8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89FDF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7233E"/>
    <w:multiLevelType w:val="multilevel"/>
    <w:tmpl w:val="16672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7D507C"/>
    <w:multiLevelType w:val="multilevel"/>
    <w:tmpl w:val="267D50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61D105B"/>
    <w:multiLevelType w:val="multilevel"/>
    <w:tmpl w:val="461D1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E2A3C48"/>
    <w:multiLevelType w:val="multilevel"/>
    <w:tmpl w:val="5E2A3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6297AC6"/>
    <w:multiLevelType w:val="multilevel"/>
    <w:tmpl w:val="66297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607486C"/>
    <w:multiLevelType w:val="multilevel"/>
    <w:tmpl w:val="76074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8B"/>
    <w:rsid w:val="000902FE"/>
    <w:rsid w:val="004E6DCB"/>
    <w:rsid w:val="00641B6D"/>
    <w:rsid w:val="009312E2"/>
    <w:rsid w:val="009A7BA5"/>
    <w:rsid w:val="009E5F9C"/>
    <w:rsid w:val="00BD03F4"/>
    <w:rsid w:val="00BD2B79"/>
    <w:rsid w:val="00F90E8B"/>
    <w:rsid w:val="693B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9"/>
    <w:qFormat/>
    <w:uiPriority w:val="1"/>
  </w:style>
  <w:style w:type="paragraph" w:styleId="14">
    <w:name w:val="footer"/>
    <w:basedOn w:val="1"/>
    <w:link w:val="41"/>
    <w:unhideWhenUsed/>
    <w:uiPriority w:val="99"/>
    <w:pPr>
      <w:tabs>
        <w:tab w:val="center" w:pos="4680"/>
        <w:tab w:val="right" w:pos="9360"/>
      </w:tabs>
    </w:pPr>
  </w:style>
  <w:style w:type="paragraph" w:styleId="15">
    <w:name w:val="header"/>
    <w:basedOn w:val="1"/>
    <w:link w:val="40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7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Body Text Char"/>
    <w:basedOn w:val="11"/>
    <w:link w:val="13"/>
    <w:uiPriority w:val="1"/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Header Char"/>
    <w:basedOn w:val="11"/>
    <w:link w:val="15"/>
    <w:uiPriority w:val="99"/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character" w:customStyle="1" w:styleId="41">
    <w:name w:val="Footer Char"/>
    <w:basedOn w:val="11"/>
    <w:link w:val="14"/>
    <w:uiPriority w:val="99"/>
    <w:rPr>
      <w:rFonts w:ascii="Times New Roman" w:hAnsi="Times New Roman" w:eastAsia="Times New Roman" w:cs="Times New Roman"/>
      <w:kern w:val="0"/>
      <w:sz w:val="22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513</Words>
  <Characters>2930</Characters>
  <Lines>24</Lines>
  <Paragraphs>6</Paragraphs>
  <TotalTime>48</TotalTime>
  <ScaleCrop>false</ScaleCrop>
  <LinksUpToDate>false</LinksUpToDate>
  <CharactersWithSpaces>3437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2025-06-05T20:02:00Z</dcterms:created>
  <dc:creator>Askalu Banjawe</dc:creator>
  <cp:lastModifiedBy>Askalu Banjawe</cp:lastModifiedBy>
  <dcterms:modified xsi:type="dcterms:W3CDTF">2025-06-21T10:06:03Z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9BD0B87134774071814490F2604CD6F3_12</vt:lpwstr>
  </property>
</Properties>
</file>