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4"/>
          <w:szCs w:val="34"/>
        </w:rPr>
        <w:t xml:space="preserve">Delinquency Risk Insights &amp; Collections Strategy Recommendation</w:t>
      </w:r>
    </w:p>
    <w:p>
      <w:pPr>
        <w:pBdr>
          <w:bottom w:val="single" w:color="1F3864" w:sz="10" w:space="4"/>
        </w:pBdr>
        <w:spacing w:after="160"/>
      </w:pPr>
      <w:r>
        <w:rPr>
          <w:i/>
          <w:iCs/>
          <w:color w:val="595959"/>
          <w:sz w:val="18"/>
          <w:szCs w:val="18"/>
        </w:rPr>
        <w:t xml:space="preserve">Prepared for: Head of Collections, Geldium   |   From: Tata iQ Analytics Team</w:t>
      </w:r>
    </w:p>
    <w:p>
      <w:pPr>
        <w:pStyle w:val="Heading1"/>
        <w:spacing w:after="90" w:before="180"/>
      </w:pPr>
      <w:r>
        <w:rPr>
          <w:b/>
          <w:bCs/>
          <w:color w:val="1F3864"/>
          <w:sz w:val="26"/>
          <w:szCs w:val="26"/>
        </w:rPr>
        <w:t xml:space="preserve">Executive Summary</w:t>
      </w:r>
    </w:p>
    <w:p>
      <w:pPr>
        <w:spacing w:after="110" w:line="264"/>
      </w:pPr>
      <w:r>
        <w:rPr>
          <w:sz w:val="20"/>
          <w:szCs w:val="20"/>
        </w:rPr>
        <w:t xml:space="preserve">Analysis of Geldium's 500-customer dataset shows that delinquency is not well explained by any single customer attribute on its own. Instead, risk concentrates where multiple financial pressures overlap. This report translates those findings into the top risk factors driving delinquency, a concrete recommended action, and the fairness safeguards needed before any model is used to guide outreach.</w:t>
      </w:r>
    </w:p>
    <w:p>
      <w:pPr>
        <w:pStyle w:val="Heading1"/>
        <w:spacing w:after="90" w:before="180"/>
      </w:pPr>
      <w:r>
        <w:rPr>
          <w:b/>
          <w:bCs/>
          <w:color w:val="1F3864"/>
          <w:sz w:val="26"/>
          <w:szCs w:val="26"/>
        </w:rPr>
        <w:t xml:space="preserve">Top 3 Risk Factors</w:t>
      </w:r>
    </w:p>
    <w:p>
      <w:pPr>
        <w:pStyle w:val="ListParagraph"/>
        <w:numPr>
          <w:ilvl w:val="0"/>
          <w:numId w:val="1"/>
        </w:numPr>
        <w:spacing w:after="60" w:line="264"/>
      </w:pPr>
      <w:r>
        <w:rPr>
          <w:b/>
          <w:bCs/>
          <w:sz w:val="20"/>
          <w:szCs w:val="20"/>
        </w:rPr>
        <w:t xml:space="preserve">1. Combined debt burden: </w:t>
      </w:r>
      <w:r>
        <w:rPr>
          <w:sz w:val="20"/>
          <w:szCs w:val="20"/>
        </w:rPr>
        <w:t xml:space="preserve">customers with both a Debt-to-Income Ratio above 40% and Credit Utilization above 70% show a delinquency rate of 50%, more than three times the 15.7% baseline for everyone else. This overlap is the clearest early-warning signal in the data.</w:t>
      </w:r>
    </w:p>
    <w:p>
      <w:pPr>
        <w:pStyle w:val="ListParagraph"/>
        <w:numPr>
          <w:ilvl w:val="0"/>
          <w:numId w:val="1"/>
        </w:numPr>
        <w:spacing w:after="60" w:line="264"/>
      </w:pPr>
      <w:r>
        <w:rPr>
          <w:b/>
          <w:bCs/>
          <w:sz w:val="20"/>
          <w:szCs w:val="20"/>
        </w:rPr>
        <w:t xml:space="preserve">2. Employment instability: </w:t>
      </w:r>
      <w:r>
        <w:rPr>
          <w:sz w:val="20"/>
          <w:szCs w:val="20"/>
        </w:rPr>
        <w:t xml:space="preserve">unemployed customers show the highest delinquency rate (19.3%), compared to 11.5% for retired customers, once inconsistent job-status labels in the data were standardized.</w:t>
      </w:r>
    </w:p>
    <w:p>
      <w:pPr>
        <w:pStyle w:val="ListParagraph"/>
        <w:numPr>
          <w:ilvl w:val="0"/>
          <w:numId w:val="1"/>
        </w:numPr>
        <w:spacing w:after="60" w:line="264"/>
      </w:pPr>
      <w:r>
        <w:rPr>
          <w:b/>
          <w:bCs/>
          <w:sz w:val="20"/>
          <w:szCs w:val="20"/>
        </w:rPr>
        <w:t xml:space="preserve">3. Recent payment behavior: </w:t>
      </w:r>
      <w:r>
        <w:rPr>
          <w:sz w:val="20"/>
          <w:szCs w:val="20"/>
        </w:rPr>
        <w:t xml:space="preserve">the 6-month payment status log (on-time, late, missed) is a more reliable near-term indicator than the 12-month missed-payment count, which showed inconsistent patterns and should not be relied on alone.</w:t>
      </w:r>
    </w:p>
    <w:p>
      <w:pPr>
        <w:pStyle w:val="Heading1"/>
        <w:spacing w:after="90" w:before="180"/>
      </w:pPr>
      <w:r>
        <w:rPr>
          <w:b/>
          <w:bCs/>
          <w:color w:val="1F3864"/>
          <w:sz w:val="26"/>
          <w:szCs w:val="26"/>
        </w:rPr>
        <w:t xml:space="preserve">Highest-Risk Segment</w:t>
      </w:r>
    </w:p>
    <w:p>
      <w:pPr>
        <w:spacing w:after="110" w:line="264"/>
      </w:pPr>
      <w:r>
        <w:rPr>
          <w:sz w:val="20"/>
          <w:szCs w:val="20"/>
        </w:rPr>
        <w:t xml:space="preserve">The clearest actionable segment is customers who are simultaneously high-utilization and high-DTI. This group is small in the current sample but shows a risk rate roughly 3x the portfolio average, making it a natural priority tier for early, proactive outreach rather than waiting for a missed payment to occur.</w:t>
      </w:r>
    </w:p>
    <w:p>
      <w:pPr>
        <w:pStyle w:val="Heading1"/>
        <w:spacing w:after="90" w:before="180"/>
      </w:pPr>
      <w:r>
        <w:rPr>
          <w:b/>
          <w:bCs/>
          <w:color w:val="1F3864"/>
          <w:sz w:val="26"/>
          <w:szCs w:val="26"/>
        </w:rPr>
        <w:t xml:space="preserve">SMART Recommendation</w:t>
      </w:r>
    </w:p>
    <w:p>
      <w:pPr>
        <w:pStyle w:val="ListParagraph"/>
        <w:numPr>
          <w:ilvl w:val="0"/>
          <w:numId w:val="1"/>
        </w:numPr>
        <w:spacing w:after="60" w:line="264"/>
      </w:pPr>
      <w:r>
        <w:rPr>
          <w:b/>
          <w:bCs/>
          <w:sz w:val="20"/>
          <w:szCs w:val="20"/>
        </w:rPr>
        <w:t xml:space="preserve">Goal: </w:t>
      </w:r>
      <w:r>
        <w:rPr>
          <w:sz w:val="20"/>
          <w:szCs w:val="20"/>
        </w:rPr>
        <w:t xml:space="preserve">Launch a proactive outreach program, by the end of next quarter, targeting all customers whose Credit Utilization exceeds 70% and Debt-to-Income Ratio exceeds 40%, offering payment plan counseling or credit line adjustment options — with a target of reducing delinquency in this segment by 15% within 6 months of launch.</w:t>
      </w:r>
    </w:p>
    <w:p>
      <w:pPr>
        <w:spacing w:after="110" w:line="264"/>
      </w:pPr>
      <w:r>
        <w:rPr>
          <w:sz w:val="20"/>
          <w:szCs w:val="20"/>
        </w:rPr>
        <w:t xml:space="preserve">Rationale for stakeholders: This segment already shows a 50% delinquency rate, so it is small enough to service cost-effectively but high-risk enough to justify early intervention. Acting before a missed payment occurs shifts collections from reactive to preventative, which is both lower-cost and better for customer retention than post-delinquency recovery.</w:t>
      </w:r>
    </w:p>
    <w:p>
      <w:pPr>
        <w:pStyle w:val="Heading1"/>
        <w:spacing w:after="90" w:before="180"/>
      </w:pPr>
      <w:r>
        <w:rPr>
          <w:b/>
          <w:bCs/>
          <w:color w:val="1F3864"/>
          <w:sz w:val="26"/>
          <w:szCs w:val="26"/>
        </w:rPr>
        <w:t xml:space="preserve">Ethical &amp; Responsible AI Considerations</w:t>
      </w:r>
    </w:p>
    <w:p>
      <w:pPr>
        <w:pStyle w:val="ListParagraph"/>
        <w:numPr>
          <w:ilvl w:val="0"/>
          <w:numId w:val="1"/>
        </w:numPr>
        <w:spacing w:after="60" w:line="264"/>
      </w:pPr>
      <w:r>
        <w:rPr>
          <w:b/>
          <w:bCs/>
          <w:sz w:val="20"/>
          <w:szCs w:val="20"/>
        </w:rPr>
        <w:t xml:space="preserve">Fairness risk 1 — Proxy bias: </w:t>
      </w:r>
      <w:r>
        <w:rPr>
          <w:sz w:val="20"/>
          <w:szCs w:val="20"/>
        </w:rPr>
        <w:t xml:space="preserve">Employment_Status and Location may act as proxies for protected characteristics such as age or socioeconomic background, risking indirect discrimination even without using those characteristics directly. Mitigation: run subgroup performance comparisons and a disparate impact check (e.g., the 80% rule) across these fields before deployment, and adjust or remove any feature that creates outsized gaps.</w:t>
      </w:r>
    </w:p>
    <w:p>
      <w:pPr>
        <w:pStyle w:val="ListParagraph"/>
        <w:numPr>
          <w:ilvl w:val="0"/>
          <w:numId w:val="1"/>
        </w:numPr>
        <w:spacing w:after="60" w:line="264"/>
      </w:pPr>
      <w:r>
        <w:rPr>
          <w:b/>
          <w:bCs/>
          <w:sz w:val="20"/>
          <w:szCs w:val="20"/>
        </w:rPr>
        <w:t xml:space="preserve">Fairness risk 2 — Small-sample overconfidence: </w:t>
      </w:r>
      <w:r>
        <w:rPr>
          <w:sz w:val="20"/>
          <w:szCs w:val="20"/>
        </w:rPr>
        <w:t xml:space="preserve">the strongest finding (the DTI×Utilization segment) is based on a small number of customers, so treating it as certain could unfairly concentrate scrutiny on a narrow group. Mitigation: validate the pattern on a larger, ongoing sample before it drives automated decisions, and pair any model score with a human review step for edge cases.</w:t>
      </w:r>
    </w:p>
    <w:p>
      <w:pPr>
        <w:spacing w:after="110" w:line="264"/>
      </w:pPr>
      <w:r>
        <w:rPr>
          <w:sz w:val="20"/>
          <w:szCs w:val="20"/>
        </w:rPr>
        <w:t xml:space="preserve">To keep the approach transparent for non-technical stakeholders, each customer's risk score will be paired with a plain-language explanation (e.g., “flagged due to high credit usage and high debt relative to income”) rather than a raw probability alone, and model performance and fairness metrics will be reviewed on a recurring basis rather than a one-time check at launch.</w:t>
      </w:r>
    </w:p>
    <w:p>
      <w:pPr>
        <w:pBdr>
          <w:top w:val="single" w:color="BFBFBF" w:sz="6" w:space="4"/>
        </w:pBdr>
        <w:spacing w:before="200"/>
      </w:pPr>
      <w:r>
        <w:rPr>
          <w:i/>
          <w:iCs/>
          <w:color w:val="595959"/>
          <w:sz w:val="16"/>
          <w:szCs w:val="16"/>
        </w:rPr>
        <w:t xml:space="preserve">Source: EDA and predictive modeling plan for Geldium_Delinquency_prediction_dataset.xlsx (500 records, 19 fields).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2026-08-01T10:27:06.393Z</dcterms:created>
  <dcterms:modified xsi:type="dcterms:W3CDTF">2026-08-01T10:27:06.411Z</dcterms:modified>
</cp:coreProperties>
</file>

<file path=docProps/custom.xml><?xml version="1.0" encoding="utf-8"?>
<Properties xmlns="http://schemas.openxmlformats.org/officeDocument/2006/custom-properties" xmlns:vt="http://schemas.openxmlformats.org/officeDocument/2006/docPropsVTypes"/>
</file>