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Geldium Delinquency Prediction Project</w:t>
      </w:r>
    </w:p>
    <w:p>
      <w:pPr>
        <w:spacing w:after="40"/>
      </w:pPr>
      <w:r>
        <w:rPr>
          <w:color w:val="595959"/>
          <w:sz w:val="26"/>
          <w:szCs w:val="26"/>
        </w:rPr>
        <w:t xml:space="preserve">Task 1: Exploratory Data Analysis and Risk Profiling</w:t>
      </w:r>
    </w:p>
    <w:p>
      <w:pPr>
        <w:pBdr>
          <w:bottom w:val="single" w:color="1F3864" w:sz="12" w:space="6"/>
        </w:pBdr>
        <w:spacing w:after="240"/>
      </w:pPr>
      <w:r>
        <w:rPr>
          <w:i/>
          <w:iCs/>
          <w:color w:val="595959"/>
          <w:sz w:val="20"/>
          <w:szCs w:val="20"/>
        </w:rPr>
        <w:t xml:space="preserve">Prepared for: Tata iQ Analytics Team &amp; Geldium Decision-Makers</w:t>
      </w:r>
    </w:p>
    <w:p>
      <w:pPr>
        <w:pStyle w:val="Heading1"/>
        <w:spacing w:after="150" w:before="300"/>
      </w:pPr>
      <w:r>
        <w:rPr>
          <w:b/>
          <w:bCs/>
          <w:color w:val="1F3864"/>
          <w:sz w:val="30"/>
          <w:szCs w:val="30"/>
        </w:rPr>
        <w:t xml:space="preserve">1. Dataset Overview</w:t>
      </w:r>
    </w:p>
    <w:p>
      <w:pPr>
        <w:spacing w:after="160" w:line="276"/>
      </w:pPr>
      <w:r>
        <w:rPr>
          <w:sz w:val="22"/>
          <w:szCs w:val="22"/>
        </w:rPr>
        <w:t xml:space="preserve">The dataset contains 500 customer records across 19 fields, covering demographic information (Age), financial standing (Income, Credit Score, Loan Balance, Debt-to-Income Ratio, Credit Utilization), account behavior (Missed Payments, Account Tenure, six months of monthly payment status), categorical attributes (Employment Status, Credit Card Type, Location), and the target variable, Delinquent_Account. Customer_ID is unique across all 500 rows, confirming there are no duplicate customer records.</w:t>
      </w:r>
    </w:p>
    <w:p>
      <w:pPr>
        <w:pStyle w:val="Heading1"/>
        <w:spacing w:after="150" w:before="300"/>
      </w:pPr>
      <w:r>
        <w:rPr>
          <w:b/>
          <w:bCs/>
          <w:color w:val="1F3864"/>
          <w:sz w:val="30"/>
          <w:szCs w:val="30"/>
        </w:rPr>
        <w:t xml:space="preserve">2. Key Patterns and Anomalies</w:t>
      </w:r>
    </w:p>
    <w:p>
      <w:pPr>
        <w:pStyle w:val="ListParagraph"/>
        <w:numPr>
          <w:ilvl w:val="0"/>
          <w:numId w:val="1"/>
        </w:numPr>
        <w:spacing w:after="80" w:line="276"/>
      </w:pPr>
      <w:r>
        <w:rPr>
          <w:b/>
          <w:bCs/>
          <w:sz w:val="22"/>
          <w:szCs w:val="22"/>
        </w:rPr>
        <w:t xml:space="preserve">Overall delinquency rate is low and imbalanced: </w:t>
      </w:r>
      <w:r>
        <w:rPr>
          <w:sz w:val="22"/>
          <w:szCs w:val="22"/>
        </w:rPr>
        <w:t xml:space="preserve">only 16% of customers (80 of 500) are flagged as delinquent (Delinquent_Account = 1). Any predictive model built on this data will need to account for this class imbalance (e.g., via resampling, class weighting, or threshold tuning).</w:t>
      </w:r>
    </w:p>
    <w:p>
      <w:pPr>
        <w:pStyle w:val="ListParagraph"/>
        <w:numPr>
          <w:ilvl w:val="0"/>
          <w:numId w:val="1"/>
        </w:numPr>
        <w:spacing w:after="80" w:line="276"/>
      </w:pPr>
      <w:r>
        <w:rPr>
          <w:b/>
          <w:bCs/>
          <w:sz w:val="22"/>
          <w:szCs w:val="22"/>
        </w:rPr>
        <w:t xml:space="preserve">Inconsistent category labels in Employment_Status: </w:t>
      </w:r>
      <w:r>
        <w:rPr>
          <w:sz w:val="22"/>
          <w:szCs w:val="22"/>
        </w:rPr>
        <w:t xml:space="preserve">the field contains six distinct values that really represent four categories — “Employed,” “employed,” and “EMP” all describe the same status but are stored as separate strings due to inconsistent capitalization and abbreviation. This must be standardized before the field can be used reliably in modeling or grouped reporting.</w:t>
      </w:r>
    </w:p>
    <w:p>
      <w:pPr>
        <w:pStyle w:val="ListParagraph"/>
        <w:numPr>
          <w:ilvl w:val="0"/>
          <w:numId w:val="1"/>
        </w:numPr>
        <w:spacing w:after="80" w:line="276"/>
      </w:pPr>
      <w:r>
        <w:rPr>
          <w:b/>
          <w:bCs/>
          <w:sz w:val="22"/>
          <w:szCs w:val="22"/>
        </w:rPr>
        <w:t xml:space="preserve">Credit Utilization exceeds 100% for a handful of customers: </w:t>
      </w:r>
      <w:r>
        <w:rPr>
          <w:sz w:val="22"/>
          <w:szCs w:val="22"/>
        </w:rPr>
        <w:t xml:space="preserve">4 customers show utilization above 1.0 (i.e., above 100% of their credit limit, as high as 102.6%). This is plausible for over-limit accounts but is an outlier pattern worth validating against source systems rather than treating as a simple data-entry error.</w:t>
      </w:r>
    </w:p>
    <w:p>
      <w:pPr>
        <w:pStyle w:val="ListParagraph"/>
        <w:numPr>
          <w:ilvl w:val="0"/>
          <w:numId w:val="1"/>
        </w:numPr>
        <w:spacing w:after="80" w:line="276"/>
      </w:pPr>
      <w:r>
        <w:rPr>
          <w:b/>
          <w:bCs/>
          <w:sz w:val="22"/>
          <w:szCs w:val="22"/>
        </w:rPr>
        <w:t xml:space="preserve">Two parallel measures of missed payments disagree with each other: </w:t>
      </w:r>
      <w:r>
        <w:rPr>
          <w:sz w:val="22"/>
          <w:szCs w:val="22"/>
        </w:rPr>
        <w:t xml:space="preserve">the Missed_Payments column (a 12-month count) and the six Month_1–Month_6 columns (a 6-month, day-level payment status log) are essentially uncorrelated (correlation ≈ 0.01) and each shows almost no relationship with Delinquent_Account on its own. This suggests the two payment-history fields may originate from different systems or time windows, and neither should be treated as a reliable stand-alone predictor without further investigation.</w:t>
      </w:r>
    </w:p>
    <w:p>
      <w:pPr>
        <w:pStyle w:val="ListParagraph"/>
        <w:numPr>
          <w:ilvl w:val="0"/>
          <w:numId w:val="1"/>
        </w:numPr>
        <w:spacing w:after="80" w:line="276"/>
      </w:pPr>
      <w:r>
        <w:rPr>
          <w:b/>
          <w:bCs/>
          <w:sz w:val="22"/>
          <w:szCs w:val="22"/>
        </w:rPr>
        <w:t xml:space="preserve">No evidence of impossible or out-of-range values elsewhere: </w:t>
      </w:r>
      <w:r>
        <w:rPr>
          <w:sz w:val="22"/>
          <w:szCs w:val="22"/>
        </w:rPr>
        <w:t xml:space="preserve">Age (18–74), Credit_Score (301–847), Debt_to_Income_Ratio (10%–55%), and Loan_Balance / Income (no negative values) all fall within plausible bounds, and the credit score range aligns with the 300–850 scale described in the data dictionary.</w:t>
      </w:r>
    </w:p>
    <w:p>
      <w:pPr>
        <w:pStyle w:val="Heading1"/>
        <w:spacing w:after="150" w:before="300"/>
      </w:pPr>
      <w:r>
        <w:rPr>
          <w:b/>
          <w:bCs/>
          <w:color w:val="1F3864"/>
          <w:sz w:val="30"/>
          <w:szCs w:val="30"/>
        </w:rPr>
        <w:t xml:space="preserve">3. Missing Values and Recommended Handling</w:t>
      </w:r>
    </w:p>
    <w:p>
      <w:pPr>
        <w:spacing w:after="160" w:line="276"/>
      </w:pPr>
      <w:r>
        <w:rPr>
          <w:sz w:val="22"/>
          <w:szCs w:val="22"/>
        </w:rPr>
        <w:t xml:space="preserve">Three numeric fields have missing values; all categorical fields and the target variable are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842"/>
        <w:gridCol w:w="1030"/>
        <w:gridCol w:w="2621"/>
        <w:gridCol w:w="3370"/>
      </w:tblGrid>
      <w:tr>
        <w:trPr>
          <w:tblHeader/>
        </w:trPr>
        <w:tc>
          <w:tcPr>
            <w:tcW w:type="dxa" w:w="1498"/>
            <w:shd w:fill="1F3864" w:val="clear"/>
            <w:tcMar>
              <w:top w:type="dxa" w:w="100"/>
              <w:left w:type="dxa" w:w="120"/>
              <w:bottom w:type="dxa" w:w="100"/>
              <w:right w:type="dxa" w:w="120"/>
            </w:tcMar>
          </w:tcPr>
          <w:p>
            <w:r>
              <w:rPr>
                <w:b/>
                <w:bCs/>
                <w:color w:val="FFFFFF"/>
                <w:sz w:val="20"/>
                <w:szCs w:val="20"/>
              </w:rPr>
              <w:t xml:space="preserve">Field</w:t>
            </w:r>
          </w:p>
        </w:tc>
        <w:tc>
          <w:tcPr>
            <w:tcW w:type="dxa" w:w="842"/>
            <w:shd w:fill="1F3864" w:val="clear"/>
            <w:tcMar>
              <w:top w:type="dxa" w:w="100"/>
              <w:left w:type="dxa" w:w="120"/>
              <w:bottom w:type="dxa" w:w="100"/>
              <w:right w:type="dxa" w:w="120"/>
            </w:tcMar>
          </w:tcPr>
          <w:p>
            <w:r>
              <w:rPr>
                <w:b/>
                <w:bCs/>
                <w:color w:val="FFFFFF"/>
                <w:sz w:val="20"/>
                <w:szCs w:val="20"/>
              </w:rPr>
              <w:t xml:space="preserve">Missing</w:t>
            </w:r>
          </w:p>
        </w:tc>
        <w:tc>
          <w:tcPr>
            <w:tcW w:type="dxa" w:w="1030"/>
            <w:shd w:fill="1F3864" w:val="clear"/>
            <w:tcMar>
              <w:top w:type="dxa" w:w="100"/>
              <w:left w:type="dxa" w:w="120"/>
              <w:bottom w:type="dxa" w:w="100"/>
              <w:right w:type="dxa" w:w="120"/>
            </w:tcMar>
          </w:tcPr>
          <w:p>
            <w:r>
              <w:rPr>
                <w:b/>
                <w:bCs/>
                <w:color w:val="FFFFFF"/>
                <w:sz w:val="20"/>
                <w:szCs w:val="20"/>
              </w:rPr>
              <w:t xml:space="preserve">% of Records</w:t>
            </w:r>
          </w:p>
        </w:tc>
        <w:tc>
          <w:tcPr>
            <w:tcW w:type="dxa" w:w="2621"/>
            <w:shd w:fill="1F3864" w:val="clear"/>
            <w:tcMar>
              <w:top w:type="dxa" w:w="100"/>
              <w:left w:type="dxa" w:w="120"/>
              <w:bottom w:type="dxa" w:w="100"/>
              <w:right w:type="dxa" w:w="120"/>
            </w:tcMar>
          </w:tcPr>
          <w:p>
            <w:r>
              <w:rPr>
                <w:b/>
                <w:bCs/>
                <w:color w:val="FFFFFF"/>
                <w:sz w:val="20"/>
                <w:szCs w:val="20"/>
              </w:rPr>
              <w:t xml:space="preserve">Recommended Treatment</w:t>
            </w:r>
          </w:p>
        </w:tc>
        <w:tc>
          <w:tcPr>
            <w:tcW w:type="dxa" w:w="3370"/>
            <w:shd w:fill="1F3864" w:val="clear"/>
            <w:tcMar>
              <w:top w:type="dxa" w:w="100"/>
              <w:left w:type="dxa" w:w="120"/>
              <w:bottom w:type="dxa" w:w="100"/>
              <w:right w:type="dxa" w:w="120"/>
            </w:tcMar>
          </w:tcPr>
          <w:p>
            <w:r>
              <w:rPr>
                <w:b/>
                <w:bCs/>
                <w:color w:val="FFFFFF"/>
                <w:sz w:val="20"/>
                <w:szCs w:val="20"/>
              </w:rPr>
              <w:t xml:space="preserve">Justification</w:t>
            </w:r>
          </w:p>
        </w:tc>
      </w:tr>
      <w:tr>
        <w:tc>
          <w:tcPr>
            <w:tcW w:type="dxa" w:w="1498"/>
            <w:tcMar>
              <w:top w:type="dxa" w:w="90"/>
              <w:left w:type="dxa" w:w="120"/>
              <w:bottom w:type="dxa" w:w="90"/>
              <w:right w:type="dxa" w:w="120"/>
            </w:tcMar>
          </w:tcPr>
          <w:p>
            <w:r>
              <w:rPr>
                <w:sz w:val="20"/>
                <w:szCs w:val="20"/>
              </w:rPr>
              <w:t xml:space="preserve">Income</w:t>
            </w:r>
          </w:p>
        </w:tc>
        <w:tc>
          <w:tcPr>
            <w:tcW w:type="dxa" w:w="842"/>
            <w:tcMar>
              <w:top w:type="dxa" w:w="90"/>
              <w:left w:type="dxa" w:w="120"/>
              <w:bottom w:type="dxa" w:w="90"/>
              <w:right w:type="dxa" w:w="120"/>
            </w:tcMar>
          </w:tcPr>
          <w:p>
            <w:r>
              <w:rPr>
                <w:sz w:val="20"/>
                <w:szCs w:val="20"/>
              </w:rPr>
              <w:t xml:space="preserve">39</w:t>
            </w:r>
          </w:p>
        </w:tc>
        <w:tc>
          <w:tcPr>
            <w:tcW w:type="dxa" w:w="1030"/>
            <w:tcMar>
              <w:top w:type="dxa" w:w="90"/>
              <w:left w:type="dxa" w:w="120"/>
              <w:bottom w:type="dxa" w:w="90"/>
              <w:right w:type="dxa" w:w="120"/>
            </w:tcMar>
          </w:tcPr>
          <w:p>
            <w:r>
              <w:rPr>
                <w:sz w:val="20"/>
                <w:szCs w:val="20"/>
              </w:rPr>
              <w:t xml:space="preserve">7.8%</w:t>
            </w:r>
          </w:p>
        </w:tc>
        <w:tc>
          <w:tcPr>
            <w:tcW w:type="dxa" w:w="2621"/>
            <w:tcMar>
              <w:top w:type="dxa" w:w="90"/>
              <w:left w:type="dxa" w:w="120"/>
              <w:bottom w:type="dxa" w:w="90"/>
              <w:right w:type="dxa" w:w="120"/>
            </w:tcMar>
          </w:tcPr>
          <w:p>
            <w:r>
              <w:rPr>
                <w:sz w:val="20"/>
                <w:szCs w:val="20"/>
              </w:rPr>
              <w:t xml:space="preserve">Median imputation, grouped by Employment_Status</w:t>
            </w:r>
          </w:p>
        </w:tc>
        <w:tc>
          <w:tcPr>
            <w:tcW w:type="dxa" w:w="3370"/>
            <w:tcMar>
              <w:top w:type="dxa" w:w="90"/>
              <w:left w:type="dxa" w:w="120"/>
              <w:bottom w:type="dxa" w:w="90"/>
              <w:right w:type="dxa" w:w="120"/>
            </w:tcMar>
          </w:tcPr>
          <w:p>
            <w:r>
              <w:rPr>
                <w:sz w:val="20"/>
                <w:szCs w:val="20"/>
              </w:rPr>
              <w:t xml:space="preserve">Income is right-skewed, so the median is more robust to outliers than the mean; missingness rate (7.8%) is too high to simply drop rows without losing meaningful sample size, and delinquency rates for missing vs. non-missing Income are similar, consistent with data missing at random (MAR) rather than a systematic bias.</w:t>
            </w:r>
          </w:p>
        </w:tc>
      </w:tr>
      <w:tr>
        <w:tc>
          <w:tcPr>
            <w:tcW w:type="dxa" w:w="1498"/>
            <w:shd w:fill="F2F2F2" w:val="clear"/>
            <w:tcMar>
              <w:top w:type="dxa" w:w="90"/>
              <w:left w:type="dxa" w:w="120"/>
              <w:bottom w:type="dxa" w:w="90"/>
              <w:right w:type="dxa" w:w="120"/>
            </w:tcMar>
          </w:tcPr>
          <w:p>
            <w:r>
              <w:rPr>
                <w:sz w:val="20"/>
                <w:szCs w:val="20"/>
              </w:rPr>
              <w:t xml:space="preserve">Loan_Balance</w:t>
            </w:r>
          </w:p>
        </w:tc>
        <w:tc>
          <w:tcPr>
            <w:tcW w:type="dxa" w:w="842"/>
            <w:shd w:fill="F2F2F2" w:val="clear"/>
            <w:tcMar>
              <w:top w:type="dxa" w:w="90"/>
              <w:left w:type="dxa" w:w="120"/>
              <w:bottom w:type="dxa" w:w="90"/>
              <w:right w:type="dxa" w:w="120"/>
            </w:tcMar>
          </w:tcPr>
          <w:p>
            <w:r>
              <w:rPr>
                <w:sz w:val="20"/>
                <w:szCs w:val="20"/>
              </w:rPr>
              <w:t xml:space="preserve">29</w:t>
            </w:r>
          </w:p>
        </w:tc>
        <w:tc>
          <w:tcPr>
            <w:tcW w:type="dxa" w:w="1030"/>
            <w:shd w:fill="F2F2F2" w:val="clear"/>
            <w:tcMar>
              <w:top w:type="dxa" w:w="90"/>
              <w:left w:type="dxa" w:w="120"/>
              <w:bottom w:type="dxa" w:w="90"/>
              <w:right w:type="dxa" w:w="120"/>
            </w:tcMar>
          </w:tcPr>
          <w:p>
            <w:r>
              <w:rPr>
                <w:sz w:val="20"/>
                <w:szCs w:val="20"/>
              </w:rPr>
              <w:t xml:space="preserve">5.8%</w:t>
            </w:r>
          </w:p>
        </w:tc>
        <w:tc>
          <w:tcPr>
            <w:tcW w:type="dxa" w:w="2621"/>
            <w:shd w:fill="F2F2F2" w:val="clear"/>
            <w:tcMar>
              <w:top w:type="dxa" w:w="90"/>
              <w:left w:type="dxa" w:w="120"/>
              <w:bottom w:type="dxa" w:w="90"/>
              <w:right w:type="dxa" w:w="120"/>
            </w:tcMar>
          </w:tcPr>
          <w:p>
            <w:r>
              <w:rPr>
                <w:sz w:val="20"/>
                <w:szCs w:val="20"/>
              </w:rPr>
              <w:t xml:space="preserve">Median imputation; flag with a missing-indicator column</w:t>
            </w:r>
          </w:p>
        </w:tc>
        <w:tc>
          <w:tcPr>
            <w:tcW w:type="dxa" w:w="3370"/>
            <w:shd w:fill="F2F2F2" w:val="clear"/>
            <w:tcMar>
              <w:top w:type="dxa" w:w="90"/>
              <w:left w:type="dxa" w:w="120"/>
              <w:bottom w:type="dxa" w:w="90"/>
              <w:right w:type="dxa" w:w="120"/>
            </w:tcMar>
          </w:tcPr>
          <w:p>
            <w:r>
              <w:rPr>
                <w:sz w:val="20"/>
                <w:szCs w:val="20"/>
              </w:rPr>
              <w:t xml:space="preserve">Customers missing Loan_Balance show a notably higher delinquency rate (24.1%) than those with data present (15.5%), suggesting the missingness itself may carry signal (MNAR) — a binary “was imputed” flag preserves that signal for the model rather than masking it.</w:t>
            </w:r>
          </w:p>
        </w:tc>
      </w:tr>
      <w:tr>
        <w:tc>
          <w:tcPr>
            <w:tcW w:type="dxa" w:w="1498"/>
            <w:tcMar>
              <w:top w:type="dxa" w:w="90"/>
              <w:left w:type="dxa" w:w="120"/>
              <w:bottom w:type="dxa" w:w="90"/>
              <w:right w:type="dxa" w:w="120"/>
            </w:tcMar>
          </w:tcPr>
          <w:p>
            <w:r>
              <w:rPr>
                <w:sz w:val="20"/>
                <w:szCs w:val="20"/>
              </w:rPr>
              <w:t xml:space="preserve">Credit_Score</w:t>
            </w:r>
          </w:p>
        </w:tc>
        <w:tc>
          <w:tcPr>
            <w:tcW w:type="dxa" w:w="842"/>
            <w:tcMar>
              <w:top w:type="dxa" w:w="90"/>
              <w:left w:type="dxa" w:w="120"/>
              <w:bottom w:type="dxa" w:w="90"/>
              <w:right w:type="dxa" w:w="120"/>
            </w:tcMar>
          </w:tcPr>
          <w:p>
            <w:r>
              <w:rPr>
                <w:sz w:val="20"/>
                <w:szCs w:val="20"/>
              </w:rPr>
              <w:t xml:space="preserve">2</w:t>
            </w:r>
          </w:p>
        </w:tc>
        <w:tc>
          <w:tcPr>
            <w:tcW w:type="dxa" w:w="1030"/>
            <w:tcMar>
              <w:top w:type="dxa" w:w="90"/>
              <w:left w:type="dxa" w:w="120"/>
              <w:bottom w:type="dxa" w:w="90"/>
              <w:right w:type="dxa" w:w="120"/>
            </w:tcMar>
          </w:tcPr>
          <w:p>
            <w:r>
              <w:rPr>
                <w:sz w:val="20"/>
                <w:szCs w:val="20"/>
              </w:rPr>
              <w:t xml:space="preserve">0.4%</w:t>
            </w:r>
          </w:p>
        </w:tc>
        <w:tc>
          <w:tcPr>
            <w:tcW w:type="dxa" w:w="2621"/>
            <w:tcMar>
              <w:top w:type="dxa" w:w="90"/>
              <w:left w:type="dxa" w:w="120"/>
              <w:bottom w:type="dxa" w:w="90"/>
              <w:right w:type="dxa" w:w="120"/>
            </w:tcMar>
          </w:tcPr>
          <w:p>
            <w:r>
              <w:rPr>
                <w:sz w:val="20"/>
                <w:szCs w:val="20"/>
              </w:rPr>
              <w:t xml:space="preserve">Drop the 2 rows, or median-impute</w:t>
            </w:r>
          </w:p>
        </w:tc>
        <w:tc>
          <w:tcPr>
            <w:tcW w:type="dxa" w:w="3370"/>
            <w:tcMar>
              <w:top w:type="dxa" w:w="90"/>
              <w:left w:type="dxa" w:w="120"/>
              <w:bottom w:type="dxa" w:w="90"/>
              <w:right w:type="dxa" w:w="120"/>
            </w:tcMar>
          </w:tcPr>
          <w:p>
            <w:r>
              <w:rPr>
                <w:sz w:val="20"/>
                <w:szCs w:val="20"/>
              </w:rPr>
              <w:t xml:space="preserve">Negligible volume (0.4% of records); either dropping or median imputation will have virtually no effect on distributions or downstream model performance.</w:t>
            </w:r>
          </w:p>
        </w:tc>
      </w:tr>
    </w:tbl>
    <w:p>
      <w:pPr>
        <w:spacing w:after="160" w:line="276"/>
      </w:pPr>
      <w:r>
        <w:rPr>
          <w:sz w:val="22"/>
          <w:szCs w:val="22"/>
        </w:rPr>
        <w:t xml:space="preserve"/>
      </w:r>
    </w:p>
    <w:p>
      <w:pPr>
        <w:spacing w:after="160" w:line="276"/>
      </w:pPr>
      <w:r>
        <w:rPr>
          <w:sz w:val="22"/>
          <w:szCs w:val="22"/>
        </w:rPr>
        <w:t xml:space="preserve">No columns were removed outright: none of the three affected fields exceed roughly 8% missingness, which is well within the range where imputation is preferable to dropping the column and losing a potentially predictive variable.</w:t>
      </w:r>
    </w:p>
    <w:p>
      <w:pPr>
        <w:pStyle w:val="Heading1"/>
        <w:spacing w:after="150" w:before="300"/>
      </w:pPr>
      <w:r>
        <w:rPr>
          <w:b/>
          <w:bCs/>
          <w:color w:val="1F3864"/>
          <w:sz w:val="30"/>
          <w:szCs w:val="30"/>
        </w:rPr>
        <w:t xml:space="preserve">4. Risk Indicators and Modeling Implications</w:t>
      </w:r>
    </w:p>
    <w:p>
      <w:pPr>
        <w:pStyle w:val="ListParagraph"/>
        <w:numPr>
          <w:ilvl w:val="0"/>
          <w:numId w:val="1"/>
        </w:numPr>
        <w:spacing w:after="80" w:line="276"/>
      </w:pPr>
      <w:r>
        <w:rPr>
          <w:b/>
          <w:bCs/>
          <w:sz w:val="22"/>
          <w:szCs w:val="22"/>
        </w:rPr>
        <w:t xml:space="preserve">Combined high Debt-to-Income Ratio and high Credit Utilization is the strongest signal found: </w:t>
      </w:r>
      <w:r>
        <w:rPr>
          <w:sz w:val="22"/>
          <w:szCs w:val="22"/>
        </w:rPr>
        <w:t xml:space="preserve">customers with both DTI above 40% and utilization above 70% show a 50% delinquency rate versus a 15.7% baseline for everyone else — roughly 3x higher. Only 4 customers in this sample meet both conditions, so this finding is directional, not statistically robust, but it points to an interaction effect worth testing formally on a larger sample.</w:t>
      </w:r>
    </w:p>
    <w:p>
      <w:pPr>
        <w:pStyle w:val="ListParagraph"/>
        <w:numPr>
          <w:ilvl w:val="0"/>
          <w:numId w:val="1"/>
        </w:numPr>
        <w:spacing w:after="80" w:line="276"/>
      </w:pPr>
      <w:r>
        <w:rPr>
          <w:b/>
          <w:bCs/>
          <w:sz w:val="22"/>
          <w:szCs w:val="22"/>
        </w:rPr>
        <w:t xml:space="preserve">No single variable is strongly predictive in isolation: </w:t>
      </w:r>
      <w:r>
        <w:rPr>
          <w:sz w:val="22"/>
          <w:szCs w:val="22"/>
        </w:rPr>
        <w:t xml:space="preserve">correlations between Delinquent_Account and each individual numeric field (Income, Credit_Score, Credit_Utilization, Missed_Payments, Loan_Balance, Debt_to_Income_Ratio, Age, Account_Tenure) are all weak (|r| &lt; 0.05). This indicates delinquency in this dataset is likely driven by combinations of factors rather than any one variable, reinforcing the need for a multivariate model (e.g., logistic regression with interaction terms, or a tree-based model that captures interactions natively) rather than simple rule-based thresholds.</w:t>
      </w:r>
    </w:p>
    <w:p>
      <w:pPr>
        <w:pStyle w:val="ListParagraph"/>
        <w:numPr>
          <w:ilvl w:val="0"/>
          <w:numId w:val="1"/>
        </w:numPr>
        <w:spacing w:after="80" w:line="276"/>
      </w:pPr>
      <w:r>
        <w:rPr>
          <w:b/>
          <w:bCs/>
          <w:sz w:val="22"/>
          <w:szCs w:val="22"/>
        </w:rPr>
        <w:t xml:space="preserve">Missed_Payments does not show the expected pattern: </w:t>
      </w:r>
      <w:r>
        <w:rPr>
          <w:sz w:val="22"/>
          <w:szCs w:val="22"/>
        </w:rPr>
        <w:t xml:space="preserve">delinquency rates are roughly flat across 0–6 missed payments (14%–22%), with no clear upward trend. Combined with its disconnect from the Month_1–Month_6 log noted above, this field should be treated cautiously and validated against source data before being relied on as a primary risk driver.</w:t>
      </w:r>
    </w:p>
    <w:p>
      <w:pPr>
        <w:pStyle w:val="ListParagraph"/>
        <w:numPr>
          <w:ilvl w:val="0"/>
          <w:numId w:val="1"/>
        </w:numPr>
        <w:spacing w:after="80" w:line="276"/>
      </w:pPr>
      <w:r>
        <w:rPr>
          <w:b/>
          <w:bCs/>
          <w:sz w:val="22"/>
          <w:szCs w:val="22"/>
        </w:rPr>
        <w:t xml:space="preserve">Employment status shows a modest gap worth monitoring: </w:t>
      </w:r>
      <w:r>
        <w:rPr>
          <w:sz w:val="22"/>
          <w:szCs w:val="22"/>
        </w:rPr>
        <w:t xml:space="preserve">once labels are standardized, unemployed customers show the highest delinquency rate (19.3%) and retired customers the lowest (11.5%), a plausible but not yet strong pattern given the sample size per group.</w:t>
      </w:r>
    </w:p>
    <w:p>
      <w:pPr>
        <w:pStyle w:val="ListParagraph"/>
        <w:numPr>
          <w:ilvl w:val="0"/>
          <w:numId w:val="1"/>
        </w:numPr>
        <w:spacing w:after="80" w:line="276"/>
      </w:pPr>
      <w:r>
        <w:rPr>
          <w:b/>
          <w:bCs/>
          <w:sz w:val="22"/>
          <w:szCs w:val="22"/>
        </w:rPr>
        <w:t xml:space="preserve">Credit score bands show no clear monotonic relationship: </w:t>
      </w:r>
      <w:r>
        <w:rPr>
          <w:sz w:val="22"/>
          <w:szCs w:val="22"/>
        </w:rPr>
        <w:t xml:space="preserve">delinquency rates range narrowly from 14.3% to 20.7% across Poor, Fair, Good, Very Good, and Exceptional score bands, which is unexpected given how strongly credit score typically predicts delinquency in real-world data — this warrants a data-quality follow-up with Geldium to confirm the score field is populated and scaled correctly.</w:t>
      </w:r>
    </w:p>
    <w:p>
      <w:pPr>
        <w:pStyle w:val="Heading1"/>
        <w:spacing w:after="150" w:before="300"/>
      </w:pPr>
      <w:r>
        <w:rPr>
          <w:b/>
          <w:bCs/>
          <w:color w:val="1F3864"/>
          <w:sz w:val="30"/>
          <w:szCs w:val="30"/>
        </w:rPr>
        <w:t xml:space="preserve">5. Summary of Data Quality Observations</w:t>
      </w:r>
    </w:p>
    <w:p>
      <w:pPr>
        <w:spacing w:after="160" w:line="276"/>
      </w:pPr>
      <w:r>
        <w:rPr>
          <w:sz w:val="22"/>
          <w:szCs w:val="22"/>
        </w:rPr>
        <w:t xml:space="preserve">Overall, the dataset is structurally clean — no duplicate customers, no impossible values, and only modest missingness confined to three numeric fields — but it is not yet analysis-ready. Employment_Status needs label standardization, Credit_Utilization contains a small number of over-100% outliers that should be validated rather than assumed correct, and the two independent measures of missed payments disagree with each other, which needs to be reconciled before either is trusted as a model input. Most notably, individual risk factors show surprisingly weak standalone correlation with delinquency, while a combined high-DTI/high-utilization profile shows a much stronger signal; this suggests the upcoming predictive model should prioritize interaction effects and multivariate techniques over single-variable risk rules.</w:t>
      </w:r>
    </w:p>
    <w:p>
      <w:pPr>
        <w:pBdr>
          <w:top w:val="single" w:color="BFBFBF" w:sz="6" w:space="6"/>
        </w:pBdr>
        <w:spacing w:before="300"/>
      </w:pPr>
      <w:r>
        <w:rPr>
          <w:i/>
          <w:iCs/>
          <w:color w:val="595959"/>
          <w:sz w:val="18"/>
          <w:szCs w:val="18"/>
        </w:rPr>
        <w:t xml:space="preserve">Prepared using exploratory data analysis of Geldium_Delinquency_prediction_dataset.xlsx (500 records, 19 fields).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2026-08-01T10:14:44.109Z</dcterms:created>
  <dcterms:modified xsi:type="dcterms:W3CDTF">2026-08-01T10:14:44.126Z</dcterms:modified>
</cp:coreProperties>
</file>

<file path=docProps/custom.xml><?xml version="1.0" encoding="utf-8"?>
<Properties xmlns="http://schemas.openxmlformats.org/officeDocument/2006/custom-properties" xmlns:vt="http://schemas.openxmlformats.org/officeDocument/2006/docPropsVTypes"/>
</file>