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Geldium Delinquency Prediction Project</w:t>
      </w:r>
    </w:p>
    <w:p>
      <w:pPr>
        <w:spacing w:after="40"/>
      </w:pPr>
      <w:r>
        <w:rPr>
          <w:color w:val="595959"/>
          <w:sz w:val="26"/>
          <w:szCs w:val="26"/>
        </w:rPr>
        <w:t xml:space="preserve">Task 2: Predictive Modeling Plan</w:t>
      </w:r>
    </w:p>
    <w:p>
      <w:pPr>
        <w:pBdr>
          <w:bottom w:val="single" w:color="1F3864" w:sz="12" w:space="6"/>
        </w:pBdr>
        <w:spacing w:after="240"/>
      </w:pPr>
      <w:r>
        <w:rPr>
          <w:i/>
          <w:iCs/>
          <w:color w:val="595959"/>
          <w:sz w:val="20"/>
          <w:szCs w:val="20"/>
        </w:rPr>
        <w:t xml:space="preserve">Prepared for: Tata iQ Analytics Team &amp; Geldium Decision-Makers</w:t>
      </w:r>
    </w:p>
    <w:p>
      <w:pPr>
        <w:spacing w:after="160" w:line="276"/>
      </w:pPr>
      <w:r>
        <w:rPr>
          <w:sz w:val="22"/>
          <w:szCs w:val="22"/>
        </w:rPr>
        <w:t xml:space="preserve">This plan builds directly on the Task 1 EDA findings: a 500-customer dataset with a 16% delinquency rate (class imbalance), weak standalone correlations between individual variables and delinquency, a strong interaction effect between Debt-to-Income Ratio and Credit Utilization, inconsistent Employment_Status labels, and a handful of missing/outlier values already identified and planned for treatment.</w:t>
      </w:r>
    </w:p>
    <w:p>
      <w:pPr>
        <w:pStyle w:val="Heading1"/>
        <w:spacing w:after="150" w:before="300"/>
      </w:pPr>
      <w:r>
        <w:rPr>
          <w:b/>
          <w:bCs/>
          <w:color w:val="1F3864"/>
          <w:sz w:val="30"/>
          <w:szCs w:val="30"/>
        </w:rPr>
        <w:t xml:space="preserve">1. Model Logic</w:t>
      </w:r>
    </w:p>
    <w:p>
      <w:pPr>
        <w:pStyle w:val="Heading2"/>
        <w:spacing w:after="110" w:before="220"/>
      </w:pPr>
      <w:r>
        <w:rPr>
          <w:b/>
          <w:bCs/>
          <w:color w:val="1F3864"/>
          <w:sz w:val="24"/>
          <w:szCs w:val="24"/>
        </w:rPr>
        <w:t xml:space="preserve">1.1 Recommended Model Type</w:t>
      </w:r>
    </w:p>
    <w:p>
      <w:pPr>
        <w:spacing w:after="160" w:line="276"/>
      </w:pPr>
      <w:r>
        <w:rPr>
          <w:sz w:val="22"/>
          <w:szCs w:val="22"/>
        </w:rPr>
        <w:t xml:space="preserve">Two modeling options were considered, one simple and one complex, consistent with standard practice for financial risk scoring.</w:t>
      </w:r>
    </w:p>
    <w:p>
      <w:pPr>
        <w:pStyle w:val="ListParagraph"/>
        <w:numPr>
          <w:ilvl w:val="0"/>
          <w:numId w:val="1"/>
        </w:numPr>
        <w:spacing w:after="80" w:line="276"/>
      </w:pPr>
      <w:r>
        <w:rPr>
          <w:b/>
          <w:bCs/>
          <w:sz w:val="22"/>
          <w:szCs w:val="22"/>
        </w:rPr>
        <w:t xml:space="preserve">Option A — Logistic Regression (recommended as primary/production model): </w:t>
      </w:r>
      <w:r>
        <w:rPr>
          <w:sz w:val="22"/>
          <w:szCs w:val="22"/>
        </w:rPr>
        <w:t xml:space="preserve">a linear model that estimates the probability of delinquency as a weighted combination of input features, including an engineered interaction term for high DTI × high Credit Utilization. It outputs a probability (0–1) that can be converted into a risk score and used directly in reason-code style explanations.</w:t>
      </w:r>
    </w:p>
    <w:p>
      <w:pPr>
        <w:pStyle w:val="ListParagraph"/>
        <w:numPr>
          <w:ilvl w:val="0"/>
          <w:numId w:val="1"/>
        </w:numPr>
        <w:spacing w:after="80" w:line="276"/>
      </w:pPr>
      <w:r>
        <w:rPr>
          <w:b/>
          <w:bCs/>
          <w:sz w:val="22"/>
          <w:szCs w:val="22"/>
        </w:rPr>
        <w:t xml:space="preserve">Option B — Gradient Boosted Trees (e.g., XGBoost/LightGBM) (recommended as a challenger model): </w:t>
      </w:r>
      <w:r>
        <w:rPr>
          <w:sz w:val="22"/>
          <w:szCs w:val="22"/>
        </w:rPr>
        <w:t xml:space="preserve">an ensemble of decision trees that automatically captures non-linear relationships and variable interactions — relevant here, since EDA found the DTI/Utilization interaction was the strongest single risk signal and individual variables were weak on their own. Trees can pick up this kind of pattern without it being hand-engineered.</w:t>
      </w:r>
    </w:p>
    <w:p>
      <w:pPr>
        <w:spacing w:after="160" w:line="276"/>
      </w:pPr>
      <w:r>
        <w:rPr>
          <w:sz w:val="22"/>
          <w:szCs w:val="22"/>
        </w:rPr>
        <w:t xml:space="preserve">Recommendation: deploy Logistic Regression as the primary model given the interpretability, auditability, and regulatory demands of consumer credit decisions (see Section 2), while running Gradient Boosted Trees in parallel as a benchmark to quantify how much predictive lift is being left on the table by prioritizing explainability. If the lift is small, logistic regression stays in production; if it is large, a hybrid approach (e.g., tree-based model with SHAP-based explanations) can be reconsidered with compliance sign-off.</w:t>
      </w:r>
    </w:p>
    <w:p>
      <w:pPr>
        <w:pStyle w:val="Heading2"/>
        <w:spacing w:after="110" w:before="220"/>
      </w:pPr>
      <w:r>
        <w:rPr>
          <w:b/>
          <w:bCs/>
          <w:color w:val="1F3864"/>
          <w:sz w:val="24"/>
          <w:szCs w:val="24"/>
        </w:rPr>
        <w:t xml:space="preserve">1.2 Top 5 Input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rPr>
          <w:tblHeader/>
        </w:trPr>
        <w:tc>
          <w:tcPr>
            <w:tcW w:type="dxa" w:w="3557"/>
            <w:shd w:fill="1F3864" w:val="clear"/>
            <w:tcMar>
              <w:top w:type="dxa" w:w="100"/>
              <w:left w:type="dxa" w:w="120"/>
              <w:bottom w:type="dxa" w:w="100"/>
              <w:right w:type="dxa" w:w="120"/>
            </w:tcMar>
          </w:tcPr>
          <w:p>
            <w:r>
              <w:rPr>
                <w:b/>
                <w:bCs/>
                <w:color w:val="FFFFFF"/>
                <w:sz w:val="20"/>
                <w:szCs w:val="20"/>
              </w:rPr>
              <w:t xml:space="preserve">Feature</w:t>
            </w:r>
          </w:p>
        </w:tc>
        <w:tc>
          <w:tcPr>
            <w:tcW w:type="dxa" w:w="5803"/>
            <w:shd w:fill="1F3864" w:val="clear"/>
            <w:tcMar>
              <w:top w:type="dxa" w:w="100"/>
              <w:left w:type="dxa" w:w="120"/>
              <w:bottom w:type="dxa" w:w="100"/>
              <w:right w:type="dxa" w:w="120"/>
            </w:tcMar>
          </w:tcPr>
          <w:p>
            <w:r>
              <w:rPr>
                <w:b/>
                <w:bCs/>
                <w:color w:val="FFFFFF"/>
                <w:sz w:val="20"/>
                <w:szCs w:val="20"/>
              </w:rPr>
              <w:t xml:space="preserve">Why it matters (from EDA)</w:t>
            </w:r>
          </w:p>
        </w:tc>
      </w:tr>
      <w:tr>
        <w:tc>
          <w:tcPr>
            <w:tcW w:type="dxa" w:w="3557"/>
            <w:tcMar>
              <w:top w:type="dxa" w:w="90"/>
              <w:left w:type="dxa" w:w="120"/>
              <w:bottom w:type="dxa" w:w="90"/>
              <w:right w:type="dxa" w:w="120"/>
            </w:tcMar>
          </w:tcPr>
          <w:p>
            <w:r>
              <w:rPr>
                <w:sz w:val="20"/>
                <w:szCs w:val="20"/>
              </w:rPr>
              <w:t xml:space="preserve">Debt-to-Income Ratio × Credit Utilization (interaction term)</w:t>
            </w:r>
          </w:p>
        </w:tc>
        <w:tc>
          <w:tcPr>
            <w:tcW w:type="dxa" w:w="5803"/>
            <w:tcMar>
              <w:top w:type="dxa" w:w="90"/>
              <w:left w:type="dxa" w:w="120"/>
              <w:bottom w:type="dxa" w:w="90"/>
              <w:right w:type="dxa" w:w="120"/>
            </w:tcMar>
          </w:tcPr>
          <w:p>
            <w:r>
              <w:rPr>
                <w:sz w:val="20"/>
                <w:szCs w:val="20"/>
              </w:rPr>
              <w:t xml:space="preserve">The single strongest signal found in EDA: customers high on both showed a 50% delinquency rate vs. 15.7% baseline.</w:t>
            </w:r>
          </w:p>
        </w:tc>
      </w:tr>
      <w:tr>
        <w:tc>
          <w:tcPr>
            <w:tcW w:type="dxa" w:w="3557"/>
            <w:shd w:fill="F2F2F2" w:val="clear"/>
            <w:tcMar>
              <w:top w:type="dxa" w:w="90"/>
              <w:left w:type="dxa" w:w="120"/>
              <w:bottom w:type="dxa" w:w="90"/>
              <w:right w:type="dxa" w:w="120"/>
            </w:tcMar>
          </w:tcPr>
          <w:p>
            <w:r>
              <w:rPr>
                <w:sz w:val="20"/>
                <w:szCs w:val="20"/>
              </w:rPr>
              <w:t xml:space="preserve">Credit Utilization</w:t>
            </w:r>
          </w:p>
        </w:tc>
        <w:tc>
          <w:tcPr>
            <w:tcW w:type="dxa" w:w="5803"/>
            <w:shd w:fill="F2F2F2" w:val="clear"/>
            <w:tcMar>
              <w:top w:type="dxa" w:w="90"/>
              <w:left w:type="dxa" w:w="120"/>
              <w:bottom w:type="dxa" w:w="90"/>
              <w:right w:type="dxa" w:w="120"/>
            </w:tcMar>
          </w:tcPr>
          <w:p>
            <w:r>
              <w:rPr>
                <w:sz w:val="20"/>
                <w:szCs w:val="20"/>
              </w:rPr>
              <w:t xml:space="preserve">Reflects how stretched a customer's available credit is; also where the small number of over-100% outliers were found and should be capped/validated.</w:t>
            </w:r>
          </w:p>
        </w:tc>
      </w:tr>
      <w:tr>
        <w:tc>
          <w:tcPr>
            <w:tcW w:type="dxa" w:w="3557"/>
            <w:tcMar>
              <w:top w:type="dxa" w:w="90"/>
              <w:left w:type="dxa" w:w="120"/>
              <w:bottom w:type="dxa" w:w="90"/>
              <w:right w:type="dxa" w:w="120"/>
            </w:tcMar>
          </w:tcPr>
          <w:p>
            <w:r>
              <w:rPr>
                <w:sz w:val="20"/>
                <w:szCs w:val="20"/>
              </w:rPr>
              <w:t xml:space="preserve">Debt-to-Income Ratio</w:t>
            </w:r>
          </w:p>
        </w:tc>
        <w:tc>
          <w:tcPr>
            <w:tcW w:type="dxa" w:w="5803"/>
            <w:tcMar>
              <w:top w:type="dxa" w:w="90"/>
              <w:left w:type="dxa" w:w="120"/>
              <w:bottom w:type="dxa" w:w="90"/>
              <w:right w:type="dxa" w:w="120"/>
            </w:tcMar>
          </w:tcPr>
          <w:p>
            <w:r>
              <w:rPr>
                <w:sz w:val="20"/>
                <w:szCs w:val="20"/>
              </w:rPr>
              <w:t xml:space="preserve">Standard indicator of repayment capacity relative to income; combines with utilization above.</w:t>
            </w:r>
          </w:p>
        </w:tc>
      </w:tr>
      <w:tr>
        <w:tc>
          <w:tcPr>
            <w:tcW w:type="dxa" w:w="3557"/>
            <w:shd w:fill="F2F2F2" w:val="clear"/>
            <w:tcMar>
              <w:top w:type="dxa" w:w="90"/>
              <w:left w:type="dxa" w:w="120"/>
              <w:bottom w:type="dxa" w:w="90"/>
              <w:right w:type="dxa" w:w="120"/>
            </w:tcMar>
          </w:tcPr>
          <w:p>
            <w:r>
              <w:rPr>
                <w:sz w:val="20"/>
                <w:szCs w:val="20"/>
              </w:rPr>
              <w:t xml:space="preserve">Employment_Status (standardized)</w:t>
            </w:r>
          </w:p>
        </w:tc>
        <w:tc>
          <w:tcPr>
            <w:tcW w:type="dxa" w:w="5803"/>
            <w:shd w:fill="F2F2F2" w:val="clear"/>
            <w:tcMar>
              <w:top w:type="dxa" w:w="90"/>
              <w:left w:type="dxa" w:w="120"/>
              <w:bottom w:type="dxa" w:w="90"/>
              <w:right w:type="dxa" w:w="120"/>
            </w:tcMar>
          </w:tcPr>
          <w:p>
            <w:r>
              <w:rPr>
                <w:sz w:val="20"/>
                <w:szCs w:val="20"/>
              </w:rPr>
              <w:t xml:space="preserve">Unemployed customers showed the highest delinquency rate (19.3%) vs. retired (11.5%) once labels were cleaned up.</w:t>
            </w:r>
          </w:p>
        </w:tc>
      </w:tr>
      <w:tr>
        <w:tc>
          <w:tcPr>
            <w:tcW w:type="dxa" w:w="3557"/>
            <w:tcMar>
              <w:top w:type="dxa" w:w="90"/>
              <w:left w:type="dxa" w:w="120"/>
              <w:bottom w:type="dxa" w:w="90"/>
              <w:right w:type="dxa" w:w="120"/>
            </w:tcMar>
          </w:tcPr>
          <w:p>
            <w:r>
              <w:rPr>
                <w:sz w:val="20"/>
                <w:szCs w:val="20"/>
              </w:rPr>
              <w:t xml:space="preserve">6-month payment status log (Month_1–Month_6, converted to counts of Late/Missed)</w:t>
            </w:r>
          </w:p>
        </w:tc>
        <w:tc>
          <w:tcPr>
            <w:tcW w:type="dxa" w:w="5803"/>
            <w:tcMar>
              <w:top w:type="dxa" w:w="90"/>
              <w:left w:type="dxa" w:w="120"/>
              <w:bottom w:type="dxa" w:w="90"/>
              <w:right w:type="dxa" w:w="120"/>
            </w:tcMar>
          </w:tcPr>
          <w:p>
            <w:r>
              <w:rPr>
                <w:sz w:val="20"/>
                <w:szCs w:val="20"/>
              </w:rPr>
              <w:t xml:space="preserve">A more granular, recent behavioral signal than the single Missed_Payments field, which showed inconsistencies with this log during EDA.</w:t>
            </w:r>
          </w:p>
        </w:tc>
      </w:tr>
    </w:tbl>
    <w:p>
      <w:pPr>
        <w:spacing w:after="160" w:line="276"/>
      </w:pPr>
      <w:r>
        <w:rPr>
          <w:sz w:val="22"/>
          <w:szCs w:val="22"/>
        </w:rPr>
        <w:t xml:space="preserve"/>
      </w:r>
    </w:p>
    <w:p>
      <w:pPr>
        <w:spacing w:after="160" w:line="276"/>
      </w:pPr>
      <w:r>
        <w:rPr>
          <w:sz w:val="22"/>
          <w:szCs w:val="22"/>
        </w:rPr>
        <w:t xml:space="preserve">Credit_Score, Income, Loan_Balance, and Account_Tenure would still be included as supporting features (and used in the missing-value handling defined in Task 1), but did not show strong standalone signal in EDA and are treated as secondary rather than top predictors.</w:t>
      </w:r>
    </w:p>
    <w:p>
      <w:pPr>
        <w:pStyle w:val="Heading2"/>
        <w:spacing w:after="110" w:before="220"/>
      </w:pPr>
      <w:r>
        <w:rPr>
          <w:b/>
          <w:bCs/>
          <w:color w:val="1F3864"/>
          <w:sz w:val="24"/>
          <w:szCs w:val="24"/>
        </w:rPr>
        <w:t xml:space="preserve">1.3 General Workflow</w:t>
      </w:r>
    </w:p>
    <w:p>
      <w:pPr>
        <w:pStyle w:val="ListParagraph"/>
        <w:numPr>
          <w:ilvl w:val="0"/>
          <w:numId w:val="1"/>
        </w:numPr>
        <w:spacing w:after="80" w:line="276"/>
      </w:pPr>
      <w:r>
        <w:rPr>
          <w:b/>
          <w:bCs/>
          <w:sz w:val="22"/>
          <w:szCs w:val="22"/>
        </w:rPr>
        <w:t xml:space="preserve">1. Data ingestion: </w:t>
      </w:r>
      <w:r>
        <w:rPr>
          <w:sz w:val="22"/>
          <w:szCs w:val="22"/>
        </w:rPr>
        <w:t xml:space="preserve">load the customer record set (demographics, financials, behavioral history) from Geldium's source systems.</w:t>
      </w:r>
    </w:p>
    <w:p>
      <w:pPr>
        <w:pStyle w:val="ListParagraph"/>
        <w:numPr>
          <w:ilvl w:val="0"/>
          <w:numId w:val="1"/>
        </w:numPr>
        <w:spacing w:after="80" w:line="276"/>
      </w:pPr>
      <w:r>
        <w:rPr>
          <w:b/>
          <w:bCs/>
          <w:sz w:val="22"/>
          <w:szCs w:val="22"/>
        </w:rPr>
        <w:t xml:space="preserve">2. Preprocessing: </w:t>
      </w:r>
      <w:r>
        <w:rPr>
          <w:sz w:val="22"/>
          <w:szCs w:val="22"/>
        </w:rPr>
        <w:t xml:space="preserve">apply the Task 1 missing-value treatments (median imputation for Income/Loan_Balance/Credit_Score, missing-indicator flag for Loan_Balance), standardize Employment_Status labels, and cap or flag Credit_Utilization outliers above 100%.</w:t>
      </w:r>
    </w:p>
    <w:p>
      <w:pPr>
        <w:pStyle w:val="ListParagraph"/>
        <w:numPr>
          <w:ilvl w:val="0"/>
          <w:numId w:val="1"/>
        </w:numPr>
        <w:spacing w:after="80" w:line="276"/>
      </w:pPr>
      <w:r>
        <w:rPr>
          <w:b/>
          <w:bCs/>
          <w:sz w:val="22"/>
          <w:szCs w:val="22"/>
        </w:rPr>
        <w:t xml:space="preserve">3. Feature engineering: </w:t>
      </w:r>
      <w:r>
        <w:rPr>
          <w:sz w:val="22"/>
          <w:szCs w:val="22"/>
        </w:rPr>
        <w:t xml:space="preserve">scale numeric features, one-hot encode categorical features (Employment_Status, Credit_Card_Type, Location), and construct the DTI × Utilization interaction term identified as high-value in EDA.</w:t>
      </w:r>
    </w:p>
    <w:p>
      <w:pPr>
        <w:pStyle w:val="ListParagraph"/>
        <w:numPr>
          <w:ilvl w:val="0"/>
          <w:numId w:val="1"/>
        </w:numPr>
        <w:spacing w:after="80" w:line="276"/>
      </w:pPr>
      <w:r>
        <w:rPr>
          <w:b/>
          <w:bCs/>
          <w:sz w:val="22"/>
          <w:szCs w:val="22"/>
        </w:rPr>
        <w:t xml:space="preserve">4. Train/test split: </w:t>
      </w:r>
      <w:r>
        <w:rPr>
          <w:sz w:val="22"/>
          <w:szCs w:val="22"/>
        </w:rPr>
        <w:t xml:space="preserve">split data (e.g., 70/30 or with cross-validation) using stratified sampling on the target to preserve the 16% delinquency rate in both sets, given the class imbalance.</w:t>
      </w:r>
    </w:p>
    <w:p>
      <w:pPr>
        <w:pStyle w:val="ListParagraph"/>
        <w:numPr>
          <w:ilvl w:val="0"/>
          <w:numId w:val="1"/>
        </w:numPr>
        <w:spacing w:after="80" w:line="276"/>
      </w:pPr>
      <w:r>
        <w:rPr>
          <w:b/>
          <w:bCs/>
          <w:sz w:val="22"/>
          <w:szCs w:val="22"/>
        </w:rPr>
        <w:t xml:space="preserve">5. Model training: </w:t>
      </w:r>
      <w:r>
        <w:rPr>
          <w:sz w:val="22"/>
          <w:szCs w:val="22"/>
        </w:rPr>
        <w:t xml:space="preserve">fit the logistic regression model (and the gradient boosted benchmark) on the training set; apply class weighting to counteract imbalance.</w:t>
      </w:r>
    </w:p>
    <w:p>
      <w:pPr>
        <w:pStyle w:val="ListParagraph"/>
        <w:numPr>
          <w:ilvl w:val="0"/>
          <w:numId w:val="1"/>
        </w:numPr>
        <w:spacing w:after="80" w:line="276"/>
      </w:pPr>
      <w:r>
        <w:rPr>
          <w:b/>
          <w:bCs/>
          <w:sz w:val="22"/>
          <w:szCs w:val="22"/>
        </w:rPr>
        <w:t xml:space="preserve">6. Prediction output: </w:t>
      </w:r>
      <w:r>
        <w:rPr>
          <w:sz w:val="22"/>
          <w:szCs w:val="22"/>
        </w:rPr>
        <w:t xml:space="preserve">the model outputs a probability of delinquency per customer, which is converted into a risk score/tier (e.g., Low / Medium / High) using business-defined thresholds.</w:t>
      </w:r>
    </w:p>
    <w:p>
      <w:pPr>
        <w:pStyle w:val="ListParagraph"/>
        <w:numPr>
          <w:ilvl w:val="0"/>
          <w:numId w:val="1"/>
        </w:numPr>
        <w:spacing w:after="80" w:line="276"/>
      </w:pPr>
      <w:r>
        <w:rPr>
          <w:b/>
          <w:bCs/>
          <w:sz w:val="22"/>
          <w:szCs w:val="22"/>
        </w:rPr>
        <w:t xml:space="preserve">7. Downstream use: </w:t>
      </w:r>
      <w:r>
        <w:rPr>
          <w:sz w:val="22"/>
          <w:szCs w:val="22"/>
        </w:rPr>
        <w:t xml:space="preserve">risk tiers feed into the collections/outreach strategy (Task 4), prioritizing high-risk customers for earlier intervention.</w:t>
      </w:r>
    </w:p>
    <w:p>
      <w:pPr>
        <w:pStyle w:val="Heading1"/>
        <w:spacing w:after="150" w:before="300"/>
      </w:pPr>
      <w:r>
        <w:rPr>
          <w:b/>
          <w:bCs/>
          <w:color w:val="1F3864"/>
          <w:sz w:val="30"/>
          <w:szCs w:val="30"/>
        </w:rPr>
        <w:t xml:space="preserve">2. Model Justification</w:t>
      </w:r>
    </w:p>
    <w:p>
      <w:pPr>
        <w:spacing w:after="160" w:line="276"/>
      </w:pPr>
      <w:r>
        <w:rPr>
          <w:sz w:val="22"/>
          <w:szCs w:val="22"/>
        </w:rPr>
        <w:t xml:space="preserve">Logistic regression is the recommended primary model because it directly addresses Geldium's operational constraints as much as its predictive needs. In consumer lending and collections, decisions that affect a customer's credit access are subject to regulatory expectations (e.g., adverse action notices, fair lending compliance) that require the business to explain why a customer received a given risk score — something logistic regression supports natively through interpretable coefficients, whereas a gradient boosted tree ensemble requires additional explainability tooling (e.g., SHAP values) to achieve similar transparency. Logistic regression is also lightweight to deploy, fast to score in real time, simple to monitor for drift (coefficients are stable and inspectable), and easy for non-technical stakeholders to sanity-check against domain knowledge. Its main trade-off is that, on its own, it cannot automatically discover interaction effects like the DTI×Utilization pattern found in EDA — which is why the plan explicitly engineers that interaction as an input feature rather than relying on the model to find it, and keeps a gradient boosted model as a benchmark to confirm that this simpler, more explainable approach is not leaving significant accuracy on the table.</w:t>
      </w:r>
    </w:p>
    <w:p>
      <w:pPr>
        <w:pStyle w:val="Heading1"/>
        <w:spacing w:after="150" w:before="300"/>
      </w:pPr>
      <w:r>
        <w:rPr>
          <w:b/>
          <w:bCs/>
          <w:color w:val="1F3864"/>
          <w:sz w:val="30"/>
          <w:szCs w:val="30"/>
        </w:rPr>
        <w:t xml:space="preserve">3. Evaluation Strategy</w:t>
      </w:r>
    </w:p>
    <w:p>
      <w:pPr>
        <w:pStyle w:val="Heading2"/>
        <w:spacing w:after="110" w:before="220"/>
      </w:pPr>
      <w:r>
        <w:rPr>
          <w:b/>
          <w:bCs/>
          <w:color w:val="1F3864"/>
          <w:sz w:val="24"/>
          <w:szCs w:val="24"/>
        </w:rPr>
        <w:t xml:space="preserve">3.1 Accuracy and Reliability Metrics</w:t>
      </w:r>
    </w:p>
    <w:p>
      <w:pPr>
        <w:spacing w:after="160" w:line="276"/>
      </w:pPr>
      <w:r>
        <w:rPr>
          <w:sz w:val="22"/>
          <w:szCs w:val="22"/>
        </w:rPr>
        <w:t xml:space="preserve">Because only 16% of customers are delinquent, raw accuracy would be misleading (a model predicting “never delinquent” would score 84% accuracy while being useless). Evaluation will instead prioritize:</w:t>
      </w:r>
    </w:p>
    <w:p>
      <w:pPr>
        <w:pStyle w:val="ListParagraph"/>
        <w:numPr>
          <w:ilvl w:val="0"/>
          <w:numId w:val="1"/>
        </w:numPr>
        <w:spacing w:after="80" w:line="276"/>
      </w:pPr>
      <w:r>
        <w:rPr>
          <w:b/>
          <w:bCs/>
          <w:sz w:val="22"/>
          <w:szCs w:val="22"/>
        </w:rPr>
        <w:t xml:space="preserve">Precision and Recall: </w:t>
      </w:r>
      <w:r>
        <w:rPr>
          <w:sz w:val="22"/>
          <w:szCs w:val="22"/>
        </w:rPr>
        <w:t xml:space="preserve">precision indicates how many flagged high-risk customers are truly at risk (important for not wasting collections resources); recall indicates how many truly at-risk customers the model catches (important for not missing customers who need intervention).</w:t>
      </w:r>
    </w:p>
    <w:p>
      <w:pPr>
        <w:pStyle w:val="ListParagraph"/>
        <w:numPr>
          <w:ilvl w:val="0"/>
          <w:numId w:val="1"/>
        </w:numPr>
        <w:spacing w:after="80" w:line="276"/>
      </w:pPr>
      <w:r>
        <w:rPr>
          <w:b/>
          <w:bCs/>
          <w:sz w:val="22"/>
          <w:szCs w:val="22"/>
        </w:rPr>
        <w:t xml:space="preserve">F1 Score: </w:t>
      </w:r>
      <w:r>
        <w:rPr>
          <w:sz w:val="22"/>
          <w:szCs w:val="22"/>
        </w:rPr>
        <w:t xml:space="preserve">the balance between precision and recall, useful as a single comparison metric between the logistic regression and gradient boosted candidates.</w:t>
      </w:r>
    </w:p>
    <w:p>
      <w:pPr>
        <w:pStyle w:val="ListParagraph"/>
        <w:numPr>
          <w:ilvl w:val="0"/>
          <w:numId w:val="1"/>
        </w:numPr>
        <w:spacing w:after="80" w:line="276"/>
      </w:pPr>
      <w:r>
        <w:rPr>
          <w:b/>
          <w:bCs/>
          <w:sz w:val="22"/>
          <w:szCs w:val="22"/>
        </w:rPr>
        <w:t xml:space="preserve">AUC-ROC: </w:t>
      </w:r>
      <w:r>
        <w:rPr>
          <w:sz w:val="22"/>
          <w:szCs w:val="22"/>
        </w:rPr>
        <w:t xml:space="preserve">measures how well the model ranks at-risk customers above not-at-risk customers across all thresholds, independent of any single cutoff — useful since the final risk-tier thresholds will likely be tuned by the business after model selection.</w:t>
      </w:r>
    </w:p>
    <w:p>
      <w:pPr>
        <w:pStyle w:val="ListParagraph"/>
        <w:numPr>
          <w:ilvl w:val="0"/>
          <w:numId w:val="1"/>
        </w:numPr>
        <w:spacing w:after="80" w:line="276"/>
      </w:pPr>
      <w:r>
        <w:rPr>
          <w:b/>
          <w:bCs/>
          <w:sz w:val="22"/>
          <w:szCs w:val="22"/>
        </w:rPr>
        <w:t xml:space="preserve">Calibration: </w:t>
      </w:r>
      <w:r>
        <w:rPr>
          <w:sz w:val="22"/>
          <w:szCs w:val="22"/>
        </w:rPr>
        <w:t xml:space="preserve">checks whether a predicted 20% delinquency probability actually corresponds to roughly 20% observed delinquency in that group — important because the output will be used as an actual risk score, not just a ranking.</w:t>
      </w:r>
    </w:p>
    <w:p>
      <w:pPr>
        <w:pStyle w:val="ListParagraph"/>
        <w:numPr>
          <w:ilvl w:val="0"/>
          <w:numId w:val="1"/>
        </w:numPr>
        <w:spacing w:after="80" w:line="276"/>
      </w:pPr>
      <w:r>
        <w:rPr>
          <w:b/>
          <w:bCs/>
          <w:sz w:val="22"/>
          <w:szCs w:val="22"/>
        </w:rPr>
        <w:t xml:space="preserve">Confusion Matrix Review: </w:t>
      </w:r>
      <w:r>
        <w:rPr>
          <w:sz w:val="22"/>
          <w:szCs w:val="22"/>
        </w:rPr>
        <w:t xml:space="preserve">inspected at the chosen decision threshold to understand the real-world cost trade-off between false positives (unnecessary outreach) and false negatives (missed at-risk customers).</w:t>
      </w:r>
    </w:p>
    <w:p>
      <w:pPr>
        <w:pStyle w:val="Heading2"/>
        <w:spacing w:after="110" w:before="220"/>
      </w:pPr>
      <w:r>
        <w:rPr>
          <w:b/>
          <w:bCs/>
          <w:color w:val="1F3864"/>
          <w:sz w:val="24"/>
          <w:szCs w:val="24"/>
        </w:rPr>
        <w:t xml:space="preserve">3.2 Fairness and Bias Checks</w:t>
      </w:r>
    </w:p>
    <w:p>
      <w:pPr>
        <w:spacing w:after="160" w:line="276"/>
      </w:pPr>
      <w:r>
        <w:rPr>
          <w:sz w:val="22"/>
          <w:szCs w:val="22"/>
        </w:rPr>
        <w:t xml:space="preserve">Given that Employment_Status, Location, and Age are included or correlated with model inputs, the model will be evaluated for disparate impact before deployment:</w:t>
      </w:r>
    </w:p>
    <w:p>
      <w:pPr>
        <w:pStyle w:val="ListParagraph"/>
        <w:numPr>
          <w:ilvl w:val="0"/>
          <w:numId w:val="1"/>
        </w:numPr>
        <w:spacing w:after="80" w:line="276"/>
      </w:pPr>
      <w:r>
        <w:rPr>
          <w:b/>
          <w:bCs/>
          <w:sz w:val="22"/>
          <w:szCs w:val="22"/>
        </w:rPr>
        <w:t xml:space="preserve">Subgroup performance comparison: </w:t>
      </w:r>
      <w:r>
        <w:rPr>
          <w:sz w:val="22"/>
          <w:szCs w:val="22"/>
        </w:rPr>
        <w:t xml:space="preserve">recompute precision, recall, and false positive rate separately across Employment_Status categories, Location, Age bands, and Credit_Card_Type tiers to check the model does not systematically over-flag or under-serve any group.</w:t>
      </w:r>
    </w:p>
    <w:p>
      <w:pPr>
        <w:pStyle w:val="ListParagraph"/>
        <w:numPr>
          <w:ilvl w:val="0"/>
          <w:numId w:val="1"/>
        </w:numPr>
        <w:spacing w:after="80" w:line="276"/>
      </w:pPr>
      <w:r>
        <w:rPr>
          <w:b/>
          <w:bCs/>
          <w:sz w:val="22"/>
          <w:szCs w:val="22"/>
        </w:rPr>
        <w:t xml:space="preserve">Disparate impact ratio: </w:t>
      </w:r>
      <w:r>
        <w:rPr>
          <w:sz w:val="22"/>
          <w:szCs w:val="22"/>
        </w:rPr>
        <w:t xml:space="preserve">compare the rate at which each group is flagged high-risk relative to the group with the lowest flag rate; a commonly used threshold (the “80% rule”) flags potential adverse impact if any group's selection rate falls below 80% of the most-favored group's rate.</w:t>
      </w:r>
    </w:p>
    <w:p>
      <w:pPr>
        <w:pStyle w:val="ListParagraph"/>
        <w:numPr>
          <w:ilvl w:val="0"/>
          <w:numId w:val="1"/>
        </w:numPr>
        <w:spacing w:after="80" w:line="276"/>
      </w:pPr>
      <w:r>
        <w:rPr>
          <w:b/>
          <w:bCs/>
          <w:sz w:val="22"/>
          <w:szCs w:val="22"/>
        </w:rPr>
        <w:t xml:space="preserve">Equal opportunity difference: </w:t>
      </w:r>
      <w:r>
        <w:rPr>
          <w:sz w:val="22"/>
          <w:szCs w:val="22"/>
        </w:rPr>
        <w:t xml:space="preserve">compare true positive rates (recall) across groups — ideally, genuinely at-risk customers in every group are caught at similar rates.</w:t>
      </w:r>
    </w:p>
    <w:p>
      <w:pPr>
        <w:pStyle w:val="ListParagraph"/>
        <w:numPr>
          <w:ilvl w:val="0"/>
          <w:numId w:val="1"/>
        </w:numPr>
        <w:spacing w:after="80" w:line="276"/>
      </w:pPr>
      <w:r>
        <w:rPr>
          <w:b/>
          <w:bCs/>
          <w:sz w:val="22"/>
          <w:szCs w:val="22"/>
        </w:rPr>
        <w:t xml:space="preserve">Proxy variable review: </w:t>
      </w:r>
      <w:r>
        <w:rPr>
          <w:sz w:val="22"/>
          <w:szCs w:val="22"/>
        </w:rPr>
        <w:t xml:space="preserve">check whether Location or Credit_Card_Type act as proxies for protected characteristics (e.g., income-linked card tiers correlating with demographic groups) and assess whether they should be excluded or adjusted.</w:t>
      </w:r>
    </w:p>
    <w:p>
      <w:pPr>
        <w:pStyle w:val="Heading2"/>
        <w:spacing w:after="110" w:before="220"/>
      </w:pPr>
      <w:r>
        <w:rPr>
          <w:b/>
          <w:bCs/>
          <w:color w:val="1F3864"/>
          <w:sz w:val="24"/>
          <w:szCs w:val="24"/>
        </w:rPr>
        <w:t xml:space="preserve">3.3 Interpreting Results and Deciding on Improvements</w:t>
      </w:r>
    </w:p>
    <w:p>
      <w:pPr>
        <w:pStyle w:val="ListParagraph"/>
        <w:numPr>
          <w:ilvl w:val="0"/>
          <w:numId w:val="1"/>
        </w:numPr>
        <w:spacing w:after="80" w:line="276"/>
      </w:pPr>
      <w:r>
        <w:rPr>
          <w:b/>
          <w:bCs/>
          <w:sz w:val="22"/>
          <w:szCs w:val="22"/>
        </w:rPr>
        <w:t xml:space="preserve">If AUC and F1 are strong but a subgroup shows notably lower recall or a disparate impact ratio below 0.8: </w:t>
      </w:r>
      <w:r>
        <w:rPr>
          <w:sz w:val="22"/>
          <w:szCs w:val="22"/>
        </w:rPr>
        <w:t xml:space="preserve">treat this as a fairness issue requiring mitigation (e.g., reweighting training data, adjusting group-specific thresholds, or removing a proxy feature) before deployment, even if overall accuracy is acceptable.</w:t>
      </w:r>
    </w:p>
    <w:p>
      <w:pPr>
        <w:pStyle w:val="ListParagraph"/>
        <w:numPr>
          <w:ilvl w:val="0"/>
          <w:numId w:val="1"/>
        </w:numPr>
        <w:spacing w:after="80" w:line="276"/>
      </w:pPr>
      <w:r>
        <w:rPr>
          <w:b/>
          <w:bCs/>
          <w:sz w:val="22"/>
          <w:szCs w:val="22"/>
        </w:rPr>
        <w:t xml:space="preserve">If the gradient boosted benchmark meaningfully outperforms logistic regression (e.g., AUC gap &gt;0.05) and fairness checks pass: </w:t>
      </w:r>
      <w:r>
        <w:rPr>
          <w:sz w:val="22"/>
          <w:szCs w:val="22"/>
        </w:rPr>
        <w:t xml:space="preserve">revisit the interpretability trade-off with compliance stakeholders rather than defaulting to the simpler model.</w:t>
      </w:r>
    </w:p>
    <w:p>
      <w:pPr>
        <w:pStyle w:val="ListParagraph"/>
        <w:numPr>
          <w:ilvl w:val="0"/>
          <w:numId w:val="1"/>
        </w:numPr>
        <w:spacing w:after="80" w:line="276"/>
      </w:pPr>
      <w:r>
        <w:rPr>
          <w:b/>
          <w:bCs/>
          <w:sz w:val="22"/>
          <w:szCs w:val="22"/>
        </w:rPr>
        <w:t xml:space="preserve">If calibration is poor: </w:t>
      </w:r>
      <w:r>
        <w:rPr>
          <w:sz w:val="22"/>
          <w:szCs w:val="22"/>
        </w:rPr>
        <w:t xml:space="preserve">recalibrate probabilities (e.g., Platt scaling) before using them as risk scores for outreach prioritization, since collections strategy will depend on the actual probability values, not just rank order.</w:t>
      </w:r>
    </w:p>
    <w:p>
      <w:pPr>
        <w:pStyle w:val="ListParagraph"/>
        <w:numPr>
          <w:ilvl w:val="0"/>
          <w:numId w:val="1"/>
        </w:numPr>
        <w:spacing w:after="80" w:line="276"/>
      </w:pPr>
      <w:r>
        <w:rPr>
          <w:b/>
          <w:bCs/>
          <w:sz w:val="22"/>
          <w:szCs w:val="22"/>
        </w:rPr>
        <w:t xml:space="preserve">Ongoing monitoring: </w:t>
      </w:r>
      <w:r>
        <w:rPr>
          <w:sz w:val="22"/>
          <w:szCs w:val="22"/>
        </w:rPr>
        <w:t xml:space="preserve">re-evaluate metrics on a recurring basis (e.g., quarterly) as new delinquency outcomes accumulate, watching for performance drift as customer behavior or the economic environment changes.</w:t>
      </w:r>
    </w:p>
    <w:p>
      <w:pPr>
        <w:pBdr>
          <w:top w:val="single" w:color="BFBFBF" w:sz="6" w:space="6"/>
        </w:pBdr>
        <w:spacing w:before="300"/>
      </w:pPr>
      <w:r>
        <w:rPr>
          <w:i/>
          <w:iCs/>
          <w:color w:val="595959"/>
          <w:sz w:val="18"/>
          <w:szCs w:val="18"/>
        </w:rPr>
        <w:t xml:space="preserve">This plan is conceptual, building on the Task 1 EDA of Geldium_Delinquency_prediction_dataset.xlsx (500 records, 19 fields); no model code was executed as part of this deliverable.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2026-08-01T10:21:12.522Z</dcterms:created>
  <dcterms:modified xsi:type="dcterms:W3CDTF">2026-08-01T10:21:12.539Z</dcterms:modified>
</cp:coreProperties>
</file>

<file path=docProps/custom.xml><?xml version="1.0" encoding="utf-8"?>
<Properties xmlns="http://schemas.openxmlformats.org/officeDocument/2006/custom-properties" xmlns:vt="http://schemas.openxmlformats.org/officeDocument/2006/docPropsVTypes"/>
</file>